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UNITED STATES</w:t>
      </w:r>
    </w:p>
    <w:p>
      <w:pPr>
        <w:spacing w:after="0" w:line="13"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279"/>
        <w:spacing w:after="0"/>
        <w:rPr>
          <w:sz w:val="20"/>
          <w:szCs w:val="20"/>
          <w:color w:val="auto"/>
        </w:rPr>
      </w:pPr>
      <w:r>
        <w:rPr>
          <w:rFonts w:ascii="Arial" w:cs="Arial" w:eastAsia="Arial" w:hAnsi="Arial"/>
          <w:sz w:val="18"/>
          <w:szCs w:val="18"/>
          <w:b w:val="1"/>
          <w:bCs w:val="1"/>
          <w:color w:val="auto"/>
        </w:rPr>
        <w:t>Washington, D.C. 20549</w:t>
      </w:r>
    </w:p>
    <w:p>
      <w:pPr>
        <w:spacing w:after="0" w:line="82"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SCHEDULE 14A</w:t>
      </w:r>
    </w:p>
    <w:p>
      <w:pPr>
        <w:spacing w:after="0" w:line="18"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(Rule 14a-101)</w:t>
      </w:r>
    </w:p>
    <w:p>
      <w:pPr>
        <w:spacing w:after="0" w:line="82"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104" w:lineRule="exact"/>
        <w:rPr>
          <w:sz w:val="24"/>
          <w:szCs w:val="24"/>
          <w:color w:val="auto"/>
        </w:rPr>
      </w:pPr>
    </w:p>
    <w:p>
      <w:pPr>
        <w:ind w:left="4380"/>
        <w:spacing w:after="0"/>
        <w:rPr>
          <w:sz w:val="20"/>
          <w:szCs w:val="20"/>
          <w:color w:val="auto"/>
        </w:rPr>
      </w:pPr>
      <w:r>
        <w:rPr>
          <w:rFonts w:ascii="Arial" w:cs="Arial" w:eastAsia="Arial" w:hAnsi="Arial"/>
          <w:sz w:val="18"/>
          <w:szCs w:val="18"/>
          <w:b w:val="1"/>
          <w:bCs w:val="1"/>
          <w:color w:val="auto"/>
        </w:rPr>
        <w:t>SCHEDULE 14A INFORMATION</w:t>
      </w:r>
    </w:p>
    <w:p>
      <w:pPr>
        <w:spacing w:after="0" w:line="104" w:lineRule="exact"/>
        <w:rPr>
          <w:sz w:val="24"/>
          <w:szCs w:val="24"/>
          <w:color w:val="auto"/>
        </w:rPr>
      </w:pPr>
    </w:p>
    <w:p>
      <w:pPr>
        <w:ind w:left="3160"/>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18"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Exchange Act of 1934</w:t>
      </w:r>
    </w:p>
    <w:p>
      <w:pPr>
        <w:spacing w:after="0" w:line="166" w:lineRule="exact"/>
        <w:rPr>
          <w:sz w:val="24"/>
          <w:szCs w:val="24"/>
          <w:color w:val="auto"/>
        </w:rPr>
      </w:pPr>
    </w:p>
    <w:p>
      <w:pPr>
        <w:ind w:left="200"/>
        <w:spacing w:after="0" w:line="207" w:lineRule="exact"/>
        <w:tabs>
          <w:tab w:leader="none" w:pos="218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90" w:lineRule="exact"/>
        <w:rPr>
          <w:sz w:val="24"/>
          <w:szCs w:val="24"/>
          <w:color w:val="auto"/>
        </w:rPr>
      </w:pPr>
    </w:p>
    <w:p>
      <w:pPr>
        <w:ind w:left="200"/>
        <w:spacing w:after="0" w:line="207" w:lineRule="exact"/>
        <w:tabs>
          <w:tab w:leader="none" w:pos="3660" w:val="left"/>
        </w:tabs>
        <w:rPr>
          <w:sz w:val="20"/>
          <w:szCs w:val="20"/>
          <w:color w:val="auto"/>
        </w:rPr>
      </w:pPr>
      <w:r>
        <w:rPr>
          <w:rFonts w:ascii="Arial" w:cs="Arial" w:eastAsia="Arial" w:hAnsi="Arial"/>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163" w:lineRule="exact"/>
        <w:rPr>
          <w:sz w:val="24"/>
          <w:szCs w:val="24"/>
          <w:color w:val="auto"/>
        </w:rPr>
      </w:pPr>
    </w:p>
    <w:p>
      <w:pPr>
        <w:ind w:left="200"/>
        <w:spacing w:after="0"/>
        <w:rPr>
          <w:sz w:val="20"/>
          <w:szCs w:val="20"/>
          <w:color w:val="auto"/>
        </w:rPr>
      </w:pPr>
      <w:r>
        <w:rPr>
          <w:rFonts w:ascii="Arial" w:cs="Arial" w:eastAsia="Arial" w:hAnsi="Arial"/>
          <w:sz w:val="18"/>
          <w:szCs w:val="18"/>
          <w:color w:val="auto"/>
        </w:rPr>
        <w:t>Check the appropriate box:</w:t>
      </w:r>
    </w:p>
    <w:p>
      <w:pPr>
        <w:spacing w:after="0" w:line="77" w:lineRule="exact"/>
        <w:rPr>
          <w:sz w:val="24"/>
          <w:szCs w:val="24"/>
          <w:color w:val="auto"/>
        </w:rPr>
      </w:pPr>
    </w:p>
    <w:p>
      <w:pPr>
        <w:ind w:left="480" w:hanging="276"/>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9" w:lineRule="exact"/>
        <w:rPr>
          <w:rFonts w:ascii="MS PGothic" w:cs="MS PGothic" w:eastAsia="MS PGothic" w:hAnsi="MS PGothic"/>
          <w:sz w:val="18"/>
          <w:szCs w:val="18"/>
          <w:color w:val="auto"/>
        </w:rPr>
      </w:pPr>
    </w:p>
    <w:p>
      <w:pPr>
        <w:ind w:left="200" w:right="4240" w:firstLine="4"/>
        <w:spacing w:after="0" w:line="216" w:lineRule="exact"/>
        <w:tabs>
          <w:tab w:leader="none" w:pos="46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ind w:left="480" w:hanging="276"/>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480" w:hanging="276"/>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203"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Analog Devices,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54610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7" w:lineRule="exact"/>
        <w:rPr>
          <w:sz w:val="24"/>
          <w:szCs w:val="24"/>
          <w:color w:val="auto"/>
        </w:rPr>
      </w:pPr>
    </w:p>
    <w:p>
      <w:pPr>
        <w:jc w:val="center"/>
        <w:ind w:right="-279"/>
        <w:spacing w:after="0"/>
        <w:rPr>
          <w:sz w:val="20"/>
          <w:szCs w:val="20"/>
          <w:color w:val="auto"/>
        </w:rPr>
      </w:pPr>
      <w:r>
        <w:rPr>
          <w:rFonts w:ascii="Arial" w:cs="Arial" w:eastAsia="Arial" w:hAnsi="Arial"/>
          <w:sz w:val="14"/>
          <w:szCs w:val="14"/>
          <w:i w:val="1"/>
          <w:i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289560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ind w:left="3400"/>
        <w:spacing w:after="0"/>
        <w:rPr>
          <w:sz w:val="20"/>
          <w:szCs w:val="20"/>
          <w:color w:val="auto"/>
        </w:rPr>
      </w:pPr>
      <w:r>
        <w:rPr>
          <w:rFonts w:ascii="Arial" w:cs="Arial" w:eastAsia="Arial" w:hAnsi="Arial"/>
          <w:sz w:val="14"/>
          <w:szCs w:val="14"/>
          <w:i w:val="1"/>
          <w:iCs w:val="1"/>
          <w:color w:val="auto"/>
        </w:rPr>
        <w:t>(Name of Person(s) Filing Proxy Statement, if Other Than the Registrant)</w:t>
      </w:r>
    </w:p>
    <w:p>
      <w:pPr>
        <w:spacing w:after="0" w:line="95" w:lineRule="exact"/>
        <w:rPr>
          <w:sz w:val="24"/>
          <w:szCs w:val="24"/>
          <w:color w:val="auto"/>
        </w:rPr>
      </w:pPr>
    </w:p>
    <w:p>
      <w:pPr>
        <w:ind w:left="200"/>
        <w:spacing w:after="0"/>
        <w:rPr>
          <w:sz w:val="20"/>
          <w:szCs w:val="20"/>
          <w:color w:val="auto"/>
        </w:rPr>
      </w:pPr>
      <w:r>
        <w:rPr>
          <w:rFonts w:ascii="Arial" w:cs="Arial" w:eastAsia="Arial" w:hAnsi="Arial"/>
          <w:sz w:val="18"/>
          <w:szCs w:val="18"/>
          <w:b w:val="1"/>
          <w:bCs w:val="1"/>
          <w:color w:val="auto"/>
        </w:rPr>
        <w:t>Payment of Filing Fee (Check the appropriate box):</w:t>
      </w:r>
    </w:p>
    <w:p>
      <w:pPr>
        <w:spacing w:after="0" w:line="139" w:lineRule="exact"/>
        <w:rPr>
          <w:sz w:val="24"/>
          <w:szCs w:val="24"/>
          <w:color w:val="auto"/>
        </w:rPr>
      </w:pPr>
    </w:p>
    <w:p>
      <w:pPr>
        <w:ind w:left="640" w:hanging="436"/>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31" w:lineRule="exact"/>
        <w:rPr>
          <w:sz w:val="24"/>
          <w:szCs w:val="24"/>
          <w:color w:val="auto"/>
        </w:rPr>
      </w:pPr>
    </w:p>
    <w:p>
      <w:pPr>
        <w:ind w:left="640" w:hanging="436"/>
        <w:spacing w:after="0"/>
        <w:tabs>
          <w:tab w:leader="none" w:pos="6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80" w:hanging="544"/>
        <w:spacing w:after="0"/>
        <w:tabs>
          <w:tab w:leader="none" w:pos="11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80" w:hanging="544"/>
        <w:spacing w:after="0"/>
        <w:tabs>
          <w:tab w:leader="none" w:pos="11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1180" w:hanging="544"/>
        <w:spacing w:after="0" w:line="246" w:lineRule="auto"/>
        <w:tabs>
          <w:tab w:leader="none" w:pos="11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3" w:lineRule="exact"/>
        <w:rPr>
          <w:rFonts w:ascii="Arial" w:cs="Arial" w:eastAsia="Arial" w:hAnsi="Arial"/>
          <w:sz w:val="18"/>
          <w:szCs w:val="18"/>
          <w:color w:val="auto"/>
        </w:rPr>
      </w:pPr>
    </w:p>
    <w:p>
      <w:pPr>
        <w:ind w:left="1180" w:hanging="544"/>
        <w:spacing w:after="0"/>
        <w:tabs>
          <w:tab w:leader="none" w:pos="11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80" w:hanging="544"/>
        <w:spacing w:after="0"/>
        <w:tabs>
          <w:tab w:leader="none" w:pos="11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640" w:hanging="436"/>
        <w:spacing w:after="0"/>
        <w:tabs>
          <w:tab w:leader="none" w:pos="6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640" w:right="160" w:hanging="436"/>
        <w:spacing w:after="0"/>
        <w:tabs>
          <w:tab w:leader="none" w:pos="6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08" w:lineRule="exact"/>
        <w:rPr>
          <w:rFonts w:ascii="MS PGothic" w:cs="MS PGothic" w:eastAsia="MS PGothic" w:hAnsi="MS PGothic"/>
          <w:sz w:val="18"/>
          <w:szCs w:val="18"/>
          <w:color w:val="auto"/>
        </w:rPr>
      </w:pPr>
    </w:p>
    <w:p>
      <w:pPr>
        <w:ind w:left="1180" w:hanging="544"/>
        <w:spacing w:after="0"/>
        <w:tabs>
          <w:tab w:leader="none" w:pos="11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1180" w:hanging="544"/>
        <w:spacing w:after="0"/>
        <w:tabs>
          <w:tab w:leader="none" w:pos="11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80" w:hanging="544"/>
        <w:spacing w:after="0"/>
        <w:tabs>
          <w:tab w:leader="none" w:pos="11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1180" w:hanging="544"/>
        <w:spacing w:after="0"/>
        <w:tabs>
          <w:tab w:leader="none" w:pos="118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760095</wp:posOffset>
            </wp:positionH>
            <wp:positionV relativeFrom="paragraph">
              <wp:posOffset>-3817620</wp:posOffset>
            </wp:positionV>
            <wp:extent cx="63633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63335"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-3423285</wp:posOffset>
            </wp:positionV>
            <wp:extent cx="63633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63335"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-2891790</wp:posOffset>
            </wp:positionV>
            <wp:extent cx="63633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63335"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-2488565</wp:posOffset>
            </wp:positionV>
            <wp:extent cx="63633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63335"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-2094230</wp:posOffset>
            </wp:positionV>
            <wp:extent cx="63633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63335"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-1039495</wp:posOffset>
            </wp:positionV>
            <wp:extent cx="63633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63335"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-636270</wp:posOffset>
            </wp:positionV>
            <wp:extent cx="63633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63335"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-241935</wp:posOffset>
            </wp:positionV>
            <wp:extent cx="63633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63335"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160655</wp:posOffset>
            </wp:positionV>
            <wp:extent cx="63633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63335" cy="8890"/>
                    </a:xfrm>
                    <a:prstGeom prst="rect">
                      <a:avLst/>
                    </a:prstGeom>
                    <a:noFill/>
                  </pic:spPr>
                </pic:pic>
              </a:graphicData>
            </a:graphic>
          </wp:anchor>
        </w:drawing>
      </w:r>
    </w:p>
    <w:p>
      <w:pPr>
        <w:sectPr>
          <w:pgSz w:w="11900" w:h="16838" w:orient="portrait"/>
          <w:cols w:equalWidth="0" w:num="1">
            <w:col w:w="11140"/>
          </w:cols>
          <w:pgMar w:left="240" w:top="230" w:right="51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6986905</wp:posOffset>
            </wp:positionV>
            <wp:extent cx="7002145" cy="5702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02145" cy="570230"/>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2341245</wp:posOffset>
            </wp:positionV>
            <wp:extent cx="3670300" cy="14751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70300" cy="1475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ind w:right="939"/>
        <w:spacing w:after="0"/>
        <w:rPr>
          <w:sz w:val="20"/>
          <w:szCs w:val="20"/>
          <w:color w:val="auto"/>
        </w:rPr>
      </w:pPr>
      <w:r>
        <w:rPr>
          <w:rFonts w:ascii="Arial" w:cs="Arial" w:eastAsia="Arial" w:hAnsi="Arial"/>
          <w:sz w:val="29"/>
          <w:szCs w:val="29"/>
          <w:b w:val="1"/>
          <w:bCs w:val="1"/>
          <w:color w:val="FFFFFF"/>
        </w:rPr>
        <w:t>Notice of 2020 Annual Meeting and Proxy Statement</w:t>
      </w:r>
    </w:p>
    <w:p>
      <w:pPr>
        <w:sectPr>
          <w:pgSz w:w="11900" w:h="16838" w:orient="portrait"/>
          <w:cols w:equalWidth="0" w:num="1">
            <w:col w:w="10219"/>
          </w:cols>
          <w:pgMar w:left="240" w:top="45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1320800" cy="3943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2080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January 24, 2020</w:t>
      </w:r>
    </w:p>
    <w:p>
      <w:pPr>
        <w:spacing w:after="0" w:line="290"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052B82"/>
        </w:rPr>
        <w:t>DEAR SHAREHOLDER:</w:t>
      </w:r>
    </w:p>
    <w:p>
      <w:pPr>
        <w:spacing w:after="0" w:line="255" w:lineRule="exact"/>
        <w:rPr>
          <w:sz w:val="20"/>
          <w:szCs w:val="20"/>
          <w:color w:val="auto"/>
        </w:rPr>
      </w:pPr>
    </w:p>
    <w:p>
      <w:pPr>
        <w:ind w:left="200" w:right="220" w:firstLine="441"/>
        <w:spacing w:after="0" w:line="246" w:lineRule="auto"/>
        <w:rPr>
          <w:sz w:val="20"/>
          <w:szCs w:val="20"/>
          <w:color w:val="auto"/>
        </w:rPr>
      </w:pPr>
      <w:r>
        <w:rPr>
          <w:rFonts w:ascii="Arial" w:cs="Arial" w:eastAsia="Arial" w:hAnsi="Arial"/>
          <w:sz w:val="18"/>
          <w:szCs w:val="18"/>
          <w:color w:val="auto"/>
        </w:rPr>
        <w:t>You are cordially invited to attend the Annual Meeting of Shareholders to be held at 9:00 a.m. local time on Wednesday, March 11, 2020, at our offices located at 125 Summer Street, Boston, Massachusetts 02110.</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 the Annual Meeting you are being asked to:</w:t>
      </w:r>
    </w:p>
    <w:p>
      <w:pPr>
        <w:spacing w:after="0" w:line="212" w:lineRule="exact"/>
        <w:rPr>
          <w:sz w:val="20"/>
          <w:szCs w:val="20"/>
          <w:color w:val="auto"/>
        </w:rPr>
      </w:pPr>
    </w:p>
    <w:p>
      <w:pPr>
        <w:ind w:left="840" w:hanging="196"/>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Elect ten members of our Board of Directors, each to serve for a term expiring at the next annual meeting of shareholders;</w:t>
      </w:r>
    </w:p>
    <w:p>
      <w:pPr>
        <w:spacing w:after="0" w:line="211" w:lineRule="exact"/>
        <w:rPr>
          <w:rFonts w:ascii="Arial" w:cs="Arial" w:eastAsia="Arial" w:hAnsi="Arial"/>
          <w:sz w:val="18"/>
          <w:szCs w:val="18"/>
          <w:color w:val="auto"/>
        </w:rPr>
      </w:pPr>
    </w:p>
    <w:p>
      <w:pPr>
        <w:ind w:left="840" w:hanging="196"/>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Approve a non-binding advisory proposal on the compensation of our named executive officers;</w:t>
      </w:r>
    </w:p>
    <w:p>
      <w:pPr>
        <w:spacing w:after="0" w:line="211" w:lineRule="exact"/>
        <w:rPr>
          <w:rFonts w:ascii="Arial" w:cs="Arial" w:eastAsia="Arial" w:hAnsi="Arial"/>
          <w:sz w:val="18"/>
          <w:szCs w:val="18"/>
          <w:color w:val="auto"/>
        </w:rPr>
      </w:pPr>
    </w:p>
    <w:p>
      <w:pPr>
        <w:ind w:left="840" w:hanging="196"/>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Approve the Analog Devices, Inc. 2020 Equity Incentive Plan; and</w:t>
      </w:r>
    </w:p>
    <w:p>
      <w:pPr>
        <w:spacing w:after="0" w:line="211" w:lineRule="exact"/>
        <w:rPr>
          <w:rFonts w:ascii="Arial" w:cs="Arial" w:eastAsia="Arial" w:hAnsi="Arial"/>
          <w:sz w:val="18"/>
          <w:szCs w:val="18"/>
          <w:color w:val="auto"/>
        </w:rPr>
      </w:pPr>
    </w:p>
    <w:p>
      <w:pPr>
        <w:ind w:left="840" w:hanging="196"/>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Ratify the selection of Ernst &amp; Young LLP as our independent registered public accounting firm for the 2020 fiscal year.</w:t>
      </w:r>
    </w:p>
    <w:p>
      <w:pPr>
        <w:spacing w:after="0" w:line="190" w:lineRule="exact"/>
        <w:rPr>
          <w:sz w:val="20"/>
          <w:szCs w:val="20"/>
          <w:color w:val="auto"/>
        </w:rPr>
      </w:pPr>
    </w:p>
    <w:p>
      <w:pPr>
        <w:ind w:left="200" w:right="80" w:firstLine="441"/>
        <w:spacing w:after="0" w:line="271" w:lineRule="auto"/>
        <w:rPr>
          <w:sz w:val="20"/>
          <w:szCs w:val="20"/>
          <w:color w:val="auto"/>
        </w:rPr>
      </w:pPr>
      <w:r>
        <w:rPr>
          <w:rFonts w:ascii="Arial" w:cs="Arial" w:eastAsia="Arial" w:hAnsi="Arial"/>
          <w:sz w:val="18"/>
          <w:szCs w:val="18"/>
          <w:b w:val="1"/>
          <w:bCs w:val="1"/>
          <w:color w:val="auto"/>
        </w:rPr>
        <w:t>Your Board of Directors recommends that you vote FOR the election of each of the directors named in the proxy statement and FOR items 2, 3 and 4.</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Please carefully review the attached proxy materials and take the time to cast your vote.</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Yours 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152400</wp:posOffset>
            </wp:positionV>
            <wp:extent cx="1551940" cy="7200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51940" cy="720090"/>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152400</wp:posOffset>
            </wp:positionV>
            <wp:extent cx="1861185" cy="4889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61185" cy="48895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Ray Stata</w:t>
      </w:r>
    </w:p>
    <w:p>
      <w:pPr>
        <w:ind w:left="200"/>
        <w:spacing w:after="0"/>
        <w:rPr>
          <w:sz w:val="20"/>
          <w:szCs w:val="20"/>
          <w:color w:val="auto"/>
        </w:rPr>
      </w:pPr>
      <w:r>
        <w:rPr>
          <w:rFonts w:ascii="Arial" w:cs="Arial" w:eastAsia="Arial" w:hAnsi="Arial"/>
          <w:sz w:val="17"/>
          <w:szCs w:val="17"/>
          <w:color w:val="auto"/>
        </w:rPr>
        <w:t>Chairman of the Board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Vincent Roche</w:t>
      </w:r>
    </w:p>
    <w:p>
      <w:pPr>
        <w:spacing w:after="0"/>
        <w:rPr>
          <w:sz w:val="20"/>
          <w:szCs w:val="20"/>
          <w:color w:val="auto"/>
        </w:rPr>
      </w:pPr>
      <w:r>
        <w:rPr>
          <w:rFonts w:ascii="Arial" w:cs="Arial" w:eastAsia="Arial" w:hAnsi="Arial"/>
          <w:sz w:val="17"/>
          <w:szCs w:val="17"/>
          <w:color w:val="auto"/>
        </w:rPr>
        <w:t>President and Chief Executive Officer</w:t>
      </w:r>
    </w:p>
    <w:p>
      <w:pPr>
        <w:sectPr>
          <w:pgSz w:w="11900" w:h="16838" w:orient="portrait"/>
          <w:cols w:equalWidth="0" w:num="2">
            <w:col w:w="5340" w:space="720"/>
            <w:col w:w="5160"/>
          </w:cols>
          <w:pgMar w:left="240" w:top="459" w:right="4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auto"/>
        </w:rPr>
        <w:t>ANALOG DEVICES, INC.</w:t>
      </w:r>
    </w:p>
    <w:p>
      <w:pPr>
        <w:spacing w:after="0" w:line="3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ONE TECHNOLOGY WAY</w:t>
      </w:r>
    </w:p>
    <w:p>
      <w:pPr>
        <w:jc w:val="center"/>
        <w:ind w:right="-199"/>
        <w:spacing w:after="0"/>
        <w:rPr>
          <w:sz w:val="20"/>
          <w:szCs w:val="20"/>
          <w:color w:val="auto"/>
        </w:rPr>
      </w:pPr>
      <w:r>
        <w:rPr>
          <w:rFonts w:ascii="Arial" w:cs="Arial" w:eastAsia="Arial" w:hAnsi="Arial"/>
          <w:sz w:val="18"/>
          <w:szCs w:val="18"/>
          <w:b w:val="1"/>
          <w:bCs w:val="1"/>
          <w:color w:val="auto"/>
        </w:rPr>
        <w:t>NORWOOD, MASSACHUSETTS 02062-9106</w:t>
      </w:r>
    </w:p>
    <w:p>
      <w:pPr>
        <w:spacing w:after="0" w:line="180"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NOTICE OF 2020 ANNUAL MEETING OF SHAREHOLDERS</w:t>
      </w:r>
    </w:p>
    <w:p>
      <w:pPr>
        <w:spacing w:after="0" w:line="206"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i w:val="1"/>
          <w:iCs w:val="1"/>
          <w:color w:val="auto"/>
        </w:rPr>
        <w:t>To Be Held On March 11, 2020</w:t>
      </w:r>
    </w:p>
    <w:p>
      <w:pPr>
        <w:spacing w:after="0" w:line="249"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052B82"/>
        </w:rPr>
        <w:t>TO OUR SHAREHOLDERS:</w:t>
      </w:r>
    </w:p>
    <w:p>
      <w:pPr>
        <w:spacing w:after="0" w:line="255" w:lineRule="exact"/>
        <w:rPr>
          <w:sz w:val="20"/>
          <w:szCs w:val="20"/>
          <w:color w:val="auto"/>
        </w:rPr>
      </w:pPr>
    </w:p>
    <w:p>
      <w:pPr>
        <w:ind w:left="200" w:right="100" w:firstLine="441"/>
        <w:spacing w:after="0"/>
        <w:rPr>
          <w:sz w:val="20"/>
          <w:szCs w:val="20"/>
          <w:color w:val="auto"/>
        </w:rPr>
      </w:pPr>
      <w:r>
        <w:rPr>
          <w:rFonts w:ascii="Arial" w:cs="Arial" w:eastAsia="Arial" w:hAnsi="Arial"/>
          <w:sz w:val="18"/>
          <w:szCs w:val="18"/>
          <w:color w:val="auto"/>
        </w:rPr>
        <w:t>The 2020 Annual Meeting of Shareholders of Analog Devices, Inc. will be held at our offices at 125 Summer Street, Boston, Massachusetts 02110, on Wednesday, March 11, 2020 at 9:00 a.m. local time. At the meeting, shareholders will consider and vote on the following matters:</w:t>
      </w:r>
    </w:p>
    <w:p>
      <w:pPr>
        <w:spacing w:after="0" w:line="108" w:lineRule="exact"/>
        <w:rPr>
          <w:sz w:val="20"/>
          <w:szCs w:val="20"/>
          <w:color w:val="auto"/>
        </w:rPr>
      </w:pPr>
    </w:p>
    <w:p>
      <w:pPr>
        <w:ind w:left="1180" w:hanging="544"/>
        <w:spacing w:after="0" w:line="246"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the ten director nominees named in this proxy statement to our Board of Directors, each to serve for a term expiring at the next annual meeting of shareholders;</w:t>
      </w:r>
    </w:p>
    <w:p>
      <w:pPr>
        <w:spacing w:after="0" w:line="102" w:lineRule="exact"/>
        <w:rPr>
          <w:rFonts w:ascii="Arial" w:cs="Arial" w:eastAsia="Arial" w:hAnsi="Arial"/>
          <w:sz w:val="18"/>
          <w:szCs w:val="18"/>
          <w:color w:val="auto"/>
        </w:rPr>
      </w:pPr>
    </w:p>
    <w:p>
      <w:pPr>
        <w:ind w:left="1180" w:right="60" w:hanging="544"/>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by non-binding “say on pay” vote, the compensation of our named executive officers, as described in the Compensation Discussion and Analysis, executive compensation tables and accompanying narrative disclosures in this proxy statement;</w:t>
      </w:r>
    </w:p>
    <w:p>
      <w:pPr>
        <w:spacing w:after="0" w:line="108" w:lineRule="exact"/>
        <w:rPr>
          <w:rFonts w:ascii="Arial" w:cs="Arial" w:eastAsia="Arial" w:hAnsi="Arial"/>
          <w:sz w:val="18"/>
          <w:szCs w:val="18"/>
          <w:color w:val="auto"/>
        </w:rPr>
      </w:pPr>
    </w:p>
    <w:p>
      <w:pPr>
        <w:ind w:left="1180" w:hanging="544"/>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the Analog Devices, Inc. 2020 Equity Incentive Plan; and</w:t>
      </w:r>
    </w:p>
    <w:p>
      <w:pPr>
        <w:spacing w:after="0" w:line="117" w:lineRule="exact"/>
        <w:rPr>
          <w:rFonts w:ascii="Arial" w:cs="Arial" w:eastAsia="Arial" w:hAnsi="Arial"/>
          <w:sz w:val="18"/>
          <w:szCs w:val="18"/>
          <w:color w:val="auto"/>
        </w:rPr>
      </w:pPr>
    </w:p>
    <w:p>
      <w:pPr>
        <w:ind w:left="1180" w:right="340" w:hanging="544"/>
        <w:spacing w:after="0" w:line="246"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ratify the selection of Ernst &amp; Young LLP as our independent registered public accounting firm for the fiscal year ending October 31, 2020.</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shareholders will also act on any other business that may properly come before the meeting.</w:t>
      </w:r>
    </w:p>
    <w:p>
      <w:pPr>
        <w:spacing w:after="0" w:line="212" w:lineRule="exact"/>
        <w:rPr>
          <w:sz w:val="20"/>
          <w:szCs w:val="20"/>
          <w:color w:val="auto"/>
        </w:rPr>
      </w:pPr>
    </w:p>
    <w:p>
      <w:pPr>
        <w:ind w:left="200" w:right="40" w:firstLine="441"/>
        <w:spacing w:after="0" w:line="236" w:lineRule="auto"/>
        <w:rPr>
          <w:sz w:val="20"/>
          <w:szCs w:val="20"/>
          <w:color w:val="auto"/>
        </w:rPr>
      </w:pPr>
      <w:r>
        <w:rPr>
          <w:rFonts w:ascii="Arial" w:cs="Arial" w:eastAsia="Arial" w:hAnsi="Arial"/>
          <w:sz w:val="18"/>
          <w:szCs w:val="18"/>
          <w:color w:val="auto"/>
        </w:rPr>
        <w:t>We are providing access to our proxy materials over the Internet under the U.S. Securities and Exchange Commission’s “notice and access” rules. As a result, we are mailing to our shareholders a Notice of Internet Availability of Proxy Materials (the “Notice”) instead of a paper copy of this proxy statement and our Annual Report for the fiscal year ended November 2, 2019 (the “2019 Annual Report”). We are mailing the Notice on or about January 24, 2020, and it contains instructions on how to access those documents over the Internet. The Notice also contains instructions on how each of our shareholders can receive a paper copy of our proxy materials, including this proxy statement, our 2019 Annual Report and a form of proxy card or voting instruction card. All shareholders who do not receive the Notice, including shareholders who have previously requested to receive paper copies of proxy materials, will receive a paper copy of the proxy materials by mail unless they have previously requested delivery of proxy materials electronically. We have chosen to employ this distribution process to conserve natural resources and reduce the costs of printing and distributing our proxy materials.</w:t>
      </w:r>
    </w:p>
    <w:p>
      <w:pPr>
        <w:spacing w:after="0" w:line="207" w:lineRule="exact"/>
        <w:rPr>
          <w:sz w:val="20"/>
          <w:szCs w:val="20"/>
          <w:color w:val="auto"/>
        </w:rPr>
      </w:pPr>
    </w:p>
    <w:p>
      <w:pPr>
        <w:ind w:left="200" w:right="40" w:firstLine="441"/>
        <w:spacing w:after="0" w:line="237" w:lineRule="auto"/>
        <w:rPr>
          <w:sz w:val="20"/>
          <w:szCs w:val="20"/>
          <w:color w:val="auto"/>
        </w:rPr>
      </w:pPr>
      <w:r>
        <w:rPr>
          <w:rFonts w:ascii="Arial" w:cs="Arial" w:eastAsia="Arial" w:hAnsi="Arial"/>
          <w:sz w:val="18"/>
          <w:szCs w:val="18"/>
          <w:color w:val="auto"/>
        </w:rPr>
        <w:t>Shareholders of record at the close of business on January 6, 2020 are entitled to vote at the meeting. Your vote is important no matter how many shares you own. Whether you expect to attend the meeting or not, please vote your shares by using the Internet as described in the instructions included on your Notice, by calling the toll-free telephone number, or, if you received a paper copy of the proxy materials, by completing, signing, dating and returning your proxy card or voting instruction form. Your prompt response is necessary to ensure that your shares are represented at the meeting. You can change your vote and revoke your proxy at any time before the polls close at the meeting by following the procedures described in the accompanying proxy statement.</w:t>
      </w:r>
    </w:p>
    <w:p>
      <w:pPr>
        <w:spacing w:after="0" w:line="20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All shareholders are cordially invited to attend the meeting.</w:t>
      </w:r>
    </w:p>
    <w:p>
      <w:pPr>
        <w:spacing w:after="0" w:line="212"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By order of the Board of Directors,</w:t>
      </w:r>
    </w:p>
    <w:p>
      <w:pPr>
        <w:spacing w:after="0" w:line="315"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LARRY WEISS</w:t>
      </w:r>
    </w:p>
    <w:p>
      <w:pPr>
        <w:ind w:left="6160"/>
        <w:spacing w:after="0"/>
        <w:rPr>
          <w:sz w:val="20"/>
          <w:szCs w:val="20"/>
          <w:color w:val="auto"/>
        </w:rPr>
      </w:pPr>
      <w:r>
        <w:rPr>
          <w:rFonts w:ascii="Arial" w:cs="Arial" w:eastAsia="Arial" w:hAnsi="Arial"/>
          <w:sz w:val="18"/>
          <w:szCs w:val="18"/>
          <w:i w:val="1"/>
          <w:iCs w:val="1"/>
          <w:color w:val="auto"/>
        </w:rPr>
        <w:t>Secretary</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Norwood, Massachusetts</w:t>
      </w:r>
    </w:p>
    <w:p>
      <w:pPr>
        <w:ind w:left="200"/>
        <w:spacing w:after="0"/>
        <w:rPr>
          <w:sz w:val="20"/>
          <w:szCs w:val="20"/>
          <w:color w:val="auto"/>
        </w:rPr>
      </w:pPr>
      <w:r>
        <w:rPr>
          <w:rFonts w:ascii="Arial" w:cs="Arial" w:eastAsia="Arial" w:hAnsi="Arial"/>
          <w:sz w:val="18"/>
          <w:szCs w:val="18"/>
          <w:color w:val="auto"/>
        </w:rPr>
        <w:t>January 24, 2020</w:t>
      </w:r>
    </w:p>
    <w:p>
      <w:pPr>
        <w:sectPr>
          <w:pgSz w:w="11900" w:h="16838" w:orient="portrait"/>
          <w:cols w:equalWidth="0" w:num="1">
            <w:col w:w="11220"/>
          </w:cols>
          <w:pgMar w:left="24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0"/>
        <w:spacing w:after="0"/>
        <w:rPr>
          <w:sz w:val="20"/>
          <w:szCs w:val="20"/>
          <w:color w:val="auto"/>
        </w:rPr>
      </w:pPr>
      <w:r>
        <w:rPr>
          <w:rFonts w:ascii="Arial" w:cs="Arial" w:eastAsia="Arial" w:hAnsi="Arial"/>
          <w:sz w:val="32"/>
          <w:szCs w:val="32"/>
          <w:color w:val="052B82"/>
        </w:rPr>
        <w:t>TABLE OF CONTENTS</w:t>
      </w:r>
    </w:p>
    <w:p>
      <w:pPr>
        <w:spacing w:after="0" w:line="282" w:lineRule="exact"/>
        <w:rPr>
          <w:sz w:val="20"/>
          <w:szCs w:val="20"/>
          <w:color w:val="auto"/>
        </w:rPr>
      </w:pPr>
    </w:p>
    <w:tbl>
      <w:tblPr>
        <w:tblLayout w:type="fixed"/>
        <w:tblInd w:w="200" w:type="dxa"/>
        <w:tblCellMar>
          <w:top w:w="0" w:type="dxa"/>
          <w:left w:w="0" w:type="dxa"/>
          <w:bottom w:w="0" w:type="dxa"/>
          <w:right w:w="0" w:type="dxa"/>
        </w:tblCellMar>
      </w:tblPr>
      <w:tr>
        <w:trPr>
          <w:trHeight w:val="184"/>
        </w:trPr>
        <w:tc>
          <w:tcPr>
            <w:tcW w:w="4640" w:type="dxa"/>
            <w:vAlign w:val="bottom"/>
            <w:gridSpan w:val="26"/>
          </w:tcPr>
          <w:p>
            <w:pPr>
              <w:spacing w:after="0"/>
              <w:rPr>
                <w:rFonts w:ascii="Arial" w:cs="Arial" w:eastAsia="Arial" w:hAnsi="Arial"/>
                <w:sz w:val="16"/>
                <w:szCs w:val="16"/>
                <w:color w:val="0000EE"/>
              </w:rPr>
            </w:pPr>
            <w:hyperlink w:anchor="page7">
              <w:r>
                <w:rPr>
                  <w:rFonts w:ascii="Arial" w:cs="Arial" w:eastAsia="Arial" w:hAnsi="Arial"/>
                  <w:sz w:val="16"/>
                  <w:szCs w:val="16"/>
                  <w:color w:val="0000EE"/>
                </w:rPr>
                <w:t>PROXY STATEMENT HIGHLIGHTS</w:t>
              </w:r>
            </w:hyperlink>
          </w:p>
        </w:tc>
        <w:tc>
          <w:tcPr>
            <w:tcW w:w="66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bottom w:val="single" w:sz="8" w:color="8C8C8C"/>
            </w:tcBorders>
          </w:tcPr>
          <w:p>
            <w:pPr>
              <w:spacing w:after="0" w:line="20" w:lineRule="exact"/>
              <w:rPr>
                <w:sz w:val="1"/>
                <w:szCs w:val="1"/>
                <w:color w:val="auto"/>
              </w:rPr>
            </w:pPr>
          </w:p>
        </w:tc>
        <w:tc>
          <w:tcPr>
            <w:tcW w:w="200" w:type="dxa"/>
            <w:vAlign w:val="bottom"/>
            <w:tcBorders>
              <w:top w:val="single" w:sz="8" w:color="0000EE"/>
              <w:bottom w:val="single" w:sz="8" w:color="8C8C8C"/>
            </w:tcBorders>
          </w:tcPr>
          <w:p>
            <w:pPr>
              <w:spacing w:after="0" w:line="20" w:lineRule="exact"/>
              <w:rPr>
                <w:sz w:val="1"/>
                <w:szCs w:val="1"/>
                <w:color w:val="auto"/>
              </w:rPr>
            </w:pPr>
          </w:p>
        </w:tc>
        <w:tc>
          <w:tcPr>
            <w:tcW w:w="220" w:type="dxa"/>
            <w:vAlign w:val="bottom"/>
            <w:tcBorders>
              <w:top w:val="single" w:sz="8" w:color="0000EE"/>
              <w:bottom w:val="single" w:sz="8" w:color="8C8C8C"/>
            </w:tcBorders>
          </w:tcPr>
          <w:p>
            <w:pPr>
              <w:spacing w:after="0" w:line="20" w:lineRule="exact"/>
              <w:rPr>
                <w:sz w:val="1"/>
                <w:szCs w:val="1"/>
                <w:color w:val="auto"/>
              </w:rPr>
            </w:pPr>
          </w:p>
        </w:tc>
        <w:tc>
          <w:tcPr>
            <w:tcW w:w="320" w:type="dxa"/>
            <w:vAlign w:val="bottom"/>
            <w:tcBorders>
              <w:top w:val="single" w:sz="8" w:color="0000EE"/>
              <w:bottom w:val="single" w:sz="8" w:color="8C8C8C"/>
            </w:tcBorders>
          </w:tcPr>
          <w:p>
            <w:pPr>
              <w:spacing w:after="0" w:line="20" w:lineRule="exact"/>
              <w:rPr>
                <w:sz w:val="1"/>
                <w:szCs w:val="1"/>
                <w:color w:val="auto"/>
              </w:rPr>
            </w:pPr>
          </w:p>
        </w:tc>
        <w:tc>
          <w:tcPr>
            <w:tcW w:w="200" w:type="dxa"/>
            <w:vAlign w:val="bottom"/>
            <w:tcBorders>
              <w:top w:val="single" w:sz="8" w:color="0000EE"/>
              <w:bottom w:val="single" w:sz="8" w:color="8C8C8C"/>
            </w:tcBorders>
          </w:tcPr>
          <w:p>
            <w:pPr>
              <w:spacing w:after="0" w:line="20" w:lineRule="exact"/>
              <w:rPr>
                <w:sz w:val="1"/>
                <w:szCs w:val="1"/>
                <w:color w:val="auto"/>
              </w:rPr>
            </w:pPr>
          </w:p>
        </w:tc>
        <w:tc>
          <w:tcPr>
            <w:tcW w:w="160" w:type="dxa"/>
            <w:vAlign w:val="bottom"/>
            <w:tcBorders>
              <w:top w:val="single" w:sz="8" w:color="0000EE"/>
              <w:bottom w:val="single" w:sz="8" w:color="8C8C8C"/>
            </w:tcBorders>
          </w:tcPr>
          <w:p>
            <w:pPr>
              <w:spacing w:after="0" w:line="20" w:lineRule="exact"/>
              <w:rPr>
                <w:sz w:val="1"/>
                <w:szCs w:val="1"/>
                <w:color w:val="auto"/>
              </w:rPr>
            </w:pPr>
          </w:p>
        </w:tc>
        <w:tc>
          <w:tcPr>
            <w:tcW w:w="440" w:type="dxa"/>
            <w:vAlign w:val="bottom"/>
            <w:tcBorders>
              <w:top w:val="single" w:sz="8" w:color="0000EE"/>
              <w:bottom w:val="single" w:sz="8" w:color="8C8C8C"/>
            </w:tcBorders>
          </w:tcPr>
          <w:p>
            <w:pPr>
              <w:spacing w:after="0" w:line="20" w:lineRule="exact"/>
              <w:rPr>
                <w:sz w:val="1"/>
                <w:szCs w:val="1"/>
                <w:color w:val="auto"/>
              </w:rPr>
            </w:pPr>
          </w:p>
        </w:tc>
        <w:tc>
          <w:tcPr>
            <w:tcW w:w="20" w:type="dxa"/>
            <w:vAlign w:val="bottom"/>
            <w:tcBorders>
              <w:top w:val="single" w:sz="8" w:color="0000EE"/>
              <w:bottom w:val="single" w:sz="8" w:color="8C8C8C"/>
            </w:tcBorders>
          </w:tcPr>
          <w:p>
            <w:pPr>
              <w:spacing w:after="0" w:line="20" w:lineRule="exact"/>
              <w:rPr>
                <w:sz w:val="1"/>
                <w:szCs w:val="1"/>
                <w:color w:val="auto"/>
              </w:rPr>
            </w:pPr>
          </w:p>
        </w:tc>
        <w:tc>
          <w:tcPr>
            <w:tcW w:w="200" w:type="dxa"/>
            <w:vAlign w:val="bottom"/>
            <w:tcBorders>
              <w:top w:val="single" w:sz="8" w:color="0000EE"/>
              <w:bottom w:val="single" w:sz="8" w:color="8C8C8C"/>
            </w:tcBorders>
          </w:tcPr>
          <w:p>
            <w:pPr>
              <w:spacing w:after="0" w:line="20" w:lineRule="exact"/>
              <w:rPr>
                <w:sz w:val="1"/>
                <w:szCs w:val="1"/>
                <w:color w:val="auto"/>
              </w:rPr>
            </w:pPr>
          </w:p>
        </w:tc>
        <w:tc>
          <w:tcPr>
            <w:tcW w:w="440" w:type="dxa"/>
            <w:vAlign w:val="bottom"/>
            <w:tcBorders>
              <w:top w:val="single" w:sz="8" w:color="0000EE"/>
              <w:bottom w:val="single" w:sz="8" w:color="8C8C8C"/>
            </w:tcBorders>
          </w:tcPr>
          <w:p>
            <w:pPr>
              <w:spacing w:after="0" w:line="20" w:lineRule="exact"/>
              <w:rPr>
                <w:sz w:val="1"/>
                <w:szCs w:val="1"/>
                <w:color w:val="auto"/>
              </w:rPr>
            </w:pPr>
          </w:p>
        </w:tc>
        <w:tc>
          <w:tcPr>
            <w:tcW w:w="60" w:type="dxa"/>
            <w:vAlign w:val="bottom"/>
            <w:tcBorders>
              <w:top w:val="single" w:sz="8" w:color="0000EE"/>
              <w:bottom w:val="single" w:sz="8" w:color="8C8C8C"/>
            </w:tcBorders>
          </w:tcPr>
          <w:p>
            <w:pPr>
              <w:spacing w:after="0" w:line="20" w:lineRule="exact"/>
              <w:rPr>
                <w:sz w:val="1"/>
                <w:szCs w:val="1"/>
                <w:color w:val="auto"/>
              </w:rPr>
            </w:pPr>
          </w:p>
        </w:tc>
        <w:tc>
          <w:tcPr>
            <w:tcW w:w="80" w:type="dxa"/>
            <w:vAlign w:val="bottom"/>
            <w:tcBorders>
              <w:top w:val="single" w:sz="8" w:color="0000EE"/>
              <w:bottom w:val="single" w:sz="8" w:color="8C8C8C"/>
            </w:tcBorders>
          </w:tcPr>
          <w:p>
            <w:pPr>
              <w:spacing w:after="0" w:line="20" w:lineRule="exact"/>
              <w:rPr>
                <w:sz w:val="1"/>
                <w:szCs w:val="1"/>
                <w:color w:val="auto"/>
              </w:rPr>
            </w:pPr>
          </w:p>
        </w:tc>
        <w:tc>
          <w:tcPr>
            <w:tcW w:w="260" w:type="dxa"/>
            <w:vAlign w:val="bottom"/>
            <w:tcBorders>
              <w:top w:val="single" w:sz="8" w:color="0000EE"/>
              <w:bottom w:val="single" w:sz="8" w:color="8C8C8C"/>
            </w:tcBorders>
          </w:tcPr>
          <w:p>
            <w:pPr>
              <w:spacing w:after="0" w:line="20" w:lineRule="exact"/>
              <w:rPr>
                <w:sz w:val="1"/>
                <w:szCs w:val="1"/>
                <w:color w:val="auto"/>
              </w:rPr>
            </w:pPr>
          </w:p>
        </w:tc>
        <w:tc>
          <w:tcPr>
            <w:tcW w:w="120" w:type="dxa"/>
            <w:vAlign w:val="bottom"/>
            <w:tcBorders>
              <w:bottom w:val="single" w:sz="8" w:color="8C8C8C"/>
            </w:tcBorders>
          </w:tcPr>
          <w:p>
            <w:pPr>
              <w:spacing w:after="0" w:line="20" w:lineRule="exact"/>
              <w:rPr>
                <w:sz w:val="1"/>
                <w:szCs w:val="1"/>
                <w:color w:val="auto"/>
              </w:rPr>
            </w:pPr>
          </w:p>
        </w:tc>
        <w:tc>
          <w:tcPr>
            <w:tcW w:w="16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16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180" w:type="dxa"/>
            <w:vAlign w:val="bottom"/>
            <w:tcBorders>
              <w:bottom w:val="single" w:sz="8" w:color="8C8C8C"/>
            </w:tcBorders>
          </w:tcPr>
          <w:p>
            <w:pPr>
              <w:spacing w:after="0" w:line="20" w:lineRule="exact"/>
              <w:rPr>
                <w:sz w:val="1"/>
                <w:szCs w:val="1"/>
                <w:color w:val="auto"/>
              </w:rPr>
            </w:pPr>
          </w:p>
        </w:tc>
        <w:tc>
          <w:tcPr>
            <w:tcW w:w="8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80" w:type="dxa"/>
            <w:vAlign w:val="bottom"/>
            <w:tcBorders>
              <w:bottom w:val="single" w:sz="8" w:color="8C8C8C"/>
            </w:tcBorders>
          </w:tcPr>
          <w:p>
            <w:pPr>
              <w:spacing w:after="0" w:line="20" w:lineRule="exact"/>
              <w:rPr>
                <w:sz w:val="1"/>
                <w:szCs w:val="1"/>
                <w:color w:val="auto"/>
              </w:rPr>
            </w:pPr>
          </w:p>
        </w:tc>
        <w:tc>
          <w:tcPr>
            <w:tcW w:w="580" w:type="dxa"/>
            <w:vAlign w:val="bottom"/>
            <w:tcBorders>
              <w:bottom w:val="single" w:sz="8" w:color="8C8C8C"/>
            </w:tcBorders>
          </w:tcPr>
          <w:p>
            <w:pPr>
              <w:spacing w:after="0" w:line="20" w:lineRule="exact"/>
              <w:rPr>
                <w:sz w:val="1"/>
                <w:szCs w:val="1"/>
                <w:color w:val="auto"/>
              </w:rPr>
            </w:pPr>
          </w:p>
        </w:tc>
        <w:tc>
          <w:tcPr>
            <w:tcW w:w="520" w:type="dxa"/>
            <w:vAlign w:val="bottom"/>
            <w:tcBorders>
              <w:bottom w:val="single" w:sz="8" w:color="8C8C8C"/>
            </w:tcBorders>
          </w:tcPr>
          <w:p>
            <w:pPr>
              <w:spacing w:after="0" w:line="20" w:lineRule="exact"/>
              <w:rPr>
                <w:sz w:val="1"/>
                <w:szCs w:val="1"/>
                <w:color w:val="auto"/>
              </w:rPr>
            </w:pPr>
          </w:p>
        </w:tc>
        <w:tc>
          <w:tcPr>
            <w:tcW w:w="6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660" w:type="dxa"/>
            <w:vAlign w:val="bottom"/>
            <w:tcBorders>
              <w:bottom w:val="single" w:sz="8" w:color="8C8C8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40" w:type="dxa"/>
            <w:vAlign w:val="bottom"/>
            <w:gridSpan w:val="26"/>
          </w:tcPr>
          <w:p>
            <w:pPr>
              <w:spacing w:after="0"/>
              <w:rPr>
                <w:rFonts w:ascii="Arial" w:cs="Arial" w:eastAsia="Arial" w:hAnsi="Arial"/>
                <w:sz w:val="16"/>
                <w:szCs w:val="16"/>
                <w:color w:val="0000EE"/>
              </w:rPr>
            </w:pPr>
            <w:hyperlink w:anchor="page13">
              <w:r>
                <w:rPr>
                  <w:rFonts w:ascii="Arial" w:cs="Arial" w:eastAsia="Arial" w:hAnsi="Arial"/>
                  <w:sz w:val="16"/>
                  <w:szCs w:val="16"/>
                  <w:color w:val="0000EE"/>
                </w:rPr>
                <w:t>FORWARD-LOOKING STATEMENTS</w:t>
              </w:r>
            </w:hyperlink>
          </w:p>
        </w:tc>
        <w:tc>
          <w:tcPr>
            <w:tcW w:w="66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bottom w:val="single" w:sz="8" w:color="8C8C8C"/>
            </w:tcBorders>
          </w:tcPr>
          <w:p>
            <w:pPr>
              <w:spacing w:after="0" w:line="20" w:lineRule="exact"/>
              <w:rPr>
                <w:sz w:val="1"/>
                <w:szCs w:val="1"/>
                <w:color w:val="auto"/>
              </w:rPr>
            </w:pPr>
          </w:p>
        </w:tc>
        <w:tc>
          <w:tcPr>
            <w:tcW w:w="200" w:type="dxa"/>
            <w:vAlign w:val="bottom"/>
            <w:tcBorders>
              <w:top w:val="single" w:sz="8" w:color="0000EE"/>
              <w:bottom w:val="single" w:sz="8" w:color="8C8C8C"/>
            </w:tcBorders>
          </w:tcPr>
          <w:p>
            <w:pPr>
              <w:spacing w:after="0" w:line="20" w:lineRule="exact"/>
              <w:rPr>
                <w:sz w:val="1"/>
                <w:szCs w:val="1"/>
                <w:color w:val="auto"/>
              </w:rPr>
            </w:pPr>
          </w:p>
        </w:tc>
        <w:tc>
          <w:tcPr>
            <w:tcW w:w="220" w:type="dxa"/>
            <w:vAlign w:val="bottom"/>
            <w:tcBorders>
              <w:top w:val="single" w:sz="8" w:color="0000EE"/>
              <w:bottom w:val="single" w:sz="8" w:color="8C8C8C"/>
            </w:tcBorders>
          </w:tcPr>
          <w:p>
            <w:pPr>
              <w:spacing w:after="0" w:line="20" w:lineRule="exact"/>
              <w:rPr>
                <w:sz w:val="1"/>
                <w:szCs w:val="1"/>
                <w:color w:val="auto"/>
              </w:rPr>
            </w:pPr>
          </w:p>
        </w:tc>
        <w:tc>
          <w:tcPr>
            <w:tcW w:w="320" w:type="dxa"/>
            <w:vAlign w:val="bottom"/>
            <w:tcBorders>
              <w:top w:val="single" w:sz="8" w:color="0000EE"/>
              <w:bottom w:val="single" w:sz="8" w:color="8C8C8C"/>
            </w:tcBorders>
          </w:tcPr>
          <w:p>
            <w:pPr>
              <w:spacing w:after="0" w:line="20" w:lineRule="exact"/>
              <w:rPr>
                <w:sz w:val="1"/>
                <w:szCs w:val="1"/>
                <w:color w:val="auto"/>
              </w:rPr>
            </w:pPr>
          </w:p>
        </w:tc>
        <w:tc>
          <w:tcPr>
            <w:tcW w:w="200" w:type="dxa"/>
            <w:vAlign w:val="bottom"/>
            <w:tcBorders>
              <w:top w:val="single" w:sz="8" w:color="0000EE"/>
              <w:bottom w:val="single" w:sz="8" w:color="8C8C8C"/>
            </w:tcBorders>
          </w:tcPr>
          <w:p>
            <w:pPr>
              <w:spacing w:after="0" w:line="20" w:lineRule="exact"/>
              <w:rPr>
                <w:sz w:val="1"/>
                <w:szCs w:val="1"/>
                <w:color w:val="auto"/>
              </w:rPr>
            </w:pPr>
          </w:p>
        </w:tc>
        <w:tc>
          <w:tcPr>
            <w:tcW w:w="160" w:type="dxa"/>
            <w:vAlign w:val="bottom"/>
            <w:tcBorders>
              <w:top w:val="single" w:sz="8" w:color="0000EE"/>
              <w:bottom w:val="single" w:sz="8" w:color="8C8C8C"/>
            </w:tcBorders>
          </w:tcPr>
          <w:p>
            <w:pPr>
              <w:spacing w:after="0" w:line="20" w:lineRule="exact"/>
              <w:rPr>
                <w:sz w:val="1"/>
                <w:szCs w:val="1"/>
                <w:color w:val="auto"/>
              </w:rPr>
            </w:pPr>
          </w:p>
        </w:tc>
        <w:tc>
          <w:tcPr>
            <w:tcW w:w="440" w:type="dxa"/>
            <w:vAlign w:val="bottom"/>
            <w:tcBorders>
              <w:top w:val="single" w:sz="8" w:color="0000EE"/>
              <w:bottom w:val="single" w:sz="8" w:color="8C8C8C"/>
            </w:tcBorders>
          </w:tcPr>
          <w:p>
            <w:pPr>
              <w:spacing w:after="0" w:line="20" w:lineRule="exact"/>
              <w:rPr>
                <w:sz w:val="1"/>
                <w:szCs w:val="1"/>
                <w:color w:val="auto"/>
              </w:rPr>
            </w:pPr>
          </w:p>
        </w:tc>
        <w:tc>
          <w:tcPr>
            <w:tcW w:w="20" w:type="dxa"/>
            <w:vAlign w:val="bottom"/>
            <w:tcBorders>
              <w:top w:val="single" w:sz="8" w:color="0000EE"/>
              <w:bottom w:val="single" w:sz="8" w:color="8C8C8C"/>
            </w:tcBorders>
          </w:tcPr>
          <w:p>
            <w:pPr>
              <w:spacing w:after="0" w:line="20" w:lineRule="exact"/>
              <w:rPr>
                <w:sz w:val="1"/>
                <w:szCs w:val="1"/>
                <w:color w:val="auto"/>
              </w:rPr>
            </w:pPr>
          </w:p>
        </w:tc>
        <w:tc>
          <w:tcPr>
            <w:tcW w:w="200" w:type="dxa"/>
            <w:vAlign w:val="bottom"/>
            <w:tcBorders>
              <w:top w:val="single" w:sz="8" w:color="0000EE"/>
              <w:bottom w:val="single" w:sz="8" w:color="8C8C8C"/>
            </w:tcBorders>
          </w:tcPr>
          <w:p>
            <w:pPr>
              <w:spacing w:after="0" w:line="20" w:lineRule="exact"/>
              <w:rPr>
                <w:sz w:val="1"/>
                <w:szCs w:val="1"/>
                <w:color w:val="auto"/>
              </w:rPr>
            </w:pPr>
          </w:p>
        </w:tc>
        <w:tc>
          <w:tcPr>
            <w:tcW w:w="440" w:type="dxa"/>
            <w:vAlign w:val="bottom"/>
            <w:tcBorders>
              <w:top w:val="single" w:sz="8" w:color="0000EE"/>
              <w:bottom w:val="single" w:sz="8" w:color="8C8C8C"/>
            </w:tcBorders>
          </w:tcPr>
          <w:p>
            <w:pPr>
              <w:spacing w:after="0" w:line="20" w:lineRule="exact"/>
              <w:rPr>
                <w:sz w:val="1"/>
                <w:szCs w:val="1"/>
                <w:color w:val="auto"/>
              </w:rPr>
            </w:pPr>
          </w:p>
        </w:tc>
        <w:tc>
          <w:tcPr>
            <w:tcW w:w="60" w:type="dxa"/>
            <w:vAlign w:val="bottom"/>
            <w:tcBorders>
              <w:top w:val="single" w:sz="8" w:color="0000EE"/>
              <w:bottom w:val="single" w:sz="8" w:color="8C8C8C"/>
            </w:tcBorders>
          </w:tcPr>
          <w:p>
            <w:pPr>
              <w:spacing w:after="0" w:line="20" w:lineRule="exact"/>
              <w:rPr>
                <w:sz w:val="1"/>
                <w:szCs w:val="1"/>
                <w:color w:val="auto"/>
              </w:rPr>
            </w:pPr>
          </w:p>
        </w:tc>
        <w:tc>
          <w:tcPr>
            <w:tcW w:w="80" w:type="dxa"/>
            <w:vAlign w:val="bottom"/>
            <w:tcBorders>
              <w:top w:val="single" w:sz="8" w:color="0000EE"/>
              <w:bottom w:val="single" w:sz="8" w:color="8C8C8C"/>
            </w:tcBorders>
          </w:tcPr>
          <w:p>
            <w:pPr>
              <w:spacing w:after="0" w:line="20" w:lineRule="exact"/>
              <w:rPr>
                <w:sz w:val="1"/>
                <w:szCs w:val="1"/>
                <w:color w:val="auto"/>
              </w:rPr>
            </w:pPr>
          </w:p>
        </w:tc>
        <w:tc>
          <w:tcPr>
            <w:tcW w:w="260" w:type="dxa"/>
            <w:vAlign w:val="bottom"/>
            <w:tcBorders>
              <w:top w:val="single" w:sz="8" w:color="0000EE"/>
              <w:bottom w:val="single" w:sz="8" w:color="8C8C8C"/>
            </w:tcBorders>
          </w:tcPr>
          <w:p>
            <w:pPr>
              <w:spacing w:after="0" w:line="20" w:lineRule="exact"/>
              <w:rPr>
                <w:sz w:val="1"/>
                <w:szCs w:val="1"/>
                <w:color w:val="auto"/>
              </w:rPr>
            </w:pPr>
          </w:p>
        </w:tc>
        <w:tc>
          <w:tcPr>
            <w:tcW w:w="120" w:type="dxa"/>
            <w:vAlign w:val="bottom"/>
            <w:tcBorders>
              <w:top w:val="single" w:sz="8" w:color="0000EE"/>
              <w:bottom w:val="single" w:sz="8" w:color="8C8C8C"/>
            </w:tcBorders>
          </w:tcPr>
          <w:p>
            <w:pPr>
              <w:spacing w:after="0" w:line="20" w:lineRule="exact"/>
              <w:rPr>
                <w:sz w:val="1"/>
                <w:szCs w:val="1"/>
                <w:color w:val="auto"/>
              </w:rPr>
            </w:pPr>
          </w:p>
        </w:tc>
        <w:tc>
          <w:tcPr>
            <w:tcW w:w="16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16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180" w:type="dxa"/>
            <w:vAlign w:val="bottom"/>
            <w:tcBorders>
              <w:bottom w:val="single" w:sz="8" w:color="8C8C8C"/>
            </w:tcBorders>
          </w:tcPr>
          <w:p>
            <w:pPr>
              <w:spacing w:after="0" w:line="20" w:lineRule="exact"/>
              <w:rPr>
                <w:sz w:val="1"/>
                <w:szCs w:val="1"/>
                <w:color w:val="auto"/>
              </w:rPr>
            </w:pPr>
          </w:p>
        </w:tc>
        <w:tc>
          <w:tcPr>
            <w:tcW w:w="8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80" w:type="dxa"/>
            <w:vAlign w:val="bottom"/>
            <w:tcBorders>
              <w:bottom w:val="single" w:sz="8" w:color="8C8C8C"/>
            </w:tcBorders>
          </w:tcPr>
          <w:p>
            <w:pPr>
              <w:spacing w:after="0" w:line="20" w:lineRule="exact"/>
              <w:rPr>
                <w:sz w:val="1"/>
                <w:szCs w:val="1"/>
                <w:color w:val="auto"/>
              </w:rPr>
            </w:pPr>
          </w:p>
        </w:tc>
        <w:tc>
          <w:tcPr>
            <w:tcW w:w="580" w:type="dxa"/>
            <w:vAlign w:val="bottom"/>
            <w:tcBorders>
              <w:bottom w:val="single" w:sz="8" w:color="8C8C8C"/>
            </w:tcBorders>
          </w:tcPr>
          <w:p>
            <w:pPr>
              <w:spacing w:after="0" w:line="20" w:lineRule="exact"/>
              <w:rPr>
                <w:sz w:val="1"/>
                <w:szCs w:val="1"/>
                <w:color w:val="auto"/>
              </w:rPr>
            </w:pPr>
          </w:p>
        </w:tc>
        <w:tc>
          <w:tcPr>
            <w:tcW w:w="520" w:type="dxa"/>
            <w:vAlign w:val="bottom"/>
            <w:tcBorders>
              <w:bottom w:val="single" w:sz="8" w:color="8C8C8C"/>
            </w:tcBorders>
          </w:tcPr>
          <w:p>
            <w:pPr>
              <w:spacing w:after="0" w:line="20" w:lineRule="exact"/>
              <w:rPr>
                <w:sz w:val="1"/>
                <w:szCs w:val="1"/>
                <w:color w:val="auto"/>
              </w:rPr>
            </w:pPr>
          </w:p>
        </w:tc>
        <w:tc>
          <w:tcPr>
            <w:tcW w:w="6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660" w:type="dxa"/>
            <w:vAlign w:val="bottom"/>
            <w:tcBorders>
              <w:bottom w:val="single" w:sz="8" w:color="8C8C8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40" w:type="dxa"/>
            <w:vAlign w:val="bottom"/>
            <w:tcBorders>
              <w:bottom w:val="single" w:sz="8" w:color="0000EE"/>
            </w:tcBorders>
            <w:gridSpan w:val="26"/>
          </w:tcPr>
          <w:p>
            <w:pPr>
              <w:spacing w:after="0"/>
              <w:rPr>
                <w:rFonts w:ascii="Arial" w:cs="Arial" w:eastAsia="Arial" w:hAnsi="Arial"/>
                <w:sz w:val="16"/>
                <w:szCs w:val="16"/>
                <w:color w:val="0000EE"/>
              </w:rPr>
            </w:pPr>
            <w:hyperlink w:anchor="page14">
              <w:r>
                <w:rPr>
                  <w:rFonts w:ascii="Arial" w:cs="Arial" w:eastAsia="Arial" w:hAnsi="Arial"/>
                  <w:sz w:val="16"/>
                  <w:szCs w:val="16"/>
                  <w:color w:val="0000EE"/>
                </w:rPr>
                <w:t>INFORMATION ABOUT THE ANNUAL MEETING AND VOTING</w:t>
              </w:r>
            </w:hyperlink>
          </w:p>
        </w:tc>
        <w:tc>
          <w:tcPr>
            <w:tcW w:w="66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
        </w:trPr>
        <w:tc>
          <w:tcPr>
            <w:tcW w:w="20" w:type="dxa"/>
            <w:vAlign w:val="bottom"/>
            <w:tcBorders>
              <w:bottom w:val="single" w:sz="8" w:color="8C8C8C"/>
            </w:tcBorders>
          </w:tcPr>
          <w:p>
            <w:pPr>
              <w:spacing w:after="0" w:line="20" w:lineRule="exact"/>
              <w:rPr>
                <w:sz w:val="1"/>
                <w:szCs w:val="1"/>
                <w:color w:val="auto"/>
              </w:rPr>
            </w:pPr>
          </w:p>
        </w:tc>
        <w:tc>
          <w:tcPr>
            <w:tcW w:w="200" w:type="dxa"/>
            <w:vAlign w:val="bottom"/>
            <w:tcBorders>
              <w:bottom w:val="single" w:sz="8" w:color="8C8C8C"/>
            </w:tcBorders>
          </w:tcPr>
          <w:p>
            <w:pPr>
              <w:spacing w:after="0" w:line="20" w:lineRule="exact"/>
              <w:rPr>
                <w:sz w:val="1"/>
                <w:szCs w:val="1"/>
                <w:color w:val="auto"/>
              </w:rPr>
            </w:pPr>
          </w:p>
        </w:tc>
        <w:tc>
          <w:tcPr>
            <w:tcW w:w="220" w:type="dxa"/>
            <w:vAlign w:val="bottom"/>
            <w:tcBorders>
              <w:bottom w:val="single" w:sz="8" w:color="8C8C8C"/>
            </w:tcBorders>
          </w:tcPr>
          <w:p>
            <w:pPr>
              <w:spacing w:after="0" w:line="20" w:lineRule="exact"/>
              <w:rPr>
                <w:sz w:val="1"/>
                <w:szCs w:val="1"/>
                <w:color w:val="auto"/>
              </w:rPr>
            </w:pPr>
          </w:p>
        </w:tc>
        <w:tc>
          <w:tcPr>
            <w:tcW w:w="320" w:type="dxa"/>
            <w:vAlign w:val="bottom"/>
            <w:tcBorders>
              <w:bottom w:val="single" w:sz="8" w:color="8C8C8C"/>
            </w:tcBorders>
          </w:tcPr>
          <w:p>
            <w:pPr>
              <w:spacing w:after="0" w:line="20" w:lineRule="exact"/>
              <w:rPr>
                <w:sz w:val="1"/>
                <w:szCs w:val="1"/>
                <w:color w:val="auto"/>
              </w:rPr>
            </w:pPr>
          </w:p>
        </w:tc>
        <w:tc>
          <w:tcPr>
            <w:tcW w:w="200" w:type="dxa"/>
            <w:vAlign w:val="bottom"/>
            <w:tcBorders>
              <w:bottom w:val="single" w:sz="8" w:color="8C8C8C"/>
            </w:tcBorders>
          </w:tcPr>
          <w:p>
            <w:pPr>
              <w:spacing w:after="0" w:line="20" w:lineRule="exact"/>
              <w:rPr>
                <w:sz w:val="1"/>
                <w:szCs w:val="1"/>
                <w:color w:val="auto"/>
              </w:rPr>
            </w:pPr>
          </w:p>
        </w:tc>
        <w:tc>
          <w:tcPr>
            <w:tcW w:w="160" w:type="dxa"/>
            <w:vAlign w:val="bottom"/>
            <w:tcBorders>
              <w:bottom w:val="single" w:sz="8" w:color="8C8C8C"/>
            </w:tcBorders>
          </w:tcPr>
          <w:p>
            <w:pPr>
              <w:spacing w:after="0" w:line="20" w:lineRule="exact"/>
              <w:rPr>
                <w:sz w:val="1"/>
                <w:szCs w:val="1"/>
                <w:color w:val="auto"/>
              </w:rPr>
            </w:pPr>
          </w:p>
        </w:tc>
        <w:tc>
          <w:tcPr>
            <w:tcW w:w="44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200" w:type="dxa"/>
            <w:vAlign w:val="bottom"/>
            <w:tcBorders>
              <w:bottom w:val="single" w:sz="8" w:color="8C8C8C"/>
            </w:tcBorders>
          </w:tcPr>
          <w:p>
            <w:pPr>
              <w:spacing w:after="0" w:line="20" w:lineRule="exact"/>
              <w:rPr>
                <w:sz w:val="1"/>
                <w:szCs w:val="1"/>
                <w:color w:val="auto"/>
              </w:rPr>
            </w:pPr>
          </w:p>
        </w:tc>
        <w:tc>
          <w:tcPr>
            <w:tcW w:w="440" w:type="dxa"/>
            <w:vAlign w:val="bottom"/>
            <w:tcBorders>
              <w:bottom w:val="single" w:sz="8" w:color="8C8C8C"/>
            </w:tcBorders>
          </w:tcPr>
          <w:p>
            <w:pPr>
              <w:spacing w:after="0" w:line="20" w:lineRule="exact"/>
              <w:rPr>
                <w:sz w:val="1"/>
                <w:szCs w:val="1"/>
                <w:color w:val="auto"/>
              </w:rPr>
            </w:pPr>
          </w:p>
        </w:tc>
        <w:tc>
          <w:tcPr>
            <w:tcW w:w="60" w:type="dxa"/>
            <w:vAlign w:val="bottom"/>
            <w:tcBorders>
              <w:bottom w:val="single" w:sz="8" w:color="8C8C8C"/>
            </w:tcBorders>
          </w:tcPr>
          <w:p>
            <w:pPr>
              <w:spacing w:after="0" w:line="20" w:lineRule="exact"/>
              <w:rPr>
                <w:sz w:val="1"/>
                <w:szCs w:val="1"/>
                <w:color w:val="auto"/>
              </w:rPr>
            </w:pPr>
          </w:p>
        </w:tc>
        <w:tc>
          <w:tcPr>
            <w:tcW w:w="80" w:type="dxa"/>
            <w:vAlign w:val="bottom"/>
            <w:tcBorders>
              <w:bottom w:val="single" w:sz="8" w:color="8C8C8C"/>
            </w:tcBorders>
          </w:tcPr>
          <w:p>
            <w:pPr>
              <w:spacing w:after="0" w:line="20" w:lineRule="exact"/>
              <w:rPr>
                <w:sz w:val="1"/>
                <w:szCs w:val="1"/>
                <w:color w:val="auto"/>
              </w:rPr>
            </w:pPr>
          </w:p>
        </w:tc>
        <w:tc>
          <w:tcPr>
            <w:tcW w:w="260" w:type="dxa"/>
            <w:vAlign w:val="bottom"/>
            <w:tcBorders>
              <w:bottom w:val="single" w:sz="8" w:color="8C8C8C"/>
            </w:tcBorders>
          </w:tcPr>
          <w:p>
            <w:pPr>
              <w:spacing w:after="0" w:line="20" w:lineRule="exact"/>
              <w:rPr>
                <w:sz w:val="1"/>
                <w:szCs w:val="1"/>
                <w:color w:val="auto"/>
              </w:rPr>
            </w:pPr>
          </w:p>
        </w:tc>
        <w:tc>
          <w:tcPr>
            <w:tcW w:w="120" w:type="dxa"/>
            <w:vAlign w:val="bottom"/>
            <w:tcBorders>
              <w:bottom w:val="single" w:sz="8" w:color="8C8C8C"/>
            </w:tcBorders>
          </w:tcPr>
          <w:p>
            <w:pPr>
              <w:spacing w:after="0" w:line="20" w:lineRule="exact"/>
              <w:rPr>
                <w:sz w:val="1"/>
                <w:szCs w:val="1"/>
                <w:color w:val="auto"/>
              </w:rPr>
            </w:pPr>
          </w:p>
        </w:tc>
        <w:tc>
          <w:tcPr>
            <w:tcW w:w="16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16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180" w:type="dxa"/>
            <w:vAlign w:val="bottom"/>
            <w:tcBorders>
              <w:bottom w:val="single" w:sz="8" w:color="8C8C8C"/>
            </w:tcBorders>
          </w:tcPr>
          <w:p>
            <w:pPr>
              <w:spacing w:after="0" w:line="20" w:lineRule="exact"/>
              <w:rPr>
                <w:sz w:val="1"/>
                <w:szCs w:val="1"/>
                <w:color w:val="auto"/>
              </w:rPr>
            </w:pPr>
          </w:p>
        </w:tc>
        <w:tc>
          <w:tcPr>
            <w:tcW w:w="8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80" w:type="dxa"/>
            <w:vAlign w:val="bottom"/>
            <w:tcBorders>
              <w:bottom w:val="single" w:sz="8" w:color="8C8C8C"/>
            </w:tcBorders>
          </w:tcPr>
          <w:p>
            <w:pPr>
              <w:spacing w:after="0" w:line="20" w:lineRule="exact"/>
              <w:rPr>
                <w:sz w:val="1"/>
                <w:szCs w:val="1"/>
                <w:color w:val="auto"/>
              </w:rPr>
            </w:pPr>
          </w:p>
        </w:tc>
        <w:tc>
          <w:tcPr>
            <w:tcW w:w="580" w:type="dxa"/>
            <w:vAlign w:val="bottom"/>
            <w:tcBorders>
              <w:bottom w:val="single" w:sz="8" w:color="8C8C8C"/>
            </w:tcBorders>
          </w:tcPr>
          <w:p>
            <w:pPr>
              <w:spacing w:after="0" w:line="20" w:lineRule="exact"/>
              <w:rPr>
                <w:sz w:val="1"/>
                <w:szCs w:val="1"/>
                <w:color w:val="auto"/>
              </w:rPr>
            </w:pPr>
          </w:p>
        </w:tc>
        <w:tc>
          <w:tcPr>
            <w:tcW w:w="520" w:type="dxa"/>
            <w:vAlign w:val="bottom"/>
            <w:tcBorders>
              <w:bottom w:val="single" w:sz="8" w:color="8C8C8C"/>
            </w:tcBorders>
          </w:tcPr>
          <w:p>
            <w:pPr>
              <w:spacing w:after="0" w:line="20" w:lineRule="exact"/>
              <w:rPr>
                <w:sz w:val="1"/>
                <w:szCs w:val="1"/>
                <w:color w:val="auto"/>
              </w:rPr>
            </w:pPr>
          </w:p>
        </w:tc>
        <w:tc>
          <w:tcPr>
            <w:tcW w:w="6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660" w:type="dxa"/>
            <w:vAlign w:val="bottom"/>
            <w:tcBorders>
              <w:bottom w:val="single" w:sz="8" w:color="8C8C8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40" w:type="dxa"/>
            <w:vAlign w:val="bottom"/>
            <w:gridSpan w:val="26"/>
          </w:tcPr>
          <w:p>
            <w:pPr>
              <w:spacing w:after="0"/>
              <w:rPr>
                <w:rFonts w:ascii="Arial" w:cs="Arial" w:eastAsia="Arial" w:hAnsi="Arial"/>
                <w:sz w:val="16"/>
                <w:szCs w:val="16"/>
                <w:color w:val="0000EE"/>
              </w:rPr>
            </w:pPr>
            <w:hyperlink w:anchor="page19">
              <w:r>
                <w:rPr>
                  <w:rFonts w:ascii="Arial" w:cs="Arial" w:eastAsia="Arial" w:hAnsi="Arial"/>
                  <w:sz w:val="16"/>
                  <w:szCs w:val="16"/>
                  <w:color w:val="0000EE"/>
                </w:rPr>
                <w:t>HOUSEHOLDING OF ANNUAL MEETING MATERIALS</w:t>
              </w:r>
            </w:hyperlink>
          </w:p>
        </w:tc>
        <w:tc>
          <w:tcPr>
            <w:tcW w:w="66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bottom w:val="single" w:sz="8" w:color="8C8C8C"/>
            </w:tcBorders>
          </w:tcPr>
          <w:p>
            <w:pPr>
              <w:spacing w:after="0" w:line="20" w:lineRule="exact"/>
              <w:rPr>
                <w:sz w:val="1"/>
                <w:szCs w:val="1"/>
                <w:color w:val="auto"/>
              </w:rPr>
            </w:pPr>
          </w:p>
        </w:tc>
        <w:tc>
          <w:tcPr>
            <w:tcW w:w="200" w:type="dxa"/>
            <w:vAlign w:val="bottom"/>
            <w:tcBorders>
              <w:top w:val="single" w:sz="8" w:color="0000EE"/>
              <w:bottom w:val="single" w:sz="8" w:color="8C8C8C"/>
            </w:tcBorders>
          </w:tcPr>
          <w:p>
            <w:pPr>
              <w:spacing w:after="0" w:line="20" w:lineRule="exact"/>
              <w:rPr>
                <w:sz w:val="1"/>
                <w:szCs w:val="1"/>
                <w:color w:val="auto"/>
              </w:rPr>
            </w:pPr>
          </w:p>
        </w:tc>
        <w:tc>
          <w:tcPr>
            <w:tcW w:w="220" w:type="dxa"/>
            <w:vAlign w:val="bottom"/>
            <w:tcBorders>
              <w:top w:val="single" w:sz="8" w:color="0000EE"/>
              <w:bottom w:val="single" w:sz="8" w:color="8C8C8C"/>
            </w:tcBorders>
          </w:tcPr>
          <w:p>
            <w:pPr>
              <w:spacing w:after="0" w:line="20" w:lineRule="exact"/>
              <w:rPr>
                <w:sz w:val="1"/>
                <w:szCs w:val="1"/>
                <w:color w:val="auto"/>
              </w:rPr>
            </w:pPr>
          </w:p>
        </w:tc>
        <w:tc>
          <w:tcPr>
            <w:tcW w:w="320" w:type="dxa"/>
            <w:vAlign w:val="bottom"/>
            <w:tcBorders>
              <w:top w:val="single" w:sz="8" w:color="0000EE"/>
              <w:bottom w:val="single" w:sz="8" w:color="8C8C8C"/>
            </w:tcBorders>
          </w:tcPr>
          <w:p>
            <w:pPr>
              <w:spacing w:after="0" w:line="20" w:lineRule="exact"/>
              <w:rPr>
                <w:sz w:val="1"/>
                <w:szCs w:val="1"/>
                <w:color w:val="auto"/>
              </w:rPr>
            </w:pPr>
          </w:p>
        </w:tc>
        <w:tc>
          <w:tcPr>
            <w:tcW w:w="200" w:type="dxa"/>
            <w:vAlign w:val="bottom"/>
            <w:tcBorders>
              <w:top w:val="single" w:sz="8" w:color="0000EE"/>
              <w:bottom w:val="single" w:sz="8" w:color="8C8C8C"/>
            </w:tcBorders>
          </w:tcPr>
          <w:p>
            <w:pPr>
              <w:spacing w:after="0" w:line="20" w:lineRule="exact"/>
              <w:rPr>
                <w:sz w:val="1"/>
                <w:szCs w:val="1"/>
                <w:color w:val="auto"/>
              </w:rPr>
            </w:pPr>
          </w:p>
        </w:tc>
        <w:tc>
          <w:tcPr>
            <w:tcW w:w="160" w:type="dxa"/>
            <w:vAlign w:val="bottom"/>
            <w:tcBorders>
              <w:top w:val="single" w:sz="8" w:color="0000EE"/>
              <w:bottom w:val="single" w:sz="8" w:color="8C8C8C"/>
            </w:tcBorders>
          </w:tcPr>
          <w:p>
            <w:pPr>
              <w:spacing w:after="0" w:line="20" w:lineRule="exact"/>
              <w:rPr>
                <w:sz w:val="1"/>
                <w:szCs w:val="1"/>
                <w:color w:val="auto"/>
              </w:rPr>
            </w:pPr>
          </w:p>
        </w:tc>
        <w:tc>
          <w:tcPr>
            <w:tcW w:w="440" w:type="dxa"/>
            <w:vAlign w:val="bottom"/>
            <w:tcBorders>
              <w:top w:val="single" w:sz="8" w:color="0000EE"/>
              <w:bottom w:val="single" w:sz="8" w:color="8C8C8C"/>
            </w:tcBorders>
          </w:tcPr>
          <w:p>
            <w:pPr>
              <w:spacing w:after="0" w:line="20" w:lineRule="exact"/>
              <w:rPr>
                <w:sz w:val="1"/>
                <w:szCs w:val="1"/>
                <w:color w:val="auto"/>
              </w:rPr>
            </w:pPr>
          </w:p>
        </w:tc>
        <w:tc>
          <w:tcPr>
            <w:tcW w:w="20" w:type="dxa"/>
            <w:vAlign w:val="bottom"/>
            <w:tcBorders>
              <w:top w:val="single" w:sz="8" w:color="0000EE"/>
              <w:bottom w:val="single" w:sz="8" w:color="8C8C8C"/>
            </w:tcBorders>
          </w:tcPr>
          <w:p>
            <w:pPr>
              <w:spacing w:after="0" w:line="20" w:lineRule="exact"/>
              <w:rPr>
                <w:sz w:val="1"/>
                <w:szCs w:val="1"/>
                <w:color w:val="auto"/>
              </w:rPr>
            </w:pPr>
          </w:p>
        </w:tc>
        <w:tc>
          <w:tcPr>
            <w:tcW w:w="200" w:type="dxa"/>
            <w:vAlign w:val="bottom"/>
            <w:tcBorders>
              <w:top w:val="single" w:sz="8" w:color="0000EE"/>
              <w:bottom w:val="single" w:sz="8" w:color="8C8C8C"/>
            </w:tcBorders>
          </w:tcPr>
          <w:p>
            <w:pPr>
              <w:spacing w:after="0" w:line="20" w:lineRule="exact"/>
              <w:rPr>
                <w:sz w:val="1"/>
                <w:szCs w:val="1"/>
                <w:color w:val="auto"/>
              </w:rPr>
            </w:pPr>
          </w:p>
        </w:tc>
        <w:tc>
          <w:tcPr>
            <w:tcW w:w="440" w:type="dxa"/>
            <w:vAlign w:val="bottom"/>
            <w:tcBorders>
              <w:top w:val="single" w:sz="8" w:color="0000EE"/>
              <w:bottom w:val="single" w:sz="8" w:color="8C8C8C"/>
            </w:tcBorders>
          </w:tcPr>
          <w:p>
            <w:pPr>
              <w:spacing w:after="0" w:line="20" w:lineRule="exact"/>
              <w:rPr>
                <w:sz w:val="1"/>
                <w:szCs w:val="1"/>
                <w:color w:val="auto"/>
              </w:rPr>
            </w:pPr>
          </w:p>
        </w:tc>
        <w:tc>
          <w:tcPr>
            <w:tcW w:w="60" w:type="dxa"/>
            <w:vAlign w:val="bottom"/>
            <w:tcBorders>
              <w:top w:val="single" w:sz="8" w:color="0000EE"/>
              <w:bottom w:val="single" w:sz="8" w:color="8C8C8C"/>
            </w:tcBorders>
          </w:tcPr>
          <w:p>
            <w:pPr>
              <w:spacing w:after="0" w:line="20" w:lineRule="exact"/>
              <w:rPr>
                <w:sz w:val="1"/>
                <w:szCs w:val="1"/>
                <w:color w:val="auto"/>
              </w:rPr>
            </w:pPr>
          </w:p>
        </w:tc>
        <w:tc>
          <w:tcPr>
            <w:tcW w:w="80" w:type="dxa"/>
            <w:vAlign w:val="bottom"/>
            <w:tcBorders>
              <w:top w:val="single" w:sz="8" w:color="0000EE"/>
              <w:bottom w:val="single" w:sz="8" w:color="8C8C8C"/>
            </w:tcBorders>
          </w:tcPr>
          <w:p>
            <w:pPr>
              <w:spacing w:after="0" w:line="20" w:lineRule="exact"/>
              <w:rPr>
                <w:sz w:val="1"/>
                <w:szCs w:val="1"/>
                <w:color w:val="auto"/>
              </w:rPr>
            </w:pPr>
          </w:p>
        </w:tc>
        <w:tc>
          <w:tcPr>
            <w:tcW w:w="260" w:type="dxa"/>
            <w:vAlign w:val="bottom"/>
            <w:tcBorders>
              <w:top w:val="single" w:sz="8" w:color="0000EE"/>
              <w:bottom w:val="single" w:sz="8" w:color="8C8C8C"/>
            </w:tcBorders>
          </w:tcPr>
          <w:p>
            <w:pPr>
              <w:spacing w:after="0" w:line="20" w:lineRule="exact"/>
              <w:rPr>
                <w:sz w:val="1"/>
                <w:szCs w:val="1"/>
                <w:color w:val="auto"/>
              </w:rPr>
            </w:pPr>
          </w:p>
        </w:tc>
        <w:tc>
          <w:tcPr>
            <w:tcW w:w="120" w:type="dxa"/>
            <w:vAlign w:val="bottom"/>
            <w:tcBorders>
              <w:top w:val="single" w:sz="8" w:color="0000EE"/>
              <w:bottom w:val="single" w:sz="8" w:color="8C8C8C"/>
            </w:tcBorders>
          </w:tcPr>
          <w:p>
            <w:pPr>
              <w:spacing w:after="0" w:line="20" w:lineRule="exact"/>
              <w:rPr>
                <w:sz w:val="1"/>
                <w:szCs w:val="1"/>
                <w:color w:val="auto"/>
              </w:rPr>
            </w:pPr>
          </w:p>
        </w:tc>
        <w:tc>
          <w:tcPr>
            <w:tcW w:w="160" w:type="dxa"/>
            <w:vAlign w:val="bottom"/>
            <w:tcBorders>
              <w:top w:val="single" w:sz="8" w:color="0000EE"/>
              <w:bottom w:val="single" w:sz="8" w:color="8C8C8C"/>
            </w:tcBorders>
          </w:tcPr>
          <w:p>
            <w:pPr>
              <w:spacing w:after="0" w:line="20" w:lineRule="exact"/>
              <w:rPr>
                <w:sz w:val="1"/>
                <w:szCs w:val="1"/>
                <w:color w:val="auto"/>
              </w:rPr>
            </w:pPr>
          </w:p>
        </w:tc>
        <w:tc>
          <w:tcPr>
            <w:tcW w:w="20" w:type="dxa"/>
            <w:vAlign w:val="bottom"/>
            <w:tcBorders>
              <w:top w:val="single" w:sz="8" w:color="0000EE"/>
              <w:bottom w:val="single" w:sz="8" w:color="8C8C8C"/>
            </w:tcBorders>
          </w:tcPr>
          <w:p>
            <w:pPr>
              <w:spacing w:after="0" w:line="20" w:lineRule="exact"/>
              <w:rPr>
                <w:sz w:val="1"/>
                <w:szCs w:val="1"/>
                <w:color w:val="auto"/>
              </w:rPr>
            </w:pPr>
          </w:p>
        </w:tc>
        <w:tc>
          <w:tcPr>
            <w:tcW w:w="160" w:type="dxa"/>
            <w:vAlign w:val="bottom"/>
            <w:tcBorders>
              <w:top w:val="single" w:sz="8" w:color="0000EE"/>
              <w:bottom w:val="single" w:sz="8" w:color="8C8C8C"/>
            </w:tcBorders>
          </w:tcPr>
          <w:p>
            <w:pPr>
              <w:spacing w:after="0" w:line="20" w:lineRule="exact"/>
              <w:rPr>
                <w:sz w:val="1"/>
                <w:szCs w:val="1"/>
                <w:color w:val="auto"/>
              </w:rPr>
            </w:pPr>
          </w:p>
        </w:tc>
        <w:tc>
          <w:tcPr>
            <w:tcW w:w="20" w:type="dxa"/>
            <w:vAlign w:val="bottom"/>
            <w:tcBorders>
              <w:top w:val="single" w:sz="8" w:color="0000EE"/>
              <w:bottom w:val="single" w:sz="8" w:color="8C8C8C"/>
            </w:tcBorders>
          </w:tcPr>
          <w:p>
            <w:pPr>
              <w:spacing w:after="0" w:line="20" w:lineRule="exact"/>
              <w:rPr>
                <w:sz w:val="1"/>
                <w:szCs w:val="1"/>
                <w:color w:val="auto"/>
              </w:rPr>
            </w:pPr>
          </w:p>
        </w:tc>
        <w:tc>
          <w:tcPr>
            <w:tcW w:w="180" w:type="dxa"/>
            <w:vAlign w:val="bottom"/>
            <w:tcBorders>
              <w:top w:val="single" w:sz="8" w:color="0000EE"/>
              <w:bottom w:val="single" w:sz="8" w:color="8C8C8C"/>
            </w:tcBorders>
          </w:tcPr>
          <w:p>
            <w:pPr>
              <w:spacing w:after="0" w:line="20" w:lineRule="exact"/>
              <w:rPr>
                <w:sz w:val="1"/>
                <w:szCs w:val="1"/>
                <w:color w:val="auto"/>
              </w:rPr>
            </w:pPr>
          </w:p>
        </w:tc>
        <w:tc>
          <w:tcPr>
            <w:tcW w:w="80" w:type="dxa"/>
            <w:vAlign w:val="bottom"/>
            <w:tcBorders>
              <w:top w:val="single" w:sz="8" w:color="0000EE"/>
              <w:bottom w:val="single" w:sz="8" w:color="8C8C8C"/>
            </w:tcBorders>
          </w:tcPr>
          <w:p>
            <w:pPr>
              <w:spacing w:after="0" w:line="20" w:lineRule="exact"/>
              <w:rPr>
                <w:sz w:val="1"/>
                <w:szCs w:val="1"/>
                <w:color w:val="auto"/>
              </w:rPr>
            </w:pPr>
          </w:p>
        </w:tc>
        <w:tc>
          <w:tcPr>
            <w:tcW w:w="20" w:type="dxa"/>
            <w:vAlign w:val="bottom"/>
            <w:tcBorders>
              <w:top w:val="single" w:sz="8" w:color="0000EE"/>
              <w:bottom w:val="single" w:sz="8" w:color="8C8C8C"/>
            </w:tcBorders>
          </w:tcPr>
          <w:p>
            <w:pPr>
              <w:spacing w:after="0" w:line="20" w:lineRule="exact"/>
              <w:rPr>
                <w:sz w:val="1"/>
                <w:szCs w:val="1"/>
                <w:color w:val="auto"/>
              </w:rPr>
            </w:pPr>
          </w:p>
        </w:tc>
        <w:tc>
          <w:tcPr>
            <w:tcW w:w="80" w:type="dxa"/>
            <w:vAlign w:val="bottom"/>
            <w:tcBorders>
              <w:top w:val="single" w:sz="8" w:color="0000EE"/>
              <w:bottom w:val="single" w:sz="8" w:color="8C8C8C"/>
            </w:tcBorders>
          </w:tcPr>
          <w:p>
            <w:pPr>
              <w:spacing w:after="0" w:line="20" w:lineRule="exact"/>
              <w:rPr>
                <w:sz w:val="1"/>
                <w:szCs w:val="1"/>
                <w:color w:val="auto"/>
              </w:rPr>
            </w:pPr>
          </w:p>
        </w:tc>
        <w:tc>
          <w:tcPr>
            <w:tcW w:w="580" w:type="dxa"/>
            <w:vAlign w:val="bottom"/>
            <w:tcBorders>
              <w:top w:val="single" w:sz="8" w:color="0000EE"/>
              <w:bottom w:val="single" w:sz="8" w:color="8C8C8C"/>
            </w:tcBorders>
          </w:tcPr>
          <w:p>
            <w:pPr>
              <w:spacing w:after="0" w:line="20" w:lineRule="exact"/>
              <w:rPr>
                <w:sz w:val="1"/>
                <w:szCs w:val="1"/>
                <w:color w:val="auto"/>
              </w:rPr>
            </w:pPr>
          </w:p>
        </w:tc>
        <w:tc>
          <w:tcPr>
            <w:tcW w:w="520" w:type="dxa"/>
            <w:vAlign w:val="bottom"/>
            <w:tcBorders>
              <w:bottom w:val="single" w:sz="8" w:color="8C8C8C"/>
            </w:tcBorders>
          </w:tcPr>
          <w:p>
            <w:pPr>
              <w:spacing w:after="0" w:line="20" w:lineRule="exact"/>
              <w:rPr>
                <w:sz w:val="1"/>
                <w:szCs w:val="1"/>
                <w:color w:val="auto"/>
              </w:rPr>
            </w:pPr>
          </w:p>
        </w:tc>
        <w:tc>
          <w:tcPr>
            <w:tcW w:w="6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660" w:type="dxa"/>
            <w:vAlign w:val="bottom"/>
            <w:tcBorders>
              <w:bottom w:val="single" w:sz="8" w:color="8C8C8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40" w:type="dxa"/>
            <w:vAlign w:val="bottom"/>
            <w:tcBorders>
              <w:bottom w:val="single" w:sz="8" w:color="0000EE"/>
            </w:tcBorders>
            <w:gridSpan w:val="26"/>
          </w:tcPr>
          <w:p>
            <w:pPr>
              <w:spacing w:after="0"/>
              <w:rPr>
                <w:rFonts w:ascii="Arial" w:cs="Arial" w:eastAsia="Arial" w:hAnsi="Arial"/>
                <w:sz w:val="16"/>
                <w:szCs w:val="16"/>
                <w:color w:val="0000EE"/>
              </w:rPr>
            </w:pPr>
            <w:hyperlink w:anchor="page20">
              <w:r>
                <w:rPr>
                  <w:rFonts w:ascii="Arial" w:cs="Arial" w:eastAsia="Arial" w:hAnsi="Arial"/>
                  <w:sz w:val="16"/>
                  <w:szCs w:val="16"/>
                  <w:color w:val="0000EE"/>
                </w:rPr>
                <w:t>SECURITY OWNERSHIP OF CERTAIN BENEFICIAL OWNERS</w:t>
              </w:r>
            </w:hyperlink>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640" w:type="dxa"/>
            <w:vAlign w:val="bottom"/>
            <w:gridSpan w:val="26"/>
          </w:tcPr>
          <w:p>
            <w:pPr>
              <w:spacing w:after="0" w:line="169" w:lineRule="exact"/>
              <w:rPr>
                <w:rFonts w:ascii="Arial" w:cs="Arial" w:eastAsia="Arial" w:hAnsi="Arial"/>
                <w:sz w:val="16"/>
                <w:szCs w:val="16"/>
                <w:color w:val="0000EE"/>
              </w:rPr>
            </w:pPr>
            <w:hyperlink w:anchor="page20">
              <w:r>
                <w:rPr>
                  <w:rFonts w:ascii="Arial" w:cs="Arial" w:eastAsia="Arial" w:hAnsi="Arial"/>
                  <w:sz w:val="16"/>
                  <w:szCs w:val="16"/>
                  <w:color w:val="0000EE"/>
                </w:rPr>
                <w:t>AND MANAGEMENT</w:t>
              </w:r>
            </w:hyperlink>
          </w:p>
        </w:tc>
        <w:tc>
          <w:tcPr>
            <w:tcW w:w="660" w:type="dxa"/>
            <w:vAlign w:val="bottom"/>
          </w:tcPr>
          <w:p>
            <w:pPr>
              <w:jc w:val="right"/>
              <w:spacing w:after="0" w:line="169" w:lineRule="exact"/>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bottom w:val="single" w:sz="8" w:color="8C8C8C"/>
            </w:tcBorders>
          </w:tcPr>
          <w:p>
            <w:pPr>
              <w:spacing w:after="0" w:line="20" w:lineRule="exact"/>
              <w:rPr>
                <w:sz w:val="1"/>
                <w:szCs w:val="1"/>
                <w:color w:val="auto"/>
              </w:rPr>
            </w:pPr>
          </w:p>
        </w:tc>
        <w:tc>
          <w:tcPr>
            <w:tcW w:w="200" w:type="dxa"/>
            <w:vAlign w:val="bottom"/>
            <w:tcBorders>
              <w:top w:val="single" w:sz="8" w:color="0000EE"/>
              <w:bottom w:val="single" w:sz="8" w:color="8C8C8C"/>
            </w:tcBorders>
          </w:tcPr>
          <w:p>
            <w:pPr>
              <w:spacing w:after="0" w:line="20" w:lineRule="exact"/>
              <w:rPr>
                <w:sz w:val="1"/>
                <w:szCs w:val="1"/>
                <w:color w:val="auto"/>
              </w:rPr>
            </w:pPr>
          </w:p>
        </w:tc>
        <w:tc>
          <w:tcPr>
            <w:tcW w:w="220" w:type="dxa"/>
            <w:vAlign w:val="bottom"/>
            <w:tcBorders>
              <w:top w:val="single" w:sz="8" w:color="0000EE"/>
              <w:bottom w:val="single" w:sz="8" w:color="8C8C8C"/>
            </w:tcBorders>
          </w:tcPr>
          <w:p>
            <w:pPr>
              <w:spacing w:after="0" w:line="20" w:lineRule="exact"/>
              <w:rPr>
                <w:sz w:val="1"/>
                <w:szCs w:val="1"/>
                <w:color w:val="auto"/>
              </w:rPr>
            </w:pPr>
          </w:p>
        </w:tc>
        <w:tc>
          <w:tcPr>
            <w:tcW w:w="320" w:type="dxa"/>
            <w:vAlign w:val="bottom"/>
            <w:tcBorders>
              <w:top w:val="single" w:sz="8" w:color="0000EE"/>
              <w:bottom w:val="single" w:sz="8" w:color="8C8C8C"/>
            </w:tcBorders>
          </w:tcPr>
          <w:p>
            <w:pPr>
              <w:spacing w:after="0" w:line="20" w:lineRule="exact"/>
              <w:rPr>
                <w:sz w:val="1"/>
                <w:szCs w:val="1"/>
                <w:color w:val="auto"/>
              </w:rPr>
            </w:pPr>
          </w:p>
        </w:tc>
        <w:tc>
          <w:tcPr>
            <w:tcW w:w="200" w:type="dxa"/>
            <w:vAlign w:val="bottom"/>
            <w:tcBorders>
              <w:top w:val="single" w:sz="8" w:color="0000EE"/>
              <w:bottom w:val="single" w:sz="8" w:color="8C8C8C"/>
            </w:tcBorders>
          </w:tcPr>
          <w:p>
            <w:pPr>
              <w:spacing w:after="0" w:line="20" w:lineRule="exact"/>
              <w:rPr>
                <w:sz w:val="1"/>
                <w:szCs w:val="1"/>
                <w:color w:val="auto"/>
              </w:rPr>
            </w:pPr>
          </w:p>
        </w:tc>
        <w:tc>
          <w:tcPr>
            <w:tcW w:w="160" w:type="dxa"/>
            <w:vAlign w:val="bottom"/>
            <w:tcBorders>
              <w:top w:val="single" w:sz="8" w:color="0000EE"/>
              <w:bottom w:val="single" w:sz="8" w:color="8C8C8C"/>
            </w:tcBorders>
          </w:tcPr>
          <w:p>
            <w:pPr>
              <w:spacing w:after="0" w:line="20" w:lineRule="exact"/>
              <w:rPr>
                <w:sz w:val="1"/>
                <w:szCs w:val="1"/>
                <w:color w:val="auto"/>
              </w:rPr>
            </w:pPr>
          </w:p>
        </w:tc>
        <w:tc>
          <w:tcPr>
            <w:tcW w:w="440" w:type="dxa"/>
            <w:vAlign w:val="bottom"/>
            <w:tcBorders>
              <w:top w:val="single" w:sz="8" w:color="0000EE"/>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200" w:type="dxa"/>
            <w:vAlign w:val="bottom"/>
            <w:tcBorders>
              <w:bottom w:val="single" w:sz="8" w:color="8C8C8C"/>
            </w:tcBorders>
          </w:tcPr>
          <w:p>
            <w:pPr>
              <w:spacing w:after="0" w:line="20" w:lineRule="exact"/>
              <w:rPr>
                <w:sz w:val="1"/>
                <w:szCs w:val="1"/>
                <w:color w:val="auto"/>
              </w:rPr>
            </w:pPr>
          </w:p>
        </w:tc>
        <w:tc>
          <w:tcPr>
            <w:tcW w:w="440" w:type="dxa"/>
            <w:vAlign w:val="bottom"/>
            <w:tcBorders>
              <w:bottom w:val="single" w:sz="8" w:color="8C8C8C"/>
            </w:tcBorders>
          </w:tcPr>
          <w:p>
            <w:pPr>
              <w:spacing w:after="0" w:line="20" w:lineRule="exact"/>
              <w:rPr>
                <w:sz w:val="1"/>
                <w:szCs w:val="1"/>
                <w:color w:val="auto"/>
              </w:rPr>
            </w:pPr>
          </w:p>
        </w:tc>
        <w:tc>
          <w:tcPr>
            <w:tcW w:w="60" w:type="dxa"/>
            <w:vAlign w:val="bottom"/>
            <w:tcBorders>
              <w:bottom w:val="single" w:sz="8" w:color="8C8C8C"/>
            </w:tcBorders>
          </w:tcPr>
          <w:p>
            <w:pPr>
              <w:spacing w:after="0" w:line="20" w:lineRule="exact"/>
              <w:rPr>
                <w:sz w:val="1"/>
                <w:szCs w:val="1"/>
                <w:color w:val="auto"/>
              </w:rPr>
            </w:pPr>
          </w:p>
        </w:tc>
        <w:tc>
          <w:tcPr>
            <w:tcW w:w="80" w:type="dxa"/>
            <w:vAlign w:val="bottom"/>
            <w:tcBorders>
              <w:bottom w:val="single" w:sz="8" w:color="8C8C8C"/>
            </w:tcBorders>
          </w:tcPr>
          <w:p>
            <w:pPr>
              <w:spacing w:after="0" w:line="20" w:lineRule="exact"/>
              <w:rPr>
                <w:sz w:val="1"/>
                <w:szCs w:val="1"/>
                <w:color w:val="auto"/>
              </w:rPr>
            </w:pPr>
          </w:p>
        </w:tc>
        <w:tc>
          <w:tcPr>
            <w:tcW w:w="260" w:type="dxa"/>
            <w:vAlign w:val="bottom"/>
            <w:tcBorders>
              <w:bottom w:val="single" w:sz="8" w:color="8C8C8C"/>
            </w:tcBorders>
          </w:tcPr>
          <w:p>
            <w:pPr>
              <w:spacing w:after="0" w:line="20" w:lineRule="exact"/>
              <w:rPr>
                <w:sz w:val="1"/>
                <w:szCs w:val="1"/>
                <w:color w:val="auto"/>
              </w:rPr>
            </w:pPr>
          </w:p>
        </w:tc>
        <w:tc>
          <w:tcPr>
            <w:tcW w:w="120" w:type="dxa"/>
            <w:vAlign w:val="bottom"/>
            <w:tcBorders>
              <w:bottom w:val="single" w:sz="8" w:color="8C8C8C"/>
            </w:tcBorders>
          </w:tcPr>
          <w:p>
            <w:pPr>
              <w:spacing w:after="0" w:line="20" w:lineRule="exact"/>
              <w:rPr>
                <w:sz w:val="1"/>
                <w:szCs w:val="1"/>
                <w:color w:val="auto"/>
              </w:rPr>
            </w:pPr>
          </w:p>
        </w:tc>
        <w:tc>
          <w:tcPr>
            <w:tcW w:w="16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16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180" w:type="dxa"/>
            <w:vAlign w:val="bottom"/>
            <w:tcBorders>
              <w:bottom w:val="single" w:sz="8" w:color="8C8C8C"/>
            </w:tcBorders>
          </w:tcPr>
          <w:p>
            <w:pPr>
              <w:spacing w:after="0" w:line="20" w:lineRule="exact"/>
              <w:rPr>
                <w:sz w:val="1"/>
                <w:szCs w:val="1"/>
                <w:color w:val="auto"/>
              </w:rPr>
            </w:pPr>
          </w:p>
        </w:tc>
        <w:tc>
          <w:tcPr>
            <w:tcW w:w="8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80" w:type="dxa"/>
            <w:vAlign w:val="bottom"/>
            <w:tcBorders>
              <w:bottom w:val="single" w:sz="8" w:color="8C8C8C"/>
            </w:tcBorders>
          </w:tcPr>
          <w:p>
            <w:pPr>
              <w:spacing w:after="0" w:line="20" w:lineRule="exact"/>
              <w:rPr>
                <w:sz w:val="1"/>
                <w:szCs w:val="1"/>
                <w:color w:val="auto"/>
              </w:rPr>
            </w:pPr>
          </w:p>
        </w:tc>
        <w:tc>
          <w:tcPr>
            <w:tcW w:w="580" w:type="dxa"/>
            <w:vAlign w:val="bottom"/>
            <w:tcBorders>
              <w:bottom w:val="single" w:sz="8" w:color="8C8C8C"/>
            </w:tcBorders>
          </w:tcPr>
          <w:p>
            <w:pPr>
              <w:spacing w:after="0" w:line="20" w:lineRule="exact"/>
              <w:rPr>
                <w:sz w:val="1"/>
                <w:szCs w:val="1"/>
                <w:color w:val="auto"/>
              </w:rPr>
            </w:pPr>
          </w:p>
        </w:tc>
        <w:tc>
          <w:tcPr>
            <w:tcW w:w="520" w:type="dxa"/>
            <w:vAlign w:val="bottom"/>
            <w:tcBorders>
              <w:bottom w:val="single" w:sz="8" w:color="8C8C8C"/>
            </w:tcBorders>
          </w:tcPr>
          <w:p>
            <w:pPr>
              <w:spacing w:after="0" w:line="20" w:lineRule="exact"/>
              <w:rPr>
                <w:sz w:val="1"/>
                <w:szCs w:val="1"/>
                <w:color w:val="auto"/>
              </w:rPr>
            </w:pPr>
          </w:p>
        </w:tc>
        <w:tc>
          <w:tcPr>
            <w:tcW w:w="6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660" w:type="dxa"/>
            <w:vAlign w:val="bottom"/>
            <w:tcBorders>
              <w:bottom w:val="single" w:sz="8" w:color="8C8C8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40" w:type="dxa"/>
            <w:vAlign w:val="bottom"/>
            <w:gridSpan w:val="26"/>
          </w:tcPr>
          <w:p>
            <w:pPr>
              <w:spacing w:after="0"/>
              <w:rPr>
                <w:rFonts w:ascii="Arial" w:cs="Arial" w:eastAsia="Arial" w:hAnsi="Arial"/>
                <w:sz w:val="16"/>
                <w:szCs w:val="16"/>
                <w:color w:val="0000EE"/>
              </w:rPr>
            </w:pPr>
            <w:hyperlink w:anchor="page22">
              <w:r>
                <w:rPr>
                  <w:rFonts w:ascii="Arial" w:cs="Arial" w:eastAsia="Arial" w:hAnsi="Arial"/>
                  <w:sz w:val="16"/>
                  <w:szCs w:val="16"/>
                  <w:color w:val="0000EE"/>
                </w:rPr>
                <w:t>DELINQUENT SECTION 16(A) REPORTS</w:t>
              </w:r>
            </w:hyperlink>
          </w:p>
        </w:tc>
        <w:tc>
          <w:tcPr>
            <w:tcW w:w="66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bottom w:val="single" w:sz="8" w:color="8C8C8C"/>
            </w:tcBorders>
          </w:tcPr>
          <w:p>
            <w:pPr>
              <w:spacing w:after="0" w:line="20" w:lineRule="exact"/>
              <w:rPr>
                <w:sz w:val="1"/>
                <w:szCs w:val="1"/>
                <w:color w:val="auto"/>
              </w:rPr>
            </w:pPr>
          </w:p>
        </w:tc>
        <w:tc>
          <w:tcPr>
            <w:tcW w:w="200" w:type="dxa"/>
            <w:vAlign w:val="bottom"/>
            <w:tcBorders>
              <w:top w:val="single" w:sz="8" w:color="0000EE"/>
              <w:bottom w:val="single" w:sz="8" w:color="8C8C8C"/>
            </w:tcBorders>
          </w:tcPr>
          <w:p>
            <w:pPr>
              <w:spacing w:after="0" w:line="20" w:lineRule="exact"/>
              <w:rPr>
                <w:sz w:val="1"/>
                <w:szCs w:val="1"/>
                <w:color w:val="auto"/>
              </w:rPr>
            </w:pPr>
          </w:p>
        </w:tc>
        <w:tc>
          <w:tcPr>
            <w:tcW w:w="220" w:type="dxa"/>
            <w:vAlign w:val="bottom"/>
            <w:tcBorders>
              <w:top w:val="single" w:sz="8" w:color="0000EE"/>
              <w:bottom w:val="single" w:sz="8" w:color="8C8C8C"/>
            </w:tcBorders>
          </w:tcPr>
          <w:p>
            <w:pPr>
              <w:spacing w:after="0" w:line="20" w:lineRule="exact"/>
              <w:rPr>
                <w:sz w:val="1"/>
                <w:szCs w:val="1"/>
                <w:color w:val="auto"/>
              </w:rPr>
            </w:pPr>
          </w:p>
        </w:tc>
        <w:tc>
          <w:tcPr>
            <w:tcW w:w="320" w:type="dxa"/>
            <w:vAlign w:val="bottom"/>
            <w:tcBorders>
              <w:top w:val="single" w:sz="8" w:color="0000EE"/>
              <w:bottom w:val="single" w:sz="8" w:color="8C8C8C"/>
            </w:tcBorders>
          </w:tcPr>
          <w:p>
            <w:pPr>
              <w:spacing w:after="0" w:line="20" w:lineRule="exact"/>
              <w:rPr>
                <w:sz w:val="1"/>
                <w:szCs w:val="1"/>
                <w:color w:val="auto"/>
              </w:rPr>
            </w:pPr>
          </w:p>
        </w:tc>
        <w:tc>
          <w:tcPr>
            <w:tcW w:w="200" w:type="dxa"/>
            <w:vAlign w:val="bottom"/>
            <w:tcBorders>
              <w:top w:val="single" w:sz="8" w:color="0000EE"/>
              <w:bottom w:val="single" w:sz="8" w:color="8C8C8C"/>
            </w:tcBorders>
          </w:tcPr>
          <w:p>
            <w:pPr>
              <w:spacing w:after="0" w:line="20" w:lineRule="exact"/>
              <w:rPr>
                <w:sz w:val="1"/>
                <w:szCs w:val="1"/>
                <w:color w:val="auto"/>
              </w:rPr>
            </w:pPr>
          </w:p>
        </w:tc>
        <w:tc>
          <w:tcPr>
            <w:tcW w:w="160" w:type="dxa"/>
            <w:vAlign w:val="bottom"/>
            <w:tcBorders>
              <w:top w:val="single" w:sz="8" w:color="0000EE"/>
              <w:bottom w:val="single" w:sz="8" w:color="8C8C8C"/>
            </w:tcBorders>
          </w:tcPr>
          <w:p>
            <w:pPr>
              <w:spacing w:after="0" w:line="20" w:lineRule="exact"/>
              <w:rPr>
                <w:sz w:val="1"/>
                <w:szCs w:val="1"/>
                <w:color w:val="auto"/>
              </w:rPr>
            </w:pPr>
          </w:p>
        </w:tc>
        <w:tc>
          <w:tcPr>
            <w:tcW w:w="440" w:type="dxa"/>
            <w:vAlign w:val="bottom"/>
            <w:tcBorders>
              <w:top w:val="single" w:sz="8" w:color="0000EE"/>
              <w:bottom w:val="single" w:sz="8" w:color="8C8C8C"/>
            </w:tcBorders>
          </w:tcPr>
          <w:p>
            <w:pPr>
              <w:spacing w:after="0" w:line="20" w:lineRule="exact"/>
              <w:rPr>
                <w:sz w:val="1"/>
                <w:szCs w:val="1"/>
                <w:color w:val="auto"/>
              </w:rPr>
            </w:pPr>
          </w:p>
        </w:tc>
        <w:tc>
          <w:tcPr>
            <w:tcW w:w="20" w:type="dxa"/>
            <w:vAlign w:val="bottom"/>
            <w:tcBorders>
              <w:top w:val="single" w:sz="8" w:color="0000EE"/>
              <w:bottom w:val="single" w:sz="8" w:color="8C8C8C"/>
            </w:tcBorders>
          </w:tcPr>
          <w:p>
            <w:pPr>
              <w:spacing w:after="0" w:line="20" w:lineRule="exact"/>
              <w:rPr>
                <w:sz w:val="1"/>
                <w:szCs w:val="1"/>
                <w:color w:val="auto"/>
              </w:rPr>
            </w:pPr>
          </w:p>
        </w:tc>
        <w:tc>
          <w:tcPr>
            <w:tcW w:w="200" w:type="dxa"/>
            <w:vAlign w:val="bottom"/>
            <w:tcBorders>
              <w:top w:val="single" w:sz="8" w:color="0000EE"/>
              <w:bottom w:val="single" w:sz="8" w:color="8C8C8C"/>
            </w:tcBorders>
          </w:tcPr>
          <w:p>
            <w:pPr>
              <w:spacing w:after="0" w:line="20" w:lineRule="exact"/>
              <w:rPr>
                <w:sz w:val="1"/>
                <w:szCs w:val="1"/>
                <w:color w:val="auto"/>
              </w:rPr>
            </w:pPr>
          </w:p>
        </w:tc>
        <w:tc>
          <w:tcPr>
            <w:tcW w:w="440" w:type="dxa"/>
            <w:vAlign w:val="bottom"/>
            <w:tcBorders>
              <w:top w:val="single" w:sz="8" w:color="0000EE"/>
              <w:bottom w:val="single" w:sz="8" w:color="8C8C8C"/>
            </w:tcBorders>
          </w:tcPr>
          <w:p>
            <w:pPr>
              <w:spacing w:after="0" w:line="20" w:lineRule="exact"/>
              <w:rPr>
                <w:sz w:val="1"/>
                <w:szCs w:val="1"/>
                <w:color w:val="auto"/>
              </w:rPr>
            </w:pPr>
          </w:p>
        </w:tc>
        <w:tc>
          <w:tcPr>
            <w:tcW w:w="60" w:type="dxa"/>
            <w:vAlign w:val="bottom"/>
            <w:tcBorders>
              <w:top w:val="single" w:sz="8" w:color="0000EE"/>
              <w:bottom w:val="single" w:sz="8" w:color="8C8C8C"/>
            </w:tcBorders>
          </w:tcPr>
          <w:p>
            <w:pPr>
              <w:spacing w:after="0" w:line="20" w:lineRule="exact"/>
              <w:rPr>
                <w:sz w:val="1"/>
                <w:szCs w:val="1"/>
                <w:color w:val="auto"/>
              </w:rPr>
            </w:pPr>
          </w:p>
        </w:tc>
        <w:tc>
          <w:tcPr>
            <w:tcW w:w="80" w:type="dxa"/>
            <w:vAlign w:val="bottom"/>
            <w:tcBorders>
              <w:top w:val="single" w:sz="8" w:color="0000EE"/>
              <w:bottom w:val="single" w:sz="8" w:color="8C8C8C"/>
            </w:tcBorders>
          </w:tcPr>
          <w:p>
            <w:pPr>
              <w:spacing w:after="0" w:line="20" w:lineRule="exact"/>
              <w:rPr>
                <w:sz w:val="1"/>
                <w:szCs w:val="1"/>
                <w:color w:val="auto"/>
              </w:rPr>
            </w:pPr>
          </w:p>
        </w:tc>
        <w:tc>
          <w:tcPr>
            <w:tcW w:w="260" w:type="dxa"/>
            <w:vAlign w:val="bottom"/>
            <w:tcBorders>
              <w:top w:val="single" w:sz="8" w:color="0000EE"/>
              <w:bottom w:val="single" w:sz="8" w:color="8C8C8C"/>
            </w:tcBorders>
          </w:tcPr>
          <w:p>
            <w:pPr>
              <w:spacing w:after="0" w:line="20" w:lineRule="exact"/>
              <w:rPr>
                <w:sz w:val="1"/>
                <w:szCs w:val="1"/>
                <w:color w:val="auto"/>
              </w:rPr>
            </w:pPr>
          </w:p>
        </w:tc>
        <w:tc>
          <w:tcPr>
            <w:tcW w:w="120" w:type="dxa"/>
            <w:vAlign w:val="bottom"/>
            <w:tcBorders>
              <w:top w:val="single" w:sz="8" w:color="0000EE"/>
              <w:bottom w:val="single" w:sz="8" w:color="8C8C8C"/>
            </w:tcBorders>
          </w:tcPr>
          <w:p>
            <w:pPr>
              <w:spacing w:after="0" w:line="20" w:lineRule="exact"/>
              <w:rPr>
                <w:sz w:val="1"/>
                <w:szCs w:val="1"/>
                <w:color w:val="auto"/>
              </w:rPr>
            </w:pPr>
          </w:p>
        </w:tc>
        <w:tc>
          <w:tcPr>
            <w:tcW w:w="160" w:type="dxa"/>
            <w:vAlign w:val="bottom"/>
            <w:tcBorders>
              <w:top w:val="single" w:sz="8" w:color="0000EE"/>
              <w:bottom w:val="single" w:sz="8" w:color="8C8C8C"/>
            </w:tcBorders>
          </w:tcPr>
          <w:p>
            <w:pPr>
              <w:spacing w:after="0" w:line="20" w:lineRule="exact"/>
              <w:rPr>
                <w:sz w:val="1"/>
                <w:szCs w:val="1"/>
                <w:color w:val="auto"/>
              </w:rPr>
            </w:pPr>
          </w:p>
        </w:tc>
        <w:tc>
          <w:tcPr>
            <w:tcW w:w="20" w:type="dxa"/>
            <w:vAlign w:val="bottom"/>
            <w:tcBorders>
              <w:top w:val="single" w:sz="8" w:color="0000EE"/>
              <w:bottom w:val="single" w:sz="8" w:color="8C8C8C"/>
            </w:tcBorders>
          </w:tcPr>
          <w:p>
            <w:pPr>
              <w:spacing w:after="0" w:line="20" w:lineRule="exact"/>
              <w:rPr>
                <w:sz w:val="1"/>
                <w:szCs w:val="1"/>
                <w:color w:val="auto"/>
              </w:rPr>
            </w:pPr>
          </w:p>
        </w:tc>
        <w:tc>
          <w:tcPr>
            <w:tcW w:w="160" w:type="dxa"/>
            <w:vAlign w:val="bottom"/>
            <w:tcBorders>
              <w:top w:val="single" w:sz="8" w:color="0000EE"/>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180" w:type="dxa"/>
            <w:vAlign w:val="bottom"/>
            <w:tcBorders>
              <w:bottom w:val="single" w:sz="8" w:color="8C8C8C"/>
            </w:tcBorders>
          </w:tcPr>
          <w:p>
            <w:pPr>
              <w:spacing w:after="0" w:line="20" w:lineRule="exact"/>
              <w:rPr>
                <w:sz w:val="1"/>
                <w:szCs w:val="1"/>
                <w:color w:val="auto"/>
              </w:rPr>
            </w:pPr>
          </w:p>
        </w:tc>
        <w:tc>
          <w:tcPr>
            <w:tcW w:w="8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80" w:type="dxa"/>
            <w:vAlign w:val="bottom"/>
            <w:tcBorders>
              <w:bottom w:val="single" w:sz="8" w:color="8C8C8C"/>
            </w:tcBorders>
          </w:tcPr>
          <w:p>
            <w:pPr>
              <w:spacing w:after="0" w:line="20" w:lineRule="exact"/>
              <w:rPr>
                <w:sz w:val="1"/>
                <w:szCs w:val="1"/>
                <w:color w:val="auto"/>
              </w:rPr>
            </w:pPr>
          </w:p>
        </w:tc>
        <w:tc>
          <w:tcPr>
            <w:tcW w:w="580" w:type="dxa"/>
            <w:vAlign w:val="bottom"/>
            <w:tcBorders>
              <w:bottom w:val="single" w:sz="8" w:color="8C8C8C"/>
            </w:tcBorders>
          </w:tcPr>
          <w:p>
            <w:pPr>
              <w:spacing w:after="0" w:line="20" w:lineRule="exact"/>
              <w:rPr>
                <w:sz w:val="1"/>
                <w:szCs w:val="1"/>
                <w:color w:val="auto"/>
              </w:rPr>
            </w:pPr>
          </w:p>
        </w:tc>
        <w:tc>
          <w:tcPr>
            <w:tcW w:w="520" w:type="dxa"/>
            <w:vAlign w:val="bottom"/>
            <w:tcBorders>
              <w:bottom w:val="single" w:sz="8" w:color="8C8C8C"/>
            </w:tcBorders>
          </w:tcPr>
          <w:p>
            <w:pPr>
              <w:spacing w:after="0" w:line="20" w:lineRule="exact"/>
              <w:rPr>
                <w:sz w:val="1"/>
                <w:szCs w:val="1"/>
                <w:color w:val="auto"/>
              </w:rPr>
            </w:pPr>
          </w:p>
        </w:tc>
        <w:tc>
          <w:tcPr>
            <w:tcW w:w="6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660" w:type="dxa"/>
            <w:vAlign w:val="bottom"/>
            <w:tcBorders>
              <w:bottom w:val="single" w:sz="8" w:color="8C8C8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40" w:type="dxa"/>
            <w:vAlign w:val="bottom"/>
            <w:gridSpan w:val="26"/>
          </w:tcPr>
          <w:p>
            <w:pPr>
              <w:spacing w:after="0"/>
              <w:rPr>
                <w:rFonts w:ascii="Arial" w:cs="Arial" w:eastAsia="Arial" w:hAnsi="Arial"/>
                <w:sz w:val="16"/>
                <w:szCs w:val="16"/>
                <w:color w:val="0000EE"/>
              </w:rPr>
            </w:pPr>
            <w:hyperlink w:anchor="page23">
              <w:r>
                <w:rPr>
                  <w:rFonts w:ascii="Arial" w:cs="Arial" w:eastAsia="Arial" w:hAnsi="Arial"/>
                  <w:sz w:val="16"/>
                  <w:szCs w:val="16"/>
                  <w:color w:val="0000EE"/>
                </w:rPr>
                <w:t>PROPOSAL 1 — ELECTION OF DIRECTORS</w:t>
              </w:r>
            </w:hyperlink>
          </w:p>
        </w:tc>
        <w:tc>
          <w:tcPr>
            <w:tcW w:w="66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bottom w:val="single" w:sz="8" w:color="8C8C8C"/>
            </w:tcBorders>
          </w:tcPr>
          <w:p>
            <w:pPr>
              <w:spacing w:after="0" w:line="20" w:lineRule="exact"/>
              <w:rPr>
                <w:sz w:val="1"/>
                <w:szCs w:val="1"/>
                <w:color w:val="auto"/>
              </w:rPr>
            </w:pPr>
          </w:p>
        </w:tc>
        <w:tc>
          <w:tcPr>
            <w:tcW w:w="200" w:type="dxa"/>
            <w:vAlign w:val="bottom"/>
            <w:tcBorders>
              <w:top w:val="single" w:sz="8" w:color="0000EE"/>
              <w:bottom w:val="single" w:sz="8" w:color="8C8C8C"/>
            </w:tcBorders>
          </w:tcPr>
          <w:p>
            <w:pPr>
              <w:spacing w:after="0" w:line="20" w:lineRule="exact"/>
              <w:rPr>
                <w:sz w:val="1"/>
                <w:szCs w:val="1"/>
                <w:color w:val="auto"/>
              </w:rPr>
            </w:pPr>
          </w:p>
        </w:tc>
        <w:tc>
          <w:tcPr>
            <w:tcW w:w="220" w:type="dxa"/>
            <w:vAlign w:val="bottom"/>
            <w:tcBorders>
              <w:top w:val="single" w:sz="8" w:color="0000EE"/>
              <w:bottom w:val="single" w:sz="8" w:color="8C8C8C"/>
            </w:tcBorders>
          </w:tcPr>
          <w:p>
            <w:pPr>
              <w:spacing w:after="0" w:line="20" w:lineRule="exact"/>
              <w:rPr>
                <w:sz w:val="1"/>
                <w:szCs w:val="1"/>
                <w:color w:val="auto"/>
              </w:rPr>
            </w:pPr>
          </w:p>
        </w:tc>
        <w:tc>
          <w:tcPr>
            <w:tcW w:w="320" w:type="dxa"/>
            <w:vAlign w:val="bottom"/>
            <w:tcBorders>
              <w:top w:val="single" w:sz="8" w:color="0000EE"/>
              <w:bottom w:val="single" w:sz="8" w:color="8C8C8C"/>
            </w:tcBorders>
          </w:tcPr>
          <w:p>
            <w:pPr>
              <w:spacing w:after="0" w:line="20" w:lineRule="exact"/>
              <w:rPr>
                <w:sz w:val="1"/>
                <w:szCs w:val="1"/>
                <w:color w:val="auto"/>
              </w:rPr>
            </w:pPr>
          </w:p>
        </w:tc>
        <w:tc>
          <w:tcPr>
            <w:tcW w:w="200" w:type="dxa"/>
            <w:vAlign w:val="bottom"/>
            <w:tcBorders>
              <w:top w:val="single" w:sz="8" w:color="0000EE"/>
              <w:bottom w:val="single" w:sz="8" w:color="8C8C8C"/>
            </w:tcBorders>
          </w:tcPr>
          <w:p>
            <w:pPr>
              <w:spacing w:after="0" w:line="20" w:lineRule="exact"/>
              <w:rPr>
                <w:sz w:val="1"/>
                <w:szCs w:val="1"/>
                <w:color w:val="auto"/>
              </w:rPr>
            </w:pPr>
          </w:p>
        </w:tc>
        <w:tc>
          <w:tcPr>
            <w:tcW w:w="160" w:type="dxa"/>
            <w:vAlign w:val="bottom"/>
            <w:tcBorders>
              <w:top w:val="single" w:sz="8" w:color="0000EE"/>
              <w:bottom w:val="single" w:sz="8" w:color="8C8C8C"/>
            </w:tcBorders>
          </w:tcPr>
          <w:p>
            <w:pPr>
              <w:spacing w:after="0" w:line="20" w:lineRule="exact"/>
              <w:rPr>
                <w:sz w:val="1"/>
                <w:szCs w:val="1"/>
                <w:color w:val="auto"/>
              </w:rPr>
            </w:pPr>
          </w:p>
        </w:tc>
        <w:tc>
          <w:tcPr>
            <w:tcW w:w="440" w:type="dxa"/>
            <w:vAlign w:val="bottom"/>
            <w:tcBorders>
              <w:top w:val="single" w:sz="8" w:color="0000EE"/>
              <w:bottom w:val="single" w:sz="8" w:color="8C8C8C"/>
            </w:tcBorders>
          </w:tcPr>
          <w:p>
            <w:pPr>
              <w:spacing w:after="0" w:line="20" w:lineRule="exact"/>
              <w:rPr>
                <w:sz w:val="1"/>
                <w:szCs w:val="1"/>
                <w:color w:val="auto"/>
              </w:rPr>
            </w:pPr>
          </w:p>
        </w:tc>
        <w:tc>
          <w:tcPr>
            <w:tcW w:w="20" w:type="dxa"/>
            <w:vAlign w:val="bottom"/>
            <w:tcBorders>
              <w:top w:val="single" w:sz="8" w:color="0000EE"/>
              <w:bottom w:val="single" w:sz="8" w:color="8C8C8C"/>
            </w:tcBorders>
          </w:tcPr>
          <w:p>
            <w:pPr>
              <w:spacing w:after="0" w:line="20" w:lineRule="exact"/>
              <w:rPr>
                <w:sz w:val="1"/>
                <w:szCs w:val="1"/>
                <w:color w:val="auto"/>
              </w:rPr>
            </w:pPr>
          </w:p>
        </w:tc>
        <w:tc>
          <w:tcPr>
            <w:tcW w:w="200" w:type="dxa"/>
            <w:vAlign w:val="bottom"/>
            <w:tcBorders>
              <w:top w:val="single" w:sz="8" w:color="0000EE"/>
              <w:bottom w:val="single" w:sz="8" w:color="8C8C8C"/>
            </w:tcBorders>
          </w:tcPr>
          <w:p>
            <w:pPr>
              <w:spacing w:after="0" w:line="20" w:lineRule="exact"/>
              <w:rPr>
                <w:sz w:val="1"/>
                <w:szCs w:val="1"/>
                <w:color w:val="auto"/>
              </w:rPr>
            </w:pPr>
          </w:p>
        </w:tc>
        <w:tc>
          <w:tcPr>
            <w:tcW w:w="440" w:type="dxa"/>
            <w:vAlign w:val="bottom"/>
            <w:tcBorders>
              <w:top w:val="single" w:sz="8" w:color="0000EE"/>
              <w:bottom w:val="single" w:sz="8" w:color="8C8C8C"/>
            </w:tcBorders>
          </w:tcPr>
          <w:p>
            <w:pPr>
              <w:spacing w:after="0" w:line="20" w:lineRule="exact"/>
              <w:rPr>
                <w:sz w:val="1"/>
                <w:szCs w:val="1"/>
                <w:color w:val="auto"/>
              </w:rPr>
            </w:pPr>
          </w:p>
        </w:tc>
        <w:tc>
          <w:tcPr>
            <w:tcW w:w="60" w:type="dxa"/>
            <w:vAlign w:val="bottom"/>
            <w:tcBorders>
              <w:top w:val="single" w:sz="8" w:color="0000EE"/>
              <w:bottom w:val="single" w:sz="8" w:color="8C8C8C"/>
            </w:tcBorders>
          </w:tcPr>
          <w:p>
            <w:pPr>
              <w:spacing w:after="0" w:line="20" w:lineRule="exact"/>
              <w:rPr>
                <w:sz w:val="1"/>
                <w:szCs w:val="1"/>
                <w:color w:val="auto"/>
              </w:rPr>
            </w:pPr>
          </w:p>
        </w:tc>
        <w:tc>
          <w:tcPr>
            <w:tcW w:w="80" w:type="dxa"/>
            <w:vAlign w:val="bottom"/>
            <w:tcBorders>
              <w:top w:val="single" w:sz="8" w:color="0000EE"/>
              <w:bottom w:val="single" w:sz="8" w:color="8C8C8C"/>
            </w:tcBorders>
          </w:tcPr>
          <w:p>
            <w:pPr>
              <w:spacing w:after="0" w:line="20" w:lineRule="exact"/>
              <w:rPr>
                <w:sz w:val="1"/>
                <w:szCs w:val="1"/>
                <w:color w:val="auto"/>
              </w:rPr>
            </w:pPr>
          </w:p>
        </w:tc>
        <w:tc>
          <w:tcPr>
            <w:tcW w:w="260" w:type="dxa"/>
            <w:vAlign w:val="bottom"/>
            <w:tcBorders>
              <w:top w:val="single" w:sz="8" w:color="0000EE"/>
              <w:bottom w:val="single" w:sz="8" w:color="8C8C8C"/>
            </w:tcBorders>
          </w:tcPr>
          <w:p>
            <w:pPr>
              <w:spacing w:after="0" w:line="20" w:lineRule="exact"/>
              <w:rPr>
                <w:sz w:val="1"/>
                <w:szCs w:val="1"/>
                <w:color w:val="auto"/>
              </w:rPr>
            </w:pPr>
          </w:p>
        </w:tc>
        <w:tc>
          <w:tcPr>
            <w:tcW w:w="120" w:type="dxa"/>
            <w:vAlign w:val="bottom"/>
            <w:tcBorders>
              <w:top w:val="single" w:sz="8" w:color="0000EE"/>
              <w:bottom w:val="single" w:sz="8" w:color="8C8C8C"/>
            </w:tcBorders>
          </w:tcPr>
          <w:p>
            <w:pPr>
              <w:spacing w:after="0" w:line="20" w:lineRule="exact"/>
              <w:rPr>
                <w:sz w:val="1"/>
                <w:szCs w:val="1"/>
                <w:color w:val="auto"/>
              </w:rPr>
            </w:pPr>
          </w:p>
        </w:tc>
        <w:tc>
          <w:tcPr>
            <w:tcW w:w="160" w:type="dxa"/>
            <w:vAlign w:val="bottom"/>
            <w:tcBorders>
              <w:top w:val="single" w:sz="8" w:color="0000EE"/>
              <w:bottom w:val="single" w:sz="8" w:color="8C8C8C"/>
            </w:tcBorders>
          </w:tcPr>
          <w:p>
            <w:pPr>
              <w:spacing w:after="0" w:line="20" w:lineRule="exact"/>
              <w:rPr>
                <w:sz w:val="1"/>
                <w:szCs w:val="1"/>
                <w:color w:val="auto"/>
              </w:rPr>
            </w:pPr>
          </w:p>
        </w:tc>
        <w:tc>
          <w:tcPr>
            <w:tcW w:w="20" w:type="dxa"/>
            <w:vAlign w:val="bottom"/>
            <w:tcBorders>
              <w:top w:val="single" w:sz="8" w:color="0000EE"/>
              <w:bottom w:val="single" w:sz="8" w:color="8C8C8C"/>
            </w:tcBorders>
          </w:tcPr>
          <w:p>
            <w:pPr>
              <w:spacing w:after="0" w:line="20" w:lineRule="exact"/>
              <w:rPr>
                <w:sz w:val="1"/>
                <w:szCs w:val="1"/>
                <w:color w:val="auto"/>
              </w:rPr>
            </w:pPr>
          </w:p>
        </w:tc>
        <w:tc>
          <w:tcPr>
            <w:tcW w:w="160" w:type="dxa"/>
            <w:vAlign w:val="bottom"/>
            <w:tcBorders>
              <w:top w:val="single" w:sz="8" w:color="0000EE"/>
              <w:bottom w:val="single" w:sz="8" w:color="8C8C8C"/>
            </w:tcBorders>
          </w:tcPr>
          <w:p>
            <w:pPr>
              <w:spacing w:after="0" w:line="20" w:lineRule="exact"/>
              <w:rPr>
                <w:sz w:val="1"/>
                <w:szCs w:val="1"/>
                <w:color w:val="auto"/>
              </w:rPr>
            </w:pPr>
          </w:p>
        </w:tc>
        <w:tc>
          <w:tcPr>
            <w:tcW w:w="20" w:type="dxa"/>
            <w:vAlign w:val="bottom"/>
            <w:tcBorders>
              <w:top w:val="single" w:sz="8" w:color="0000EE"/>
              <w:bottom w:val="single" w:sz="8" w:color="8C8C8C"/>
            </w:tcBorders>
          </w:tcPr>
          <w:p>
            <w:pPr>
              <w:spacing w:after="0" w:line="20" w:lineRule="exact"/>
              <w:rPr>
                <w:sz w:val="1"/>
                <w:szCs w:val="1"/>
                <w:color w:val="auto"/>
              </w:rPr>
            </w:pPr>
          </w:p>
        </w:tc>
        <w:tc>
          <w:tcPr>
            <w:tcW w:w="180" w:type="dxa"/>
            <w:vAlign w:val="bottom"/>
            <w:tcBorders>
              <w:top w:val="single" w:sz="8" w:color="0000EE"/>
              <w:bottom w:val="single" w:sz="8" w:color="8C8C8C"/>
            </w:tcBorders>
          </w:tcPr>
          <w:p>
            <w:pPr>
              <w:spacing w:after="0" w:line="20" w:lineRule="exact"/>
              <w:rPr>
                <w:sz w:val="1"/>
                <w:szCs w:val="1"/>
                <w:color w:val="auto"/>
              </w:rPr>
            </w:pPr>
          </w:p>
        </w:tc>
        <w:tc>
          <w:tcPr>
            <w:tcW w:w="80" w:type="dxa"/>
            <w:vAlign w:val="bottom"/>
            <w:tcBorders>
              <w:top w:val="single" w:sz="8" w:color="0000EE"/>
              <w:bottom w:val="single" w:sz="8" w:color="8C8C8C"/>
            </w:tcBorders>
          </w:tcPr>
          <w:p>
            <w:pPr>
              <w:spacing w:after="0" w:line="20" w:lineRule="exact"/>
              <w:rPr>
                <w:sz w:val="1"/>
                <w:szCs w:val="1"/>
                <w:color w:val="auto"/>
              </w:rPr>
            </w:pPr>
          </w:p>
        </w:tc>
        <w:tc>
          <w:tcPr>
            <w:tcW w:w="20" w:type="dxa"/>
            <w:vAlign w:val="bottom"/>
            <w:tcBorders>
              <w:top w:val="single" w:sz="8" w:color="0000EE"/>
              <w:bottom w:val="single" w:sz="8" w:color="8C8C8C"/>
            </w:tcBorders>
          </w:tcPr>
          <w:p>
            <w:pPr>
              <w:spacing w:after="0" w:line="20" w:lineRule="exact"/>
              <w:rPr>
                <w:sz w:val="1"/>
                <w:szCs w:val="1"/>
                <w:color w:val="auto"/>
              </w:rPr>
            </w:pPr>
          </w:p>
        </w:tc>
        <w:tc>
          <w:tcPr>
            <w:tcW w:w="80" w:type="dxa"/>
            <w:vAlign w:val="bottom"/>
            <w:tcBorders>
              <w:bottom w:val="single" w:sz="8" w:color="8C8C8C"/>
            </w:tcBorders>
          </w:tcPr>
          <w:p>
            <w:pPr>
              <w:spacing w:after="0" w:line="20" w:lineRule="exact"/>
              <w:rPr>
                <w:sz w:val="1"/>
                <w:szCs w:val="1"/>
                <w:color w:val="auto"/>
              </w:rPr>
            </w:pPr>
          </w:p>
        </w:tc>
        <w:tc>
          <w:tcPr>
            <w:tcW w:w="580" w:type="dxa"/>
            <w:vAlign w:val="bottom"/>
            <w:tcBorders>
              <w:bottom w:val="single" w:sz="8" w:color="8C8C8C"/>
            </w:tcBorders>
          </w:tcPr>
          <w:p>
            <w:pPr>
              <w:spacing w:after="0" w:line="20" w:lineRule="exact"/>
              <w:rPr>
                <w:sz w:val="1"/>
                <w:szCs w:val="1"/>
                <w:color w:val="auto"/>
              </w:rPr>
            </w:pPr>
          </w:p>
        </w:tc>
        <w:tc>
          <w:tcPr>
            <w:tcW w:w="520" w:type="dxa"/>
            <w:vAlign w:val="bottom"/>
            <w:tcBorders>
              <w:bottom w:val="single" w:sz="8" w:color="8C8C8C"/>
            </w:tcBorders>
          </w:tcPr>
          <w:p>
            <w:pPr>
              <w:spacing w:after="0" w:line="20" w:lineRule="exact"/>
              <w:rPr>
                <w:sz w:val="1"/>
                <w:szCs w:val="1"/>
                <w:color w:val="auto"/>
              </w:rPr>
            </w:pPr>
          </w:p>
        </w:tc>
        <w:tc>
          <w:tcPr>
            <w:tcW w:w="6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660" w:type="dxa"/>
            <w:vAlign w:val="bottom"/>
            <w:tcBorders>
              <w:bottom w:val="single" w:sz="8" w:color="8C8C8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40" w:type="dxa"/>
            <w:vAlign w:val="bottom"/>
            <w:gridSpan w:val="26"/>
          </w:tcPr>
          <w:p>
            <w:pPr>
              <w:spacing w:after="0"/>
              <w:rPr>
                <w:rFonts w:ascii="Arial" w:cs="Arial" w:eastAsia="Arial" w:hAnsi="Arial"/>
                <w:sz w:val="16"/>
                <w:szCs w:val="16"/>
                <w:color w:val="0000EE"/>
              </w:rPr>
            </w:pPr>
            <w:hyperlink w:anchor="page29">
              <w:r>
                <w:rPr>
                  <w:rFonts w:ascii="Arial" w:cs="Arial" w:eastAsia="Arial" w:hAnsi="Arial"/>
                  <w:sz w:val="16"/>
                  <w:szCs w:val="16"/>
                  <w:color w:val="0000EE"/>
                </w:rPr>
                <w:t>CORPORATE GOVERNANCE</w:t>
              </w:r>
            </w:hyperlink>
          </w:p>
        </w:tc>
        <w:tc>
          <w:tcPr>
            <w:tcW w:w="66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bottom w:val="single" w:sz="8" w:color="8C8C8C"/>
            </w:tcBorders>
          </w:tcPr>
          <w:p>
            <w:pPr>
              <w:spacing w:after="0" w:line="20" w:lineRule="exact"/>
              <w:rPr>
                <w:sz w:val="1"/>
                <w:szCs w:val="1"/>
                <w:color w:val="auto"/>
              </w:rPr>
            </w:pPr>
          </w:p>
        </w:tc>
        <w:tc>
          <w:tcPr>
            <w:tcW w:w="220" w:type="dxa"/>
            <w:vAlign w:val="bottom"/>
            <w:tcBorders>
              <w:top w:val="single" w:sz="8" w:color="0000EE"/>
              <w:bottom w:val="single" w:sz="8" w:color="8C8C8C"/>
            </w:tcBorders>
          </w:tcPr>
          <w:p>
            <w:pPr>
              <w:spacing w:after="0" w:line="20" w:lineRule="exact"/>
              <w:rPr>
                <w:sz w:val="1"/>
                <w:szCs w:val="1"/>
                <w:color w:val="auto"/>
              </w:rPr>
            </w:pPr>
          </w:p>
        </w:tc>
        <w:tc>
          <w:tcPr>
            <w:tcW w:w="320" w:type="dxa"/>
            <w:vAlign w:val="bottom"/>
            <w:tcBorders>
              <w:top w:val="single" w:sz="8" w:color="0000EE"/>
              <w:bottom w:val="single" w:sz="8" w:color="8C8C8C"/>
            </w:tcBorders>
          </w:tcPr>
          <w:p>
            <w:pPr>
              <w:spacing w:after="0" w:line="20" w:lineRule="exact"/>
              <w:rPr>
                <w:sz w:val="1"/>
                <w:szCs w:val="1"/>
                <w:color w:val="auto"/>
              </w:rPr>
            </w:pPr>
          </w:p>
        </w:tc>
        <w:tc>
          <w:tcPr>
            <w:tcW w:w="200" w:type="dxa"/>
            <w:vAlign w:val="bottom"/>
            <w:tcBorders>
              <w:top w:val="single" w:sz="8" w:color="0000EE"/>
              <w:bottom w:val="single" w:sz="8" w:color="8C8C8C"/>
            </w:tcBorders>
          </w:tcPr>
          <w:p>
            <w:pPr>
              <w:spacing w:after="0" w:line="20" w:lineRule="exact"/>
              <w:rPr>
                <w:sz w:val="1"/>
                <w:szCs w:val="1"/>
                <w:color w:val="auto"/>
              </w:rPr>
            </w:pPr>
          </w:p>
        </w:tc>
        <w:tc>
          <w:tcPr>
            <w:tcW w:w="160" w:type="dxa"/>
            <w:vAlign w:val="bottom"/>
            <w:tcBorders>
              <w:top w:val="single" w:sz="8" w:color="0000EE"/>
              <w:bottom w:val="single" w:sz="8" w:color="8C8C8C"/>
            </w:tcBorders>
          </w:tcPr>
          <w:p>
            <w:pPr>
              <w:spacing w:after="0" w:line="20" w:lineRule="exact"/>
              <w:rPr>
                <w:sz w:val="1"/>
                <w:szCs w:val="1"/>
                <w:color w:val="auto"/>
              </w:rPr>
            </w:pPr>
          </w:p>
        </w:tc>
        <w:tc>
          <w:tcPr>
            <w:tcW w:w="440" w:type="dxa"/>
            <w:vAlign w:val="bottom"/>
            <w:tcBorders>
              <w:top w:val="single" w:sz="8" w:color="0000EE"/>
              <w:bottom w:val="single" w:sz="8" w:color="8C8C8C"/>
            </w:tcBorders>
          </w:tcPr>
          <w:p>
            <w:pPr>
              <w:spacing w:after="0" w:line="20" w:lineRule="exact"/>
              <w:rPr>
                <w:sz w:val="1"/>
                <w:szCs w:val="1"/>
                <w:color w:val="auto"/>
              </w:rPr>
            </w:pPr>
          </w:p>
        </w:tc>
        <w:tc>
          <w:tcPr>
            <w:tcW w:w="20" w:type="dxa"/>
            <w:vAlign w:val="bottom"/>
            <w:tcBorders>
              <w:top w:val="single" w:sz="8" w:color="0000EE"/>
              <w:bottom w:val="single" w:sz="8" w:color="8C8C8C"/>
            </w:tcBorders>
          </w:tcPr>
          <w:p>
            <w:pPr>
              <w:spacing w:after="0" w:line="20" w:lineRule="exact"/>
              <w:rPr>
                <w:sz w:val="1"/>
                <w:szCs w:val="1"/>
                <w:color w:val="auto"/>
              </w:rPr>
            </w:pPr>
          </w:p>
        </w:tc>
        <w:tc>
          <w:tcPr>
            <w:tcW w:w="200" w:type="dxa"/>
            <w:vAlign w:val="bottom"/>
            <w:tcBorders>
              <w:top w:val="single" w:sz="8" w:color="0000EE"/>
              <w:bottom w:val="single" w:sz="8" w:color="8C8C8C"/>
            </w:tcBorders>
          </w:tcPr>
          <w:p>
            <w:pPr>
              <w:spacing w:after="0" w:line="20" w:lineRule="exact"/>
              <w:rPr>
                <w:sz w:val="1"/>
                <w:szCs w:val="1"/>
                <w:color w:val="auto"/>
              </w:rPr>
            </w:pPr>
          </w:p>
        </w:tc>
        <w:tc>
          <w:tcPr>
            <w:tcW w:w="440" w:type="dxa"/>
            <w:vAlign w:val="bottom"/>
            <w:tcBorders>
              <w:top w:val="single" w:sz="8" w:color="0000EE"/>
              <w:bottom w:val="single" w:sz="8" w:color="8C8C8C"/>
            </w:tcBorders>
          </w:tcPr>
          <w:p>
            <w:pPr>
              <w:spacing w:after="0" w:line="20" w:lineRule="exact"/>
              <w:rPr>
                <w:sz w:val="1"/>
                <w:szCs w:val="1"/>
                <w:color w:val="auto"/>
              </w:rPr>
            </w:pPr>
          </w:p>
        </w:tc>
        <w:tc>
          <w:tcPr>
            <w:tcW w:w="60" w:type="dxa"/>
            <w:vAlign w:val="bottom"/>
            <w:tcBorders>
              <w:bottom w:val="single" w:sz="8" w:color="8C8C8C"/>
            </w:tcBorders>
          </w:tcPr>
          <w:p>
            <w:pPr>
              <w:spacing w:after="0" w:line="20" w:lineRule="exact"/>
              <w:rPr>
                <w:sz w:val="1"/>
                <w:szCs w:val="1"/>
                <w:color w:val="auto"/>
              </w:rPr>
            </w:pPr>
          </w:p>
        </w:tc>
        <w:tc>
          <w:tcPr>
            <w:tcW w:w="80" w:type="dxa"/>
            <w:vAlign w:val="bottom"/>
            <w:tcBorders>
              <w:bottom w:val="single" w:sz="8" w:color="8C8C8C"/>
            </w:tcBorders>
          </w:tcPr>
          <w:p>
            <w:pPr>
              <w:spacing w:after="0" w:line="20" w:lineRule="exact"/>
              <w:rPr>
                <w:sz w:val="1"/>
                <w:szCs w:val="1"/>
                <w:color w:val="auto"/>
              </w:rPr>
            </w:pPr>
          </w:p>
        </w:tc>
        <w:tc>
          <w:tcPr>
            <w:tcW w:w="260" w:type="dxa"/>
            <w:vAlign w:val="bottom"/>
            <w:tcBorders>
              <w:bottom w:val="single" w:sz="8" w:color="8C8C8C"/>
            </w:tcBorders>
          </w:tcPr>
          <w:p>
            <w:pPr>
              <w:spacing w:after="0" w:line="20" w:lineRule="exact"/>
              <w:rPr>
                <w:sz w:val="1"/>
                <w:szCs w:val="1"/>
                <w:color w:val="auto"/>
              </w:rPr>
            </w:pPr>
          </w:p>
        </w:tc>
        <w:tc>
          <w:tcPr>
            <w:tcW w:w="120" w:type="dxa"/>
            <w:vAlign w:val="bottom"/>
            <w:tcBorders>
              <w:bottom w:val="single" w:sz="8" w:color="8C8C8C"/>
            </w:tcBorders>
          </w:tcPr>
          <w:p>
            <w:pPr>
              <w:spacing w:after="0" w:line="20" w:lineRule="exact"/>
              <w:rPr>
                <w:sz w:val="1"/>
                <w:szCs w:val="1"/>
                <w:color w:val="auto"/>
              </w:rPr>
            </w:pPr>
          </w:p>
        </w:tc>
        <w:tc>
          <w:tcPr>
            <w:tcW w:w="16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16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180" w:type="dxa"/>
            <w:vAlign w:val="bottom"/>
            <w:tcBorders>
              <w:bottom w:val="single" w:sz="8" w:color="8C8C8C"/>
            </w:tcBorders>
          </w:tcPr>
          <w:p>
            <w:pPr>
              <w:spacing w:after="0" w:line="20" w:lineRule="exact"/>
              <w:rPr>
                <w:sz w:val="1"/>
                <w:szCs w:val="1"/>
                <w:color w:val="auto"/>
              </w:rPr>
            </w:pPr>
          </w:p>
        </w:tc>
        <w:tc>
          <w:tcPr>
            <w:tcW w:w="8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80" w:type="dxa"/>
            <w:vAlign w:val="bottom"/>
            <w:tcBorders>
              <w:bottom w:val="single" w:sz="8" w:color="8C8C8C"/>
            </w:tcBorders>
          </w:tcPr>
          <w:p>
            <w:pPr>
              <w:spacing w:after="0" w:line="20" w:lineRule="exact"/>
              <w:rPr>
                <w:sz w:val="1"/>
                <w:szCs w:val="1"/>
                <w:color w:val="auto"/>
              </w:rPr>
            </w:pPr>
          </w:p>
        </w:tc>
        <w:tc>
          <w:tcPr>
            <w:tcW w:w="580" w:type="dxa"/>
            <w:vAlign w:val="bottom"/>
            <w:tcBorders>
              <w:bottom w:val="single" w:sz="8" w:color="8C8C8C"/>
            </w:tcBorders>
          </w:tcPr>
          <w:p>
            <w:pPr>
              <w:spacing w:after="0" w:line="20" w:lineRule="exact"/>
              <w:rPr>
                <w:sz w:val="1"/>
                <w:szCs w:val="1"/>
                <w:color w:val="auto"/>
              </w:rPr>
            </w:pPr>
          </w:p>
        </w:tc>
        <w:tc>
          <w:tcPr>
            <w:tcW w:w="520" w:type="dxa"/>
            <w:vAlign w:val="bottom"/>
            <w:tcBorders>
              <w:bottom w:val="single" w:sz="8" w:color="8C8C8C"/>
            </w:tcBorders>
          </w:tcPr>
          <w:p>
            <w:pPr>
              <w:spacing w:after="0" w:line="20" w:lineRule="exact"/>
              <w:rPr>
                <w:sz w:val="1"/>
                <w:szCs w:val="1"/>
                <w:color w:val="auto"/>
              </w:rPr>
            </w:pPr>
          </w:p>
        </w:tc>
        <w:tc>
          <w:tcPr>
            <w:tcW w:w="6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660" w:type="dxa"/>
            <w:vAlign w:val="bottom"/>
            <w:tcBorders>
              <w:bottom w:val="single" w:sz="8" w:color="8C8C8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20" w:type="dxa"/>
            <w:vAlign w:val="bottom"/>
            <w:gridSpan w:val="24"/>
          </w:tcPr>
          <w:p>
            <w:pPr>
              <w:spacing w:after="0" w:line="169" w:lineRule="exact"/>
              <w:rPr>
                <w:rFonts w:ascii="Arial" w:cs="Arial" w:eastAsia="Arial" w:hAnsi="Arial"/>
                <w:sz w:val="15"/>
                <w:szCs w:val="15"/>
                <w:color w:val="0000EE"/>
              </w:rPr>
            </w:pPr>
            <w:hyperlink w:anchor="page29">
              <w:r>
                <w:rPr>
                  <w:rFonts w:ascii="Arial" w:cs="Arial" w:eastAsia="Arial" w:hAnsi="Arial"/>
                  <w:sz w:val="15"/>
                  <w:szCs w:val="15"/>
                  <w:color w:val="0000EE"/>
                </w:rPr>
                <w:t>General</w:t>
              </w:r>
            </w:hyperlink>
          </w:p>
        </w:tc>
        <w:tc>
          <w:tcPr>
            <w:tcW w:w="660" w:type="dxa"/>
            <w:vAlign w:val="bottom"/>
          </w:tcPr>
          <w:p>
            <w:pPr>
              <w:jc w:val="right"/>
              <w:spacing w:after="0" w:line="169" w:lineRule="exact"/>
              <w:rPr>
                <w:sz w:val="20"/>
                <w:szCs w:val="20"/>
                <w:color w:val="auto"/>
              </w:rPr>
            </w:pPr>
            <w:r>
              <w:rPr>
                <w:rFonts w:ascii="Arial" w:cs="Arial" w:eastAsia="Arial" w:hAnsi="Arial"/>
                <w:sz w:val="15"/>
                <w:szCs w:val="15"/>
                <w:color w:val="auto"/>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25</w:t>
            </w: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20" w:type="dxa"/>
            <w:vAlign w:val="bottom"/>
            <w:gridSpan w:val="24"/>
          </w:tcPr>
          <w:p>
            <w:pPr>
              <w:spacing w:after="0" w:line="142" w:lineRule="exact"/>
              <w:rPr>
                <w:rFonts w:ascii="Arial" w:cs="Arial" w:eastAsia="Arial" w:hAnsi="Arial"/>
                <w:sz w:val="15"/>
                <w:szCs w:val="15"/>
                <w:color w:val="0000EE"/>
              </w:rPr>
            </w:pPr>
            <w:hyperlink w:anchor="page30">
              <w:r>
                <w:rPr>
                  <w:rFonts w:ascii="Arial" w:cs="Arial" w:eastAsia="Arial" w:hAnsi="Arial"/>
                  <w:sz w:val="15"/>
                  <w:szCs w:val="15"/>
                  <w:color w:val="0000EE"/>
                </w:rPr>
                <w:t>Engagement with our Shareholders</w:t>
              </w:r>
            </w:hyperlink>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0" w:type="dxa"/>
            <w:vAlign w:val="bottom"/>
            <w:tcBorders>
              <w:top w:val="single" w:sz="8" w:color="0000EE"/>
            </w:tcBorders>
            <w:gridSpan w:val="11"/>
          </w:tcPr>
          <w:p>
            <w:pPr>
              <w:spacing w:after="0" w:line="142" w:lineRule="exact"/>
              <w:rPr>
                <w:rFonts w:ascii="Arial" w:cs="Arial" w:eastAsia="Arial" w:hAnsi="Arial"/>
                <w:sz w:val="15"/>
                <w:szCs w:val="15"/>
                <w:color w:val="0000EE"/>
              </w:rPr>
            </w:pPr>
            <w:hyperlink w:anchor="page31">
              <w:r>
                <w:rPr>
                  <w:rFonts w:ascii="Arial" w:cs="Arial" w:eastAsia="Arial" w:hAnsi="Arial"/>
                  <w:sz w:val="15"/>
                  <w:szCs w:val="15"/>
                  <w:color w:val="0000EE"/>
                </w:rPr>
                <w:t>Sustainability</w:t>
              </w:r>
            </w:hyperlink>
          </w:p>
        </w:tc>
        <w:tc>
          <w:tcPr>
            <w:tcW w:w="2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Borders>
              <w:top w:val="single" w:sz="8" w:color="0000EE"/>
            </w:tcBorders>
            <w:gridSpan w:val="4"/>
          </w:tcPr>
          <w:p>
            <w:pPr>
              <w:spacing w:after="0" w:line="142" w:lineRule="exact"/>
              <w:rPr>
                <w:rFonts w:ascii="Arial" w:cs="Arial" w:eastAsia="Arial" w:hAnsi="Arial"/>
                <w:sz w:val="15"/>
                <w:szCs w:val="15"/>
                <w:color w:val="0000EE"/>
                <w:w w:val="94"/>
              </w:rPr>
            </w:pPr>
            <w:hyperlink w:anchor="page32">
              <w:r>
                <w:rPr>
                  <w:rFonts w:ascii="Arial" w:cs="Arial" w:eastAsia="Arial" w:hAnsi="Arial"/>
                  <w:sz w:val="15"/>
                  <w:szCs w:val="15"/>
                  <w:color w:val="0000EE"/>
                  <w:w w:val="94"/>
                </w:rPr>
                <w:t>Determination</w:t>
              </w:r>
            </w:hyperlink>
          </w:p>
        </w:tc>
        <w:tc>
          <w:tcPr>
            <w:tcW w:w="3520" w:type="dxa"/>
            <w:vAlign w:val="bottom"/>
            <w:gridSpan w:val="20"/>
          </w:tcPr>
          <w:p>
            <w:pPr>
              <w:ind w:left="100"/>
              <w:spacing w:after="0" w:line="142" w:lineRule="exact"/>
              <w:rPr>
                <w:rFonts w:ascii="Arial" w:cs="Arial" w:eastAsia="Arial" w:hAnsi="Arial"/>
                <w:sz w:val="15"/>
                <w:szCs w:val="15"/>
                <w:color w:val="0000EE"/>
              </w:rPr>
            </w:pPr>
            <w:hyperlink w:anchor="page32">
              <w:r>
                <w:rPr>
                  <w:rFonts w:ascii="Arial" w:cs="Arial" w:eastAsia="Arial" w:hAnsi="Arial"/>
                  <w:sz w:val="15"/>
                  <w:szCs w:val="15"/>
                  <w:color w:val="0000EE"/>
                </w:rPr>
                <w:t>of Independence</w:t>
              </w:r>
            </w:hyperlink>
          </w:p>
        </w:tc>
        <w:tc>
          <w:tcPr>
            <w:tcW w:w="660" w:type="dxa"/>
            <w:vAlign w:val="bottom"/>
          </w:tcPr>
          <w:p>
            <w:pPr>
              <w:jc w:val="right"/>
              <w:spacing w:after="0" w:line="142" w:lineRule="exact"/>
              <w:rPr>
                <w:sz w:val="20"/>
                <w:szCs w:val="20"/>
                <w:color w:val="auto"/>
              </w:rPr>
            </w:pPr>
            <w:r>
              <w:rPr>
                <w:rFonts w:ascii="Arial" w:cs="Arial" w:eastAsia="Arial" w:hAnsi="Arial"/>
                <w:sz w:val="15"/>
                <w:szCs w:val="15"/>
                <w:color w:val="auto"/>
              </w:rPr>
              <w:t>27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Borders>
              <w:top w:val="single" w:sz="8" w:color="0000EE"/>
              <w:bottom w:val="single" w:sz="8" w:color="0000EE"/>
            </w:tcBorders>
            <w:gridSpan w:val="6"/>
          </w:tcPr>
          <w:p>
            <w:pPr>
              <w:spacing w:after="0" w:line="142" w:lineRule="exact"/>
              <w:rPr>
                <w:rFonts w:ascii="Arial" w:cs="Arial" w:eastAsia="Arial" w:hAnsi="Arial"/>
                <w:sz w:val="15"/>
                <w:szCs w:val="15"/>
                <w:color w:val="0000EE"/>
              </w:rPr>
            </w:pPr>
            <w:hyperlink w:anchor="page33">
              <w:r>
                <w:rPr>
                  <w:rFonts w:ascii="Arial" w:cs="Arial" w:eastAsia="Arial" w:hAnsi="Arial"/>
                  <w:sz w:val="15"/>
                  <w:szCs w:val="15"/>
                  <w:color w:val="0000EE"/>
                </w:rPr>
                <w:t>Director Candidates</w:t>
              </w:r>
            </w:hyperlink>
          </w:p>
        </w:tc>
        <w:tc>
          <w:tcPr>
            <w:tcW w:w="780" w:type="dxa"/>
            <w:vAlign w:val="bottom"/>
            <w:tcBorders>
              <w:top w:val="single" w:sz="8" w:color="0000EE"/>
            </w:tcBorders>
            <w:gridSpan w:val="4"/>
          </w:tcPr>
          <w:p>
            <w:pPr>
              <w:spacing w:after="0"/>
              <w:rPr>
                <w:sz w:val="12"/>
                <w:szCs w:val="12"/>
                <w:color w:val="auto"/>
              </w:rPr>
            </w:pPr>
          </w:p>
        </w:tc>
        <w:tc>
          <w:tcPr>
            <w:tcW w:w="54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5"/>
                <w:szCs w:val="15"/>
                <w:color w:val="auto"/>
              </w:rPr>
              <w:t>28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20" w:type="dxa"/>
            <w:vAlign w:val="bottom"/>
            <w:gridSpan w:val="24"/>
          </w:tcPr>
          <w:p>
            <w:pPr>
              <w:spacing w:after="0" w:line="142" w:lineRule="exact"/>
              <w:rPr>
                <w:rFonts w:ascii="Arial" w:cs="Arial" w:eastAsia="Arial" w:hAnsi="Arial"/>
                <w:sz w:val="15"/>
                <w:szCs w:val="15"/>
                <w:color w:val="0000EE"/>
              </w:rPr>
            </w:pPr>
            <w:hyperlink w:anchor="page33">
              <w:r>
                <w:rPr>
                  <w:rFonts w:ascii="Arial" w:cs="Arial" w:eastAsia="Arial" w:hAnsi="Arial"/>
                  <w:sz w:val="15"/>
                  <w:szCs w:val="15"/>
                  <w:color w:val="0000EE"/>
                </w:rPr>
                <w:t>Communications from Shareholders and Other Interested Parties</w:t>
              </w:r>
            </w:hyperlink>
          </w:p>
        </w:tc>
        <w:tc>
          <w:tcPr>
            <w:tcW w:w="660" w:type="dxa"/>
            <w:vAlign w:val="bottom"/>
          </w:tcPr>
          <w:p>
            <w:pPr>
              <w:jc w:val="right"/>
              <w:spacing w:after="0" w:line="142" w:lineRule="exact"/>
              <w:rPr>
                <w:sz w:val="20"/>
                <w:szCs w:val="20"/>
                <w:color w:val="auto"/>
              </w:rPr>
            </w:pPr>
            <w:r>
              <w:rPr>
                <w:rFonts w:ascii="Arial" w:cs="Arial" w:eastAsia="Arial" w:hAnsi="Arial"/>
                <w:sz w:val="15"/>
                <w:szCs w:val="15"/>
                <w:color w:val="auto"/>
              </w:rPr>
              <w:t>28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700" w:type="dxa"/>
            <w:vAlign w:val="bottom"/>
            <w:tcBorders>
              <w:top w:val="single" w:sz="8" w:color="0000EE"/>
              <w:bottom w:val="single" w:sz="8" w:color="0000EE"/>
            </w:tcBorders>
            <w:gridSpan w:val="14"/>
          </w:tcPr>
          <w:p>
            <w:pPr>
              <w:spacing w:after="0" w:line="142" w:lineRule="exact"/>
              <w:rPr>
                <w:rFonts w:ascii="Arial" w:cs="Arial" w:eastAsia="Arial" w:hAnsi="Arial"/>
                <w:sz w:val="15"/>
                <w:szCs w:val="15"/>
                <w:color w:val="0000EE"/>
              </w:rPr>
            </w:pPr>
            <w:hyperlink w:anchor="page34">
              <w:r>
                <w:rPr>
                  <w:rFonts w:ascii="Arial" w:cs="Arial" w:eastAsia="Arial" w:hAnsi="Arial"/>
                  <w:sz w:val="15"/>
                  <w:szCs w:val="15"/>
                  <w:color w:val="0000EE"/>
                </w:rPr>
                <w:t>Board of Directors Leadership Structure</w:t>
              </w:r>
            </w:hyperlink>
          </w:p>
        </w:tc>
        <w:tc>
          <w:tcPr>
            <w:tcW w:w="1700" w:type="dxa"/>
            <w:vAlign w:val="bottom"/>
            <w:tcBorders>
              <w:top w:val="single" w:sz="8" w:color="0000EE"/>
            </w:tcBorders>
            <w:gridSpan w:val="9"/>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5"/>
                <w:szCs w:val="15"/>
                <w:color w:val="auto"/>
              </w:rPr>
              <w:t>29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20" w:type="dxa"/>
            <w:vAlign w:val="bottom"/>
            <w:gridSpan w:val="24"/>
          </w:tcPr>
          <w:p>
            <w:pPr>
              <w:spacing w:after="0" w:line="142" w:lineRule="exact"/>
              <w:rPr>
                <w:rFonts w:ascii="Arial" w:cs="Arial" w:eastAsia="Arial" w:hAnsi="Arial"/>
                <w:sz w:val="15"/>
                <w:szCs w:val="15"/>
                <w:color w:val="0000EE"/>
              </w:rPr>
            </w:pPr>
            <w:hyperlink w:anchor="page34">
              <w:r>
                <w:rPr>
                  <w:rFonts w:ascii="Arial" w:cs="Arial" w:eastAsia="Arial" w:hAnsi="Arial"/>
                  <w:sz w:val="15"/>
                  <w:szCs w:val="15"/>
                  <w:color w:val="0000EE"/>
                </w:rPr>
                <w:t>Board of Directors Meetings and Committees</w:t>
              </w:r>
            </w:hyperlink>
          </w:p>
        </w:tc>
        <w:tc>
          <w:tcPr>
            <w:tcW w:w="660" w:type="dxa"/>
            <w:vAlign w:val="bottom"/>
          </w:tcPr>
          <w:p>
            <w:pPr>
              <w:jc w:val="right"/>
              <w:spacing w:after="0" w:line="142" w:lineRule="exact"/>
              <w:rPr>
                <w:sz w:val="20"/>
                <w:szCs w:val="20"/>
                <w:color w:val="auto"/>
              </w:rPr>
            </w:pPr>
            <w:r>
              <w:rPr>
                <w:rFonts w:ascii="Arial" w:cs="Arial" w:eastAsia="Arial" w:hAnsi="Arial"/>
                <w:sz w:val="15"/>
                <w:szCs w:val="15"/>
                <w:color w:val="auto"/>
              </w:rPr>
              <w:t>29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60" w:type="dxa"/>
            <w:vAlign w:val="bottom"/>
            <w:tcBorders>
              <w:top w:val="single" w:sz="8" w:color="0000EE"/>
              <w:bottom w:val="single" w:sz="8" w:color="0000EE"/>
            </w:tcBorders>
            <w:gridSpan w:val="17"/>
          </w:tcPr>
          <w:p>
            <w:pPr>
              <w:spacing w:after="0" w:line="142" w:lineRule="exact"/>
              <w:rPr>
                <w:rFonts w:ascii="Arial" w:cs="Arial" w:eastAsia="Arial" w:hAnsi="Arial"/>
                <w:sz w:val="15"/>
                <w:szCs w:val="15"/>
                <w:color w:val="0000EE"/>
                <w:w w:val="99"/>
              </w:rPr>
            </w:pPr>
            <w:hyperlink w:anchor="page37">
              <w:r>
                <w:rPr>
                  <w:rFonts w:ascii="Arial" w:cs="Arial" w:eastAsia="Arial" w:hAnsi="Arial"/>
                  <w:sz w:val="15"/>
                  <w:szCs w:val="15"/>
                  <w:color w:val="0000EE"/>
                  <w:w w:val="99"/>
                </w:rPr>
                <w:t>The Board of Directors’ Role in Risk Oversight</w:t>
              </w:r>
            </w:hyperlink>
          </w:p>
        </w:tc>
        <w:tc>
          <w:tcPr>
            <w:tcW w:w="80" w:type="dxa"/>
            <w:vAlign w:val="bottom"/>
            <w:tcBorders>
              <w:bottom w:val="single" w:sz="8" w:color="0000EE"/>
            </w:tcBorders>
          </w:tcPr>
          <w:p>
            <w:pPr>
              <w:spacing w:after="0"/>
              <w:rPr>
                <w:sz w:val="12"/>
                <w:szCs w:val="12"/>
                <w:color w:val="auto"/>
              </w:rPr>
            </w:pPr>
          </w:p>
        </w:tc>
        <w:tc>
          <w:tcPr>
            <w:tcW w:w="100" w:type="dxa"/>
            <w:vAlign w:val="bottom"/>
            <w:gridSpan w:val="2"/>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40" w:type="dxa"/>
            <w:vAlign w:val="bottom"/>
            <w:gridSpan w:val="18"/>
          </w:tcPr>
          <w:p>
            <w:pPr>
              <w:spacing w:after="0" w:line="142" w:lineRule="exact"/>
              <w:rPr>
                <w:rFonts w:ascii="Arial" w:cs="Arial" w:eastAsia="Arial" w:hAnsi="Arial"/>
                <w:sz w:val="15"/>
                <w:szCs w:val="15"/>
                <w:color w:val="0000EE"/>
              </w:rPr>
            </w:pPr>
            <w:hyperlink w:anchor="page37">
              <w:r>
                <w:rPr>
                  <w:rFonts w:ascii="Arial" w:cs="Arial" w:eastAsia="Arial" w:hAnsi="Arial"/>
                  <w:sz w:val="15"/>
                  <w:szCs w:val="15"/>
                  <w:color w:val="0000EE"/>
                </w:rPr>
                <w:t>Report of the Audit Committee</w:t>
              </w:r>
            </w:hyperlink>
          </w:p>
        </w:tc>
        <w:tc>
          <w:tcPr>
            <w:tcW w:w="100" w:type="dxa"/>
            <w:vAlign w:val="bottom"/>
            <w:gridSpan w:val="2"/>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60" w:type="dxa"/>
            <w:vAlign w:val="bottom"/>
            <w:tcBorders>
              <w:top w:val="single" w:sz="8" w:color="0000EE"/>
            </w:tcBorders>
            <w:gridSpan w:val="9"/>
          </w:tcPr>
          <w:p>
            <w:pPr>
              <w:spacing w:after="0" w:line="142" w:lineRule="exact"/>
              <w:rPr>
                <w:rFonts w:ascii="Arial" w:cs="Arial" w:eastAsia="Arial" w:hAnsi="Arial"/>
                <w:sz w:val="15"/>
                <w:szCs w:val="15"/>
                <w:color w:val="0000EE"/>
                <w:w w:val="99"/>
              </w:rPr>
            </w:pPr>
            <w:hyperlink w:anchor="page38">
              <w:r>
                <w:rPr>
                  <w:rFonts w:ascii="Arial" w:cs="Arial" w:eastAsia="Arial" w:hAnsi="Arial"/>
                  <w:sz w:val="15"/>
                  <w:szCs w:val="15"/>
                  <w:color w:val="0000EE"/>
                  <w:w w:val="99"/>
                </w:rPr>
                <w:t>Independent Registered Public</w:t>
              </w:r>
            </w:hyperlink>
          </w:p>
        </w:tc>
        <w:tc>
          <w:tcPr>
            <w:tcW w:w="2360" w:type="dxa"/>
            <w:vAlign w:val="bottom"/>
            <w:gridSpan w:val="15"/>
          </w:tcPr>
          <w:p>
            <w:pPr>
              <w:ind w:left="80"/>
              <w:spacing w:after="0" w:line="142" w:lineRule="exact"/>
              <w:rPr>
                <w:rFonts w:ascii="Arial" w:cs="Arial" w:eastAsia="Arial" w:hAnsi="Arial"/>
                <w:sz w:val="15"/>
                <w:szCs w:val="15"/>
                <w:color w:val="0000EE"/>
              </w:rPr>
            </w:pPr>
            <w:hyperlink w:anchor="page38">
              <w:r>
                <w:rPr>
                  <w:rFonts w:ascii="Arial" w:cs="Arial" w:eastAsia="Arial" w:hAnsi="Arial"/>
                  <w:sz w:val="15"/>
                  <w:szCs w:val="15"/>
                  <w:color w:val="0000EE"/>
                </w:rPr>
                <w:t>Accounting Firm Fees and Other</w:t>
              </w:r>
            </w:hyperlink>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33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top w:val="single" w:sz="8" w:color="0000EE"/>
            </w:tcBorders>
          </w:tcPr>
          <w:p>
            <w:pPr>
              <w:spacing w:after="0"/>
              <w:rPr>
                <w:sz w:val="12"/>
                <w:szCs w:val="12"/>
                <w:color w:val="auto"/>
              </w:rPr>
            </w:pPr>
          </w:p>
        </w:tc>
        <w:tc>
          <w:tcPr>
            <w:tcW w:w="520" w:type="dxa"/>
            <w:vAlign w:val="bottom"/>
            <w:tcBorders>
              <w:top w:val="single" w:sz="8" w:color="0000EE"/>
              <w:bottom w:val="single" w:sz="8" w:color="0000EE"/>
            </w:tcBorders>
            <w:gridSpan w:val="2"/>
          </w:tcPr>
          <w:p>
            <w:pPr>
              <w:spacing w:after="0" w:line="142" w:lineRule="exact"/>
              <w:rPr>
                <w:rFonts w:ascii="Arial" w:cs="Arial" w:eastAsia="Arial" w:hAnsi="Arial"/>
                <w:sz w:val="15"/>
                <w:szCs w:val="15"/>
                <w:color w:val="0000EE"/>
                <w:w w:val="99"/>
              </w:rPr>
            </w:pPr>
            <w:hyperlink w:anchor="page38">
              <w:r>
                <w:rPr>
                  <w:rFonts w:ascii="Arial" w:cs="Arial" w:eastAsia="Arial" w:hAnsi="Arial"/>
                  <w:sz w:val="15"/>
                  <w:szCs w:val="15"/>
                  <w:color w:val="0000EE"/>
                  <w:w w:val="99"/>
                </w:rPr>
                <w:t>Matters</w:t>
              </w:r>
            </w:hyperlink>
          </w:p>
        </w:tc>
        <w:tc>
          <w:tcPr>
            <w:tcW w:w="3600" w:type="dxa"/>
            <w:vAlign w:val="bottom"/>
            <w:tcBorders>
              <w:top w:val="single" w:sz="8" w:color="0000EE"/>
            </w:tcBorders>
            <w:gridSpan w:val="19"/>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3"/>
          </w:tcPr>
          <w:p>
            <w:pPr>
              <w:spacing w:after="0" w:line="142" w:lineRule="exact"/>
              <w:rPr>
                <w:rFonts w:ascii="Arial" w:cs="Arial" w:eastAsia="Arial" w:hAnsi="Arial"/>
                <w:sz w:val="15"/>
                <w:szCs w:val="15"/>
                <w:color w:val="0000EE"/>
              </w:rPr>
            </w:pPr>
            <w:hyperlink w:anchor="page39">
              <w:r>
                <w:rPr>
                  <w:rFonts w:ascii="Arial" w:cs="Arial" w:eastAsia="Arial" w:hAnsi="Arial"/>
                  <w:sz w:val="15"/>
                  <w:szCs w:val="15"/>
                  <w:color w:val="0000EE"/>
                </w:rPr>
                <w:t>Director</w:t>
              </w:r>
            </w:hyperlink>
          </w:p>
        </w:tc>
        <w:tc>
          <w:tcPr>
            <w:tcW w:w="3680" w:type="dxa"/>
            <w:vAlign w:val="bottom"/>
            <w:gridSpan w:val="21"/>
          </w:tcPr>
          <w:p>
            <w:pPr>
              <w:spacing w:after="0" w:line="142" w:lineRule="exact"/>
              <w:rPr>
                <w:rFonts w:ascii="Arial" w:cs="Arial" w:eastAsia="Arial" w:hAnsi="Arial"/>
                <w:sz w:val="15"/>
                <w:szCs w:val="15"/>
                <w:color w:val="0000EE"/>
              </w:rPr>
            </w:pPr>
            <w:hyperlink w:anchor="page39">
              <w:r>
                <w:rPr>
                  <w:rFonts w:ascii="Arial" w:cs="Arial" w:eastAsia="Arial" w:hAnsi="Arial"/>
                  <w:sz w:val="15"/>
                  <w:szCs w:val="15"/>
                  <w:color w:val="0000EE"/>
                </w:rPr>
                <w:t>Compensation</w:t>
              </w:r>
            </w:hyperlink>
          </w:p>
        </w:tc>
        <w:tc>
          <w:tcPr>
            <w:tcW w:w="660" w:type="dxa"/>
            <w:vAlign w:val="bottom"/>
          </w:tcPr>
          <w:p>
            <w:pPr>
              <w:jc w:val="right"/>
              <w:spacing w:after="0" w:line="142" w:lineRule="exact"/>
              <w:rPr>
                <w:sz w:val="20"/>
                <w:szCs w:val="20"/>
                <w:color w:val="auto"/>
              </w:rPr>
            </w:pPr>
            <w:r>
              <w:rPr>
                <w:rFonts w:ascii="Arial" w:cs="Arial" w:eastAsia="Arial" w:hAnsi="Arial"/>
                <w:sz w:val="15"/>
                <w:szCs w:val="15"/>
                <w:color w:val="auto"/>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340" w:type="dxa"/>
            <w:vAlign w:val="bottom"/>
            <w:gridSpan w:val="6"/>
            <w:shd w:val="clear" w:color="auto" w:fill="0000EE"/>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37</w:t>
            </w: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40" w:type="dxa"/>
            <w:vAlign w:val="bottom"/>
            <w:tcBorders>
              <w:bottom w:val="single" w:sz="8" w:color="0000EE"/>
            </w:tcBorders>
            <w:gridSpan w:val="20"/>
          </w:tcPr>
          <w:p>
            <w:pPr>
              <w:spacing w:after="0" w:line="142" w:lineRule="exact"/>
              <w:rPr>
                <w:rFonts w:ascii="Arial" w:cs="Arial" w:eastAsia="Arial" w:hAnsi="Arial"/>
                <w:sz w:val="15"/>
                <w:szCs w:val="15"/>
                <w:color w:val="0000EE"/>
              </w:rPr>
            </w:pPr>
            <w:hyperlink w:anchor="page42">
              <w:r>
                <w:rPr>
                  <w:rFonts w:ascii="Arial" w:cs="Arial" w:eastAsia="Arial" w:hAnsi="Arial"/>
                  <w:sz w:val="15"/>
                  <w:szCs w:val="15"/>
                  <w:color w:val="0000EE"/>
                </w:rPr>
                <w:t>Certain Relationships and Related Transactions</w:t>
              </w:r>
            </w:hyperlink>
          </w:p>
        </w:tc>
        <w:tc>
          <w:tcPr>
            <w:tcW w:w="1180" w:type="dxa"/>
            <w:vAlign w:val="bottom"/>
            <w:gridSpan w:val="4"/>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4620" w:type="dxa"/>
            <w:vAlign w:val="bottom"/>
            <w:tcBorders>
              <w:bottom w:val="single" w:sz="8" w:color="0000EE"/>
            </w:tcBorders>
            <w:gridSpan w:val="25"/>
          </w:tcPr>
          <w:p>
            <w:pPr>
              <w:spacing w:after="0"/>
              <w:rPr>
                <w:rFonts w:ascii="Arial" w:cs="Arial" w:eastAsia="Arial" w:hAnsi="Arial"/>
                <w:sz w:val="16"/>
                <w:szCs w:val="16"/>
                <w:color w:val="0000EE"/>
              </w:rPr>
            </w:pPr>
            <w:hyperlink w:anchor="page44">
              <w:r>
                <w:rPr>
                  <w:rFonts w:ascii="Arial" w:cs="Arial" w:eastAsia="Arial" w:hAnsi="Arial"/>
                  <w:sz w:val="16"/>
                  <w:szCs w:val="16"/>
                  <w:color w:val="0000EE"/>
                </w:rPr>
                <w:t>PROPOSAL 2 — ADVISORY VOTE ON THE COMPENSATION</w:t>
              </w:r>
            </w:hyperlink>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4640" w:type="dxa"/>
            <w:vAlign w:val="bottom"/>
            <w:gridSpan w:val="26"/>
          </w:tcPr>
          <w:p>
            <w:pPr>
              <w:spacing w:after="0" w:line="169" w:lineRule="exact"/>
              <w:rPr>
                <w:rFonts w:ascii="Arial" w:cs="Arial" w:eastAsia="Arial" w:hAnsi="Arial"/>
                <w:sz w:val="16"/>
                <w:szCs w:val="16"/>
                <w:color w:val="0000EE"/>
              </w:rPr>
            </w:pPr>
            <w:hyperlink w:anchor="page44">
              <w:r>
                <w:rPr>
                  <w:rFonts w:ascii="Arial" w:cs="Arial" w:eastAsia="Arial" w:hAnsi="Arial"/>
                  <w:sz w:val="16"/>
                  <w:szCs w:val="16"/>
                  <w:color w:val="0000EE"/>
                </w:rPr>
                <w:t>OF OUR NAMED EXECUTIVE OFFICERS</w:t>
              </w:r>
            </w:hyperlink>
          </w:p>
        </w:tc>
        <w:tc>
          <w:tcPr>
            <w:tcW w:w="660" w:type="dxa"/>
            <w:vAlign w:val="bottom"/>
          </w:tcPr>
          <w:p>
            <w:pPr>
              <w:jc w:val="right"/>
              <w:spacing w:after="0" w:line="169" w:lineRule="exact"/>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bottom w:val="single" w:sz="8" w:color="8C8C8C"/>
            </w:tcBorders>
          </w:tcPr>
          <w:p>
            <w:pPr>
              <w:spacing w:after="0" w:line="20" w:lineRule="exact"/>
              <w:rPr>
                <w:sz w:val="1"/>
                <w:szCs w:val="1"/>
                <w:color w:val="auto"/>
              </w:rPr>
            </w:pPr>
          </w:p>
        </w:tc>
        <w:tc>
          <w:tcPr>
            <w:tcW w:w="200" w:type="dxa"/>
            <w:vAlign w:val="bottom"/>
            <w:tcBorders>
              <w:top w:val="single" w:sz="8" w:color="0000EE"/>
              <w:bottom w:val="single" w:sz="8" w:color="8C8C8C"/>
            </w:tcBorders>
          </w:tcPr>
          <w:p>
            <w:pPr>
              <w:spacing w:after="0" w:line="20" w:lineRule="exact"/>
              <w:rPr>
                <w:sz w:val="1"/>
                <w:szCs w:val="1"/>
                <w:color w:val="auto"/>
              </w:rPr>
            </w:pPr>
          </w:p>
        </w:tc>
        <w:tc>
          <w:tcPr>
            <w:tcW w:w="220" w:type="dxa"/>
            <w:vAlign w:val="bottom"/>
            <w:tcBorders>
              <w:top w:val="single" w:sz="8" w:color="0000EE"/>
              <w:bottom w:val="single" w:sz="8" w:color="8C8C8C"/>
            </w:tcBorders>
          </w:tcPr>
          <w:p>
            <w:pPr>
              <w:spacing w:after="0" w:line="20" w:lineRule="exact"/>
              <w:rPr>
                <w:sz w:val="1"/>
                <w:szCs w:val="1"/>
                <w:color w:val="auto"/>
              </w:rPr>
            </w:pPr>
          </w:p>
        </w:tc>
        <w:tc>
          <w:tcPr>
            <w:tcW w:w="320" w:type="dxa"/>
            <w:vAlign w:val="bottom"/>
            <w:tcBorders>
              <w:top w:val="single" w:sz="8" w:color="0000EE"/>
              <w:bottom w:val="single" w:sz="8" w:color="8C8C8C"/>
            </w:tcBorders>
          </w:tcPr>
          <w:p>
            <w:pPr>
              <w:spacing w:after="0" w:line="20" w:lineRule="exact"/>
              <w:rPr>
                <w:sz w:val="1"/>
                <w:szCs w:val="1"/>
                <w:color w:val="auto"/>
              </w:rPr>
            </w:pPr>
          </w:p>
        </w:tc>
        <w:tc>
          <w:tcPr>
            <w:tcW w:w="200" w:type="dxa"/>
            <w:vAlign w:val="bottom"/>
            <w:tcBorders>
              <w:top w:val="single" w:sz="8" w:color="0000EE"/>
              <w:bottom w:val="single" w:sz="8" w:color="8C8C8C"/>
            </w:tcBorders>
          </w:tcPr>
          <w:p>
            <w:pPr>
              <w:spacing w:after="0" w:line="20" w:lineRule="exact"/>
              <w:rPr>
                <w:sz w:val="1"/>
                <w:szCs w:val="1"/>
                <w:color w:val="auto"/>
              </w:rPr>
            </w:pPr>
          </w:p>
        </w:tc>
        <w:tc>
          <w:tcPr>
            <w:tcW w:w="160" w:type="dxa"/>
            <w:vAlign w:val="bottom"/>
            <w:tcBorders>
              <w:top w:val="single" w:sz="8" w:color="0000EE"/>
              <w:bottom w:val="single" w:sz="8" w:color="8C8C8C"/>
            </w:tcBorders>
          </w:tcPr>
          <w:p>
            <w:pPr>
              <w:spacing w:after="0" w:line="20" w:lineRule="exact"/>
              <w:rPr>
                <w:sz w:val="1"/>
                <w:szCs w:val="1"/>
                <w:color w:val="auto"/>
              </w:rPr>
            </w:pPr>
          </w:p>
        </w:tc>
        <w:tc>
          <w:tcPr>
            <w:tcW w:w="440" w:type="dxa"/>
            <w:vAlign w:val="bottom"/>
            <w:tcBorders>
              <w:top w:val="single" w:sz="8" w:color="0000EE"/>
              <w:bottom w:val="single" w:sz="8" w:color="8C8C8C"/>
            </w:tcBorders>
          </w:tcPr>
          <w:p>
            <w:pPr>
              <w:spacing w:after="0" w:line="20" w:lineRule="exact"/>
              <w:rPr>
                <w:sz w:val="1"/>
                <w:szCs w:val="1"/>
                <w:color w:val="auto"/>
              </w:rPr>
            </w:pPr>
          </w:p>
        </w:tc>
        <w:tc>
          <w:tcPr>
            <w:tcW w:w="20" w:type="dxa"/>
            <w:vAlign w:val="bottom"/>
            <w:tcBorders>
              <w:top w:val="single" w:sz="8" w:color="0000EE"/>
              <w:bottom w:val="single" w:sz="8" w:color="8C8C8C"/>
            </w:tcBorders>
          </w:tcPr>
          <w:p>
            <w:pPr>
              <w:spacing w:after="0" w:line="20" w:lineRule="exact"/>
              <w:rPr>
                <w:sz w:val="1"/>
                <w:szCs w:val="1"/>
                <w:color w:val="auto"/>
              </w:rPr>
            </w:pPr>
          </w:p>
        </w:tc>
        <w:tc>
          <w:tcPr>
            <w:tcW w:w="200" w:type="dxa"/>
            <w:vAlign w:val="bottom"/>
            <w:tcBorders>
              <w:top w:val="single" w:sz="8" w:color="0000EE"/>
              <w:bottom w:val="single" w:sz="8" w:color="8C8C8C"/>
            </w:tcBorders>
          </w:tcPr>
          <w:p>
            <w:pPr>
              <w:spacing w:after="0" w:line="20" w:lineRule="exact"/>
              <w:rPr>
                <w:sz w:val="1"/>
                <w:szCs w:val="1"/>
                <w:color w:val="auto"/>
              </w:rPr>
            </w:pPr>
          </w:p>
        </w:tc>
        <w:tc>
          <w:tcPr>
            <w:tcW w:w="440" w:type="dxa"/>
            <w:vAlign w:val="bottom"/>
            <w:tcBorders>
              <w:top w:val="single" w:sz="8" w:color="0000EE"/>
              <w:bottom w:val="single" w:sz="8" w:color="8C8C8C"/>
            </w:tcBorders>
          </w:tcPr>
          <w:p>
            <w:pPr>
              <w:spacing w:after="0" w:line="20" w:lineRule="exact"/>
              <w:rPr>
                <w:sz w:val="1"/>
                <w:szCs w:val="1"/>
                <w:color w:val="auto"/>
              </w:rPr>
            </w:pPr>
          </w:p>
        </w:tc>
        <w:tc>
          <w:tcPr>
            <w:tcW w:w="60" w:type="dxa"/>
            <w:vAlign w:val="bottom"/>
            <w:tcBorders>
              <w:top w:val="single" w:sz="8" w:color="0000EE"/>
              <w:bottom w:val="single" w:sz="8" w:color="8C8C8C"/>
            </w:tcBorders>
          </w:tcPr>
          <w:p>
            <w:pPr>
              <w:spacing w:after="0" w:line="20" w:lineRule="exact"/>
              <w:rPr>
                <w:sz w:val="1"/>
                <w:szCs w:val="1"/>
                <w:color w:val="auto"/>
              </w:rPr>
            </w:pPr>
          </w:p>
        </w:tc>
        <w:tc>
          <w:tcPr>
            <w:tcW w:w="80" w:type="dxa"/>
            <w:vAlign w:val="bottom"/>
            <w:tcBorders>
              <w:top w:val="single" w:sz="8" w:color="0000EE"/>
              <w:bottom w:val="single" w:sz="8" w:color="8C8C8C"/>
            </w:tcBorders>
          </w:tcPr>
          <w:p>
            <w:pPr>
              <w:spacing w:after="0" w:line="20" w:lineRule="exact"/>
              <w:rPr>
                <w:sz w:val="1"/>
                <w:szCs w:val="1"/>
                <w:color w:val="auto"/>
              </w:rPr>
            </w:pPr>
          </w:p>
        </w:tc>
        <w:tc>
          <w:tcPr>
            <w:tcW w:w="260" w:type="dxa"/>
            <w:vAlign w:val="bottom"/>
            <w:tcBorders>
              <w:top w:val="single" w:sz="8" w:color="0000EE"/>
              <w:bottom w:val="single" w:sz="8" w:color="8C8C8C"/>
            </w:tcBorders>
          </w:tcPr>
          <w:p>
            <w:pPr>
              <w:spacing w:after="0" w:line="20" w:lineRule="exact"/>
              <w:rPr>
                <w:sz w:val="1"/>
                <w:szCs w:val="1"/>
                <w:color w:val="auto"/>
              </w:rPr>
            </w:pPr>
          </w:p>
        </w:tc>
        <w:tc>
          <w:tcPr>
            <w:tcW w:w="120" w:type="dxa"/>
            <w:vAlign w:val="bottom"/>
            <w:tcBorders>
              <w:top w:val="single" w:sz="8" w:color="0000EE"/>
              <w:bottom w:val="single" w:sz="8" w:color="8C8C8C"/>
            </w:tcBorders>
          </w:tcPr>
          <w:p>
            <w:pPr>
              <w:spacing w:after="0" w:line="20" w:lineRule="exact"/>
              <w:rPr>
                <w:sz w:val="1"/>
                <w:szCs w:val="1"/>
                <w:color w:val="auto"/>
              </w:rPr>
            </w:pPr>
          </w:p>
        </w:tc>
        <w:tc>
          <w:tcPr>
            <w:tcW w:w="160" w:type="dxa"/>
            <w:vAlign w:val="bottom"/>
            <w:tcBorders>
              <w:top w:val="single" w:sz="8" w:color="0000EE"/>
              <w:bottom w:val="single" w:sz="8" w:color="8C8C8C"/>
            </w:tcBorders>
          </w:tcPr>
          <w:p>
            <w:pPr>
              <w:spacing w:after="0" w:line="20" w:lineRule="exact"/>
              <w:rPr>
                <w:sz w:val="1"/>
                <w:szCs w:val="1"/>
                <w:color w:val="auto"/>
              </w:rPr>
            </w:pPr>
          </w:p>
        </w:tc>
        <w:tc>
          <w:tcPr>
            <w:tcW w:w="20" w:type="dxa"/>
            <w:vAlign w:val="bottom"/>
            <w:tcBorders>
              <w:top w:val="single" w:sz="8" w:color="0000EE"/>
              <w:bottom w:val="single" w:sz="8" w:color="8C8C8C"/>
            </w:tcBorders>
          </w:tcPr>
          <w:p>
            <w:pPr>
              <w:spacing w:after="0" w:line="20" w:lineRule="exact"/>
              <w:rPr>
                <w:sz w:val="1"/>
                <w:szCs w:val="1"/>
                <w:color w:val="auto"/>
              </w:rPr>
            </w:pPr>
          </w:p>
        </w:tc>
        <w:tc>
          <w:tcPr>
            <w:tcW w:w="160" w:type="dxa"/>
            <w:vAlign w:val="bottom"/>
            <w:tcBorders>
              <w:top w:val="single" w:sz="8" w:color="0000EE"/>
              <w:bottom w:val="single" w:sz="8" w:color="8C8C8C"/>
            </w:tcBorders>
          </w:tcPr>
          <w:p>
            <w:pPr>
              <w:spacing w:after="0" w:line="20" w:lineRule="exact"/>
              <w:rPr>
                <w:sz w:val="1"/>
                <w:szCs w:val="1"/>
                <w:color w:val="auto"/>
              </w:rPr>
            </w:pPr>
          </w:p>
        </w:tc>
        <w:tc>
          <w:tcPr>
            <w:tcW w:w="20" w:type="dxa"/>
            <w:vAlign w:val="bottom"/>
            <w:tcBorders>
              <w:top w:val="single" w:sz="8" w:color="0000EE"/>
              <w:bottom w:val="single" w:sz="8" w:color="8C8C8C"/>
            </w:tcBorders>
          </w:tcPr>
          <w:p>
            <w:pPr>
              <w:spacing w:after="0" w:line="20" w:lineRule="exact"/>
              <w:rPr>
                <w:sz w:val="1"/>
                <w:szCs w:val="1"/>
                <w:color w:val="auto"/>
              </w:rPr>
            </w:pPr>
          </w:p>
        </w:tc>
        <w:tc>
          <w:tcPr>
            <w:tcW w:w="180" w:type="dxa"/>
            <w:vAlign w:val="bottom"/>
            <w:tcBorders>
              <w:bottom w:val="single" w:sz="8" w:color="8C8C8C"/>
            </w:tcBorders>
          </w:tcPr>
          <w:p>
            <w:pPr>
              <w:spacing w:after="0" w:line="20" w:lineRule="exact"/>
              <w:rPr>
                <w:sz w:val="1"/>
                <w:szCs w:val="1"/>
                <w:color w:val="auto"/>
              </w:rPr>
            </w:pPr>
          </w:p>
        </w:tc>
        <w:tc>
          <w:tcPr>
            <w:tcW w:w="8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80" w:type="dxa"/>
            <w:vAlign w:val="bottom"/>
            <w:tcBorders>
              <w:bottom w:val="single" w:sz="8" w:color="8C8C8C"/>
            </w:tcBorders>
          </w:tcPr>
          <w:p>
            <w:pPr>
              <w:spacing w:after="0" w:line="20" w:lineRule="exact"/>
              <w:rPr>
                <w:sz w:val="1"/>
                <w:szCs w:val="1"/>
                <w:color w:val="auto"/>
              </w:rPr>
            </w:pPr>
          </w:p>
        </w:tc>
        <w:tc>
          <w:tcPr>
            <w:tcW w:w="580" w:type="dxa"/>
            <w:vAlign w:val="bottom"/>
            <w:tcBorders>
              <w:bottom w:val="single" w:sz="8" w:color="8C8C8C"/>
            </w:tcBorders>
          </w:tcPr>
          <w:p>
            <w:pPr>
              <w:spacing w:after="0" w:line="20" w:lineRule="exact"/>
              <w:rPr>
                <w:sz w:val="1"/>
                <w:szCs w:val="1"/>
                <w:color w:val="auto"/>
              </w:rPr>
            </w:pPr>
          </w:p>
        </w:tc>
        <w:tc>
          <w:tcPr>
            <w:tcW w:w="520" w:type="dxa"/>
            <w:vAlign w:val="bottom"/>
            <w:tcBorders>
              <w:bottom w:val="single" w:sz="8" w:color="8C8C8C"/>
            </w:tcBorders>
          </w:tcPr>
          <w:p>
            <w:pPr>
              <w:spacing w:after="0" w:line="20" w:lineRule="exact"/>
              <w:rPr>
                <w:sz w:val="1"/>
                <w:szCs w:val="1"/>
                <w:color w:val="auto"/>
              </w:rPr>
            </w:pPr>
          </w:p>
        </w:tc>
        <w:tc>
          <w:tcPr>
            <w:tcW w:w="6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660" w:type="dxa"/>
            <w:vAlign w:val="bottom"/>
            <w:tcBorders>
              <w:bottom w:val="single" w:sz="8" w:color="8C8C8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40" w:type="dxa"/>
            <w:vAlign w:val="bottom"/>
            <w:gridSpan w:val="26"/>
          </w:tcPr>
          <w:p>
            <w:pPr>
              <w:spacing w:after="0"/>
              <w:rPr>
                <w:rFonts w:ascii="Arial" w:cs="Arial" w:eastAsia="Arial" w:hAnsi="Arial"/>
                <w:sz w:val="16"/>
                <w:szCs w:val="16"/>
                <w:color w:val="0000EE"/>
              </w:rPr>
            </w:pPr>
            <w:hyperlink w:anchor="page45">
              <w:r>
                <w:rPr>
                  <w:rFonts w:ascii="Arial" w:cs="Arial" w:eastAsia="Arial" w:hAnsi="Arial"/>
                  <w:sz w:val="16"/>
                  <w:szCs w:val="16"/>
                  <w:color w:val="0000EE"/>
                </w:rPr>
                <w:t>INFORMATION ABOUT EXECUTIVE COMPENSATION</w:t>
              </w:r>
            </w:hyperlink>
          </w:p>
        </w:tc>
        <w:tc>
          <w:tcPr>
            <w:tcW w:w="66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bottom w:val="single" w:sz="8" w:color="8C8C8C"/>
            </w:tcBorders>
          </w:tcPr>
          <w:p>
            <w:pPr>
              <w:spacing w:after="0" w:line="20" w:lineRule="exact"/>
              <w:rPr>
                <w:sz w:val="1"/>
                <w:szCs w:val="1"/>
                <w:color w:val="auto"/>
              </w:rPr>
            </w:pPr>
          </w:p>
        </w:tc>
        <w:tc>
          <w:tcPr>
            <w:tcW w:w="220" w:type="dxa"/>
            <w:vAlign w:val="bottom"/>
            <w:tcBorders>
              <w:top w:val="single" w:sz="8" w:color="0000EE"/>
              <w:bottom w:val="single" w:sz="8" w:color="8C8C8C"/>
            </w:tcBorders>
          </w:tcPr>
          <w:p>
            <w:pPr>
              <w:spacing w:after="0" w:line="20" w:lineRule="exact"/>
              <w:rPr>
                <w:sz w:val="1"/>
                <w:szCs w:val="1"/>
                <w:color w:val="auto"/>
              </w:rPr>
            </w:pPr>
          </w:p>
        </w:tc>
        <w:tc>
          <w:tcPr>
            <w:tcW w:w="320" w:type="dxa"/>
            <w:vAlign w:val="bottom"/>
            <w:tcBorders>
              <w:top w:val="single" w:sz="8" w:color="0000EE"/>
              <w:bottom w:val="single" w:sz="8" w:color="8C8C8C"/>
            </w:tcBorders>
          </w:tcPr>
          <w:p>
            <w:pPr>
              <w:spacing w:after="0" w:line="20" w:lineRule="exact"/>
              <w:rPr>
                <w:sz w:val="1"/>
                <w:szCs w:val="1"/>
                <w:color w:val="auto"/>
              </w:rPr>
            </w:pPr>
          </w:p>
        </w:tc>
        <w:tc>
          <w:tcPr>
            <w:tcW w:w="200" w:type="dxa"/>
            <w:vAlign w:val="bottom"/>
            <w:tcBorders>
              <w:top w:val="single" w:sz="8" w:color="0000EE"/>
              <w:bottom w:val="single" w:sz="8" w:color="8C8C8C"/>
            </w:tcBorders>
          </w:tcPr>
          <w:p>
            <w:pPr>
              <w:spacing w:after="0" w:line="20" w:lineRule="exact"/>
              <w:rPr>
                <w:sz w:val="1"/>
                <w:szCs w:val="1"/>
                <w:color w:val="auto"/>
              </w:rPr>
            </w:pPr>
          </w:p>
        </w:tc>
        <w:tc>
          <w:tcPr>
            <w:tcW w:w="160" w:type="dxa"/>
            <w:vAlign w:val="bottom"/>
            <w:tcBorders>
              <w:top w:val="single" w:sz="8" w:color="0000EE"/>
              <w:bottom w:val="single" w:sz="8" w:color="8C8C8C"/>
            </w:tcBorders>
          </w:tcPr>
          <w:p>
            <w:pPr>
              <w:spacing w:after="0" w:line="20" w:lineRule="exact"/>
              <w:rPr>
                <w:sz w:val="1"/>
                <w:szCs w:val="1"/>
                <w:color w:val="auto"/>
              </w:rPr>
            </w:pPr>
          </w:p>
        </w:tc>
        <w:tc>
          <w:tcPr>
            <w:tcW w:w="440" w:type="dxa"/>
            <w:vAlign w:val="bottom"/>
            <w:tcBorders>
              <w:top w:val="single" w:sz="8" w:color="0000EE"/>
              <w:bottom w:val="single" w:sz="8" w:color="8C8C8C"/>
            </w:tcBorders>
          </w:tcPr>
          <w:p>
            <w:pPr>
              <w:spacing w:after="0" w:line="20" w:lineRule="exact"/>
              <w:rPr>
                <w:sz w:val="1"/>
                <w:szCs w:val="1"/>
                <w:color w:val="auto"/>
              </w:rPr>
            </w:pPr>
          </w:p>
        </w:tc>
        <w:tc>
          <w:tcPr>
            <w:tcW w:w="20" w:type="dxa"/>
            <w:vAlign w:val="bottom"/>
            <w:tcBorders>
              <w:top w:val="single" w:sz="8" w:color="0000EE"/>
              <w:bottom w:val="single" w:sz="8" w:color="8C8C8C"/>
            </w:tcBorders>
          </w:tcPr>
          <w:p>
            <w:pPr>
              <w:spacing w:after="0" w:line="20" w:lineRule="exact"/>
              <w:rPr>
                <w:sz w:val="1"/>
                <w:szCs w:val="1"/>
                <w:color w:val="auto"/>
              </w:rPr>
            </w:pPr>
          </w:p>
        </w:tc>
        <w:tc>
          <w:tcPr>
            <w:tcW w:w="200" w:type="dxa"/>
            <w:vAlign w:val="bottom"/>
            <w:tcBorders>
              <w:top w:val="single" w:sz="8" w:color="0000EE"/>
              <w:bottom w:val="single" w:sz="8" w:color="8C8C8C"/>
            </w:tcBorders>
          </w:tcPr>
          <w:p>
            <w:pPr>
              <w:spacing w:after="0" w:line="20" w:lineRule="exact"/>
              <w:rPr>
                <w:sz w:val="1"/>
                <w:szCs w:val="1"/>
                <w:color w:val="auto"/>
              </w:rPr>
            </w:pPr>
          </w:p>
        </w:tc>
        <w:tc>
          <w:tcPr>
            <w:tcW w:w="440" w:type="dxa"/>
            <w:vAlign w:val="bottom"/>
            <w:tcBorders>
              <w:top w:val="single" w:sz="8" w:color="0000EE"/>
              <w:bottom w:val="single" w:sz="8" w:color="8C8C8C"/>
            </w:tcBorders>
          </w:tcPr>
          <w:p>
            <w:pPr>
              <w:spacing w:after="0" w:line="20" w:lineRule="exact"/>
              <w:rPr>
                <w:sz w:val="1"/>
                <w:szCs w:val="1"/>
                <w:color w:val="auto"/>
              </w:rPr>
            </w:pPr>
          </w:p>
        </w:tc>
        <w:tc>
          <w:tcPr>
            <w:tcW w:w="60" w:type="dxa"/>
            <w:vAlign w:val="bottom"/>
            <w:tcBorders>
              <w:top w:val="single" w:sz="8" w:color="0000EE"/>
              <w:bottom w:val="single" w:sz="8" w:color="8C8C8C"/>
            </w:tcBorders>
          </w:tcPr>
          <w:p>
            <w:pPr>
              <w:spacing w:after="0" w:line="20" w:lineRule="exact"/>
              <w:rPr>
                <w:sz w:val="1"/>
                <w:szCs w:val="1"/>
                <w:color w:val="auto"/>
              </w:rPr>
            </w:pPr>
          </w:p>
        </w:tc>
        <w:tc>
          <w:tcPr>
            <w:tcW w:w="80" w:type="dxa"/>
            <w:vAlign w:val="bottom"/>
            <w:tcBorders>
              <w:top w:val="single" w:sz="8" w:color="0000EE"/>
              <w:bottom w:val="single" w:sz="8" w:color="8C8C8C"/>
            </w:tcBorders>
          </w:tcPr>
          <w:p>
            <w:pPr>
              <w:spacing w:after="0" w:line="20" w:lineRule="exact"/>
              <w:rPr>
                <w:sz w:val="1"/>
                <w:szCs w:val="1"/>
                <w:color w:val="auto"/>
              </w:rPr>
            </w:pPr>
          </w:p>
        </w:tc>
        <w:tc>
          <w:tcPr>
            <w:tcW w:w="260" w:type="dxa"/>
            <w:vAlign w:val="bottom"/>
            <w:tcBorders>
              <w:top w:val="single" w:sz="8" w:color="0000EE"/>
              <w:bottom w:val="single" w:sz="8" w:color="8C8C8C"/>
            </w:tcBorders>
          </w:tcPr>
          <w:p>
            <w:pPr>
              <w:spacing w:after="0" w:line="20" w:lineRule="exact"/>
              <w:rPr>
                <w:sz w:val="1"/>
                <w:szCs w:val="1"/>
                <w:color w:val="auto"/>
              </w:rPr>
            </w:pPr>
          </w:p>
        </w:tc>
        <w:tc>
          <w:tcPr>
            <w:tcW w:w="120" w:type="dxa"/>
            <w:vAlign w:val="bottom"/>
            <w:tcBorders>
              <w:top w:val="single" w:sz="8" w:color="0000EE"/>
              <w:bottom w:val="single" w:sz="8" w:color="8C8C8C"/>
            </w:tcBorders>
          </w:tcPr>
          <w:p>
            <w:pPr>
              <w:spacing w:after="0" w:line="20" w:lineRule="exact"/>
              <w:rPr>
                <w:sz w:val="1"/>
                <w:szCs w:val="1"/>
                <w:color w:val="auto"/>
              </w:rPr>
            </w:pPr>
          </w:p>
        </w:tc>
        <w:tc>
          <w:tcPr>
            <w:tcW w:w="160" w:type="dxa"/>
            <w:vAlign w:val="bottom"/>
            <w:tcBorders>
              <w:top w:val="single" w:sz="8" w:color="0000EE"/>
              <w:bottom w:val="single" w:sz="8" w:color="8C8C8C"/>
            </w:tcBorders>
          </w:tcPr>
          <w:p>
            <w:pPr>
              <w:spacing w:after="0" w:line="20" w:lineRule="exact"/>
              <w:rPr>
                <w:sz w:val="1"/>
                <w:szCs w:val="1"/>
                <w:color w:val="auto"/>
              </w:rPr>
            </w:pPr>
          </w:p>
        </w:tc>
        <w:tc>
          <w:tcPr>
            <w:tcW w:w="20" w:type="dxa"/>
            <w:vAlign w:val="bottom"/>
            <w:tcBorders>
              <w:top w:val="single" w:sz="8" w:color="0000EE"/>
              <w:bottom w:val="single" w:sz="8" w:color="8C8C8C"/>
            </w:tcBorders>
          </w:tcPr>
          <w:p>
            <w:pPr>
              <w:spacing w:after="0" w:line="20" w:lineRule="exact"/>
              <w:rPr>
                <w:sz w:val="1"/>
                <w:szCs w:val="1"/>
                <w:color w:val="auto"/>
              </w:rPr>
            </w:pPr>
          </w:p>
        </w:tc>
        <w:tc>
          <w:tcPr>
            <w:tcW w:w="160" w:type="dxa"/>
            <w:vAlign w:val="bottom"/>
            <w:tcBorders>
              <w:top w:val="single" w:sz="8" w:color="0000EE"/>
              <w:bottom w:val="single" w:sz="8" w:color="8C8C8C"/>
            </w:tcBorders>
          </w:tcPr>
          <w:p>
            <w:pPr>
              <w:spacing w:after="0" w:line="20" w:lineRule="exact"/>
              <w:rPr>
                <w:sz w:val="1"/>
                <w:szCs w:val="1"/>
                <w:color w:val="auto"/>
              </w:rPr>
            </w:pPr>
          </w:p>
        </w:tc>
        <w:tc>
          <w:tcPr>
            <w:tcW w:w="20" w:type="dxa"/>
            <w:vAlign w:val="bottom"/>
            <w:tcBorders>
              <w:top w:val="single" w:sz="8" w:color="0000EE"/>
              <w:bottom w:val="single" w:sz="8" w:color="8C8C8C"/>
            </w:tcBorders>
          </w:tcPr>
          <w:p>
            <w:pPr>
              <w:spacing w:after="0" w:line="20" w:lineRule="exact"/>
              <w:rPr>
                <w:sz w:val="1"/>
                <w:szCs w:val="1"/>
                <w:color w:val="auto"/>
              </w:rPr>
            </w:pPr>
          </w:p>
        </w:tc>
        <w:tc>
          <w:tcPr>
            <w:tcW w:w="180" w:type="dxa"/>
            <w:vAlign w:val="bottom"/>
            <w:tcBorders>
              <w:top w:val="single" w:sz="8" w:color="0000EE"/>
              <w:bottom w:val="single" w:sz="8" w:color="8C8C8C"/>
            </w:tcBorders>
          </w:tcPr>
          <w:p>
            <w:pPr>
              <w:spacing w:after="0" w:line="20" w:lineRule="exact"/>
              <w:rPr>
                <w:sz w:val="1"/>
                <w:szCs w:val="1"/>
                <w:color w:val="auto"/>
              </w:rPr>
            </w:pPr>
          </w:p>
        </w:tc>
        <w:tc>
          <w:tcPr>
            <w:tcW w:w="80" w:type="dxa"/>
            <w:vAlign w:val="bottom"/>
            <w:tcBorders>
              <w:top w:val="single" w:sz="8" w:color="0000EE"/>
              <w:bottom w:val="single" w:sz="8" w:color="8C8C8C"/>
            </w:tcBorders>
          </w:tcPr>
          <w:p>
            <w:pPr>
              <w:spacing w:after="0" w:line="20" w:lineRule="exact"/>
              <w:rPr>
                <w:sz w:val="1"/>
                <w:szCs w:val="1"/>
                <w:color w:val="auto"/>
              </w:rPr>
            </w:pPr>
          </w:p>
        </w:tc>
        <w:tc>
          <w:tcPr>
            <w:tcW w:w="20" w:type="dxa"/>
            <w:vAlign w:val="bottom"/>
            <w:tcBorders>
              <w:top w:val="single" w:sz="8" w:color="0000EE"/>
              <w:bottom w:val="single" w:sz="8" w:color="8C8C8C"/>
            </w:tcBorders>
          </w:tcPr>
          <w:p>
            <w:pPr>
              <w:spacing w:after="0" w:line="20" w:lineRule="exact"/>
              <w:rPr>
                <w:sz w:val="1"/>
                <w:szCs w:val="1"/>
                <w:color w:val="auto"/>
              </w:rPr>
            </w:pPr>
          </w:p>
        </w:tc>
        <w:tc>
          <w:tcPr>
            <w:tcW w:w="80" w:type="dxa"/>
            <w:vAlign w:val="bottom"/>
            <w:tcBorders>
              <w:top w:val="single" w:sz="8" w:color="0000EE"/>
              <w:bottom w:val="single" w:sz="8" w:color="8C8C8C"/>
            </w:tcBorders>
          </w:tcPr>
          <w:p>
            <w:pPr>
              <w:spacing w:after="0" w:line="20" w:lineRule="exact"/>
              <w:rPr>
                <w:sz w:val="1"/>
                <w:szCs w:val="1"/>
                <w:color w:val="auto"/>
              </w:rPr>
            </w:pPr>
          </w:p>
        </w:tc>
        <w:tc>
          <w:tcPr>
            <w:tcW w:w="580" w:type="dxa"/>
            <w:vAlign w:val="bottom"/>
            <w:tcBorders>
              <w:top w:val="single" w:sz="8" w:color="0000EE"/>
              <w:bottom w:val="single" w:sz="8" w:color="8C8C8C"/>
            </w:tcBorders>
          </w:tcPr>
          <w:p>
            <w:pPr>
              <w:spacing w:after="0" w:line="20" w:lineRule="exact"/>
              <w:rPr>
                <w:sz w:val="1"/>
                <w:szCs w:val="1"/>
                <w:color w:val="auto"/>
              </w:rPr>
            </w:pPr>
          </w:p>
        </w:tc>
        <w:tc>
          <w:tcPr>
            <w:tcW w:w="520" w:type="dxa"/>
            <w:vAlign w:val="bottom"/>
            <w:tcBorders>
              <w:bottom w:val="single" w:sz="8" w:color="8C8C8C"/>
            </w:tcBorders>
          </w:tcPr>
          <w:p>
            <w:pPr>
              <w:spacing w:after="0" w:line="20" w:lineRule="exact"/>
              <w:rPr>
                <w:sz w:val="1"/>
                <w:szCs w:val="1"/>
                <w:color w:val="auto"/>
              </w:rPr>
            </w:pPr>
          </w:p>
        </w:tc>
        <w:tc>
          <w:tcPr>
            <w:tcW w:w="6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660" w:type="dxa"/>
            <w:vAlign w:val="bottom"/>
            <w:tcBorders>
              <w:bottom w:val="single" w:sz="8" w:color="8C8C8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20" w:type="dxa"/>
            <w:vAlign w:val="bottom"/>
            <w:gridSpan w:val="24"/>
          </w:tcPr>
          <w:p>
            <w:pPr>
              <w:spacing w:after="0" w:line="169" w:lineRule="exact"/>
              <w:rPr>
                <w:rFonts w:ascii="Arial" w:cs="Arial" w:eastAsia="Arial" w:hAnsi="Arial"/>
                <w:sz w:val="15"/>
                <w:szCs w:val="15"/>
                <w:color w:val="0000EE"/>
              </w:rPr>
            </w:pPr>
            <w:hyperlink w:anchor="page45">
              <w:r>
                <w:rPr>
                  <w:rFonts w:ascii="Arial" w:cs="Arial" w:eastAsia="Arial" w:hAnsi="Arial"/>
                  <w:sz w:val="15"/>
                  <w:szCs w:val="15"/>
                  <w:color w:val="0000EE"/>
                </w:rPr>
                <w:t>Compensation Discussion and Analysis</w:t>
              </w:r>
            </w:hyperlink>
          </w:p>
        </w:tc>
        <w:tc>
          <w:tcPr>
            <w:tcW w:w="660" w:type="dxa"/>
            <w:vAlign w:val="bottom"/>
          </w:tcPr>
          <w:p>
            <w:pPr>
              <w:jc w:val="right"/>
              <w:spacing w:after="0" w:line="169" w:lineRule="exact"/>
              <w:rPr>
                <w:sz w:val="20"/>
                <w:szCs w:val="20"/>
                <w:color w:val="auto"/>
              </w:rPr>
            </w:pPr>
            <w:r>
              <w:rPr>
                <w:rFonts w:ascii="Arial" w:cs="Arial" w:eastAsia="Arial" w:hAnsi="Arial"/>
                <w:sz w:val="15"/>
                <w:szCs w:val="15"/>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60" w:type="dxa"/>
            <w:vAlign w:val="bottom"/>
            <w:gridSpan w:val="12"/>
            <w:shd w:val="clear" w:color="auto" w:fill="0000EE"/>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360" w:type="dxa"/>
            <w:vAlign w:val="bottom"/>
            <w:gridSpan w:val="7"/>
          </w:tcPr>
          <w:p>
            <w:pPr>
              <w:spacing w:after="0" w:line="20" w:lineRule="exact"/>
              <w:rPr>
                <w:sz w:val="1"/>
                <w:szCs w:val="1"/>
                <w:color w:val="auto"/>
              </w:rPr>
            </w:pPr>
          </w:p>
        </w:tc>
        <w:tc>
          <w:tcPr>
            <w:tcW w:w="66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40</w:t>
            </w: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40" w:type="dxa"/>
            <w:vAlign w:val="bottom"/>
            <w:tcBorders>
              <w:bottom w:val="single" w:sz="8" w:color="0000EE"/>
            </w:tcBorders>
            <w:gridSpan w:val="16"/>
          </w:tcPr>
          <w:p>
            <w:pPr>
              <w:spacing w:after="0" w:line="142" w:lineRule="exact"/>
              <w:rPr>
                <w:rFonts w:ascii="Arial" w:cs="Arial" w:eastAsia="Arial" w:hAnsi="Arial"/>
                <w:sz w:val="15"/>
                <w:szCs w:val="15"/>
                <w:color w:val="0000EE"/>
              </w:rPr>
            </w:pPr>
            <w:hyperlink w:anchor="page45">
              <w:r>
                <w:rPr>
                  <w:rFonts w:ascii="Arial" w:cs="Arial" w:eastAsia="Arial" w:hAnsi="Arial"/>
                  <w:sz w:val="15"/>
                  <w:szCs w:val="15"/>
                  <w:color w:val="0000EE"/>
                </w:rPr>
                <w:t>Compensation Processes and Philosophy</w:t>
              </w:r>
            </w:hyperlink>
          </w:p>
        </w:tc>
        <w:tc>
          <w:tcPr>
            <w:tcW w:w="1360" w:type="dxa"/>
            <w:vAlign w:val="bottom"/>
            <w:gridSpan w:val="7"/>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40" w:type="dxa"/>
            <w:vAlign w:val="bottom"/>
            <w:gridSpan w:val="29"/>
          </w:tcPr>
          <w:p>
            <w:pPr>
              <w:spacing w:after="0"/>
              <w:rPr>
                <w:rFonts w:ascii="Arial" w:cs="Arial" w:eastAsia="Arial" w:hAnsi="Arial"/>
                <w:sz w:val="15"/>
                <w:szCs w:val="15"/>
                <w:color w:val="0000EE"/>
              </w:rPr>
            </w:pPr>
            <w:hyperlink w:anchor="page49">
              <w:r>
                <w:rPr>
                  <w:rFonts w:ascii="Arial" w:cs="Arial" w:eastAsia="Arial" w:hAnsi="Arial"/>
                  <w:sz w:val="15"/>
                  <w:szCs w:val="15"/>
                  <w:color w:val="0000EE"/>
                </w:rPr>
                <w:t>Components of Executive Compensation</w:t>
              </w:r>
            </w:hyperlink>
          </w:p>
        </w:tc>
        <w:tc>
          <w:tcPr>
            <w:tcW w:w="520" w:type="dxa"/>
            <w:vAlign w:val="bottom"/>
          </w:tcPr>
          <w:p>
            <w:pPr>
              <w:jc w:val="right"/>
              <w:spacing w:after="0"/>
              <w:rPr>
                <w:sz w:val="20"/>
                <w:szCs w:val="20"/>
                <w:color w:val="auto"/>
              </w:rPr>
            </w:pPr>
            <w:r>
              <w:rPr>
                <w:rFonts w:ascii="Arial" w:cs="Arial" w:eastAsia="Arial" w:hAnsi="Arial"/>
                <w:sz w:val="15"/>
                <w:szCs w:val="15"/>
                <w:color w:val="auto"/>
              </w:rPr>
              <w:t>44</w:t>
            </w: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780" w:type="dxa"/>
            <w:vAlign w:val="bottom"/>
            <w:tcBorders>
              <w:top w:val="single" w:sz="8" w:color="0000EE"/>
            </w:tcBorders>
            <w:gridSpan w:val="15"/>
          </w:tcPr>
          <w:p>
            <w:pPr>
              <w:spacing w:after="0" w:line="142" w:lineRule="exact"/>
              <w:rPr>
                <w:rFonts w:ascii="Arial" w:cs="Arial" w:eastAsia="Arial" w:hAnsi="Arial"/>
                <w:sz w:val="15"/>
                <w:szCs w:val="15"/>
                <w:color w:val="0000EE"/>
              </w:rPr>
            </w:pPr>
            <w:hyperlink w:anchor="page55">
              <w:r>
                <w:rPr>
                  <w:rFonts w:ascii="Arial" w:cs="Arial" w:eastAsia="Arial" w:hAnsi="Arial"/>
                  <w:sz w:val="15"/>
                  <w:szCs w:val="15"/>
                  <w:color w:val="0000EE"/>
                </w:rPr>
                <w:t>Chief Executive Officer Compensation</w:t>
              </w:r>
            </w:hyperlink>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Arial" w:cs="Arial" w:eastAsia="Arial" w:hAnsi="Arial"/>
                <w:sz w:val="15"/>
                <w:szCs w:val="15"/>
                <w:color w:val="auto"/>
              </w:rPr>
              <w:t>50</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51</w:t>
            </w:r>
          </w:p>
        </w:tc>
        <w:tc>
          <w:tcPr>
            <w:tcW w:w="0" w:type="dxa"/>
            <w:vAlign w:val="bottom"/>
          </w:tcPr>
          <w:p>
            <w:pPr>
              <w:spacing w:after="0" w:line="20" w:lineRule="exact"/>
              <w:rPr>
                <w:sz w:val="1"/>
                <w:szCs w:val="1"/>
                <w:color w:val="auto"/>
              </w:rPr>
            </w:pPr>
          </w:p>
        </w:tc>
      </w:tr>
      <w:tr>
        <w:trPr>
          <w:trHeight w:val="142"/>
        </w:trPr>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40" w:type="dxa"/>
            <w:vAlign w:val="bottom"/>
            <w:gridSpan w:val="29"/>
          </w:tcPr>
          <w:p>
            <w:pPr>
              <w:spacing w:after="0" w:line="142" w:lineRule="exact"/>
              <w:rPr>
                <w:rFonts w:ascii="Arial" w:cs="Arial" w:eastAsia="Arial" w:hAnsi="Arial"/>
                <w:sz w:val="15"/>
                <w:szCs w:val="15"/>
                <w:color w:val="0000EE"/>
              </w:rPr>
            </w:pPr>
            <w:hyperlink w:anchor="page56">
              <w:r>
                <w:rPr>
                  <w:rFonts w:ascii="Arial" w:cs="Arial" w:eastAsia="Arial" w:hAnsi="Arial"/>
                  <w:sz w:val="15"/>
                  <w:szCs w:val="15"/>
                  <w:color w:val="0000EE"/>
                </w:rPr>
                <w:t>Compensation for Other Named Executive Officers</w:t>
              </w:r>
            </w:hyperlink>
          </w:p>
        </w:tc>
        <w:tc>
          <w:tcPr>
            <w:tcW w:w="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52</w:t>
            </w:r>
          </w:p>
        </w:tc>
        <w:tc>
          <w:tcPr>
            <w:tcW w:w="0" w:type="dxa"/>
            <w:vAlign w:val="bottom"/>
          </w:tcPr>
          <w:p>
            <w:pPr>
              <w:spacing w:after="0" w:line="20" w:lineRule="exact"/>
              <w:rPr>
                <w:sz w:val="1"/>
                <w:szCs w:val="1"/>
                <w:color w:val="auto"/>
              </w:rPr>
            </w:pPr>
          </w:p>
        </w:tc>
      </w:tr>
      <w:tr>
        <w:trPr>
          <w:trHeight w:val="142"/>
        </w:trPr>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40" w:type="dxa"/>
            <w:vAlign w:val="bottom"/>
            <w:gridSpan w:val="29"/>
          </w:tcPr>
          <w:p>
            <w:pPr>
              <w:spacing w:after="0" w:line="142" w:lineRule="exact"/>
              <w:rPr>
                <w:rFonts w:ascii="Arial" w:cs="Arial" w:eastAsia="Arial" w:hAnsi="Arial"/>
                <w:sz w:val="15"/>
                <w:szCs w:val="15"/>
                <w:color w:val="0000EE"/>
              </w:rPr>
            </w:pPr>
            <w:hyperlink w:anchor="page57">
              <w:r>
                <w:rPr>
                  <w:rFonts w:ascii="Arial" w:cs="Arial" w:eastAsia="Arial" w:hAnsi="Arial"/>
                  <w:sz w:val="15"/>
                  <w:szCs w:val="15"/>
                  <w:color w:val="0000EE"/>
                </w:rPr>
                <w:t>Severance, Retention and Change in Control Benefits</w:t>
              </w:r>
            </w:hyperlink>
          </w:p>
        </w:tc>
        <w:tc>
          <w:tcPr>
            <w:tcW w:w="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40" w:type="dxa"/>
            <w:vAlign w:val="bottom"/>
            <w:tcBorders>
              <w:top w:val="single" w:sz="8" w:color="0000EE"/>
            </w:tcBorders>
            <w:gridSpan w:val="21"/>
          </w:tcPr>
          <w:p>
            <w:pPr>
              <w:spacing w:after="0" w:line="142" w:lineRule="exact"/>
              <w:rPr>
                <w:rFonts w:ascii="Arial" w:cs="Arial" w:eastAsia="Arial" w:hAnsi="Arial"/>
                <w:sz w:val="15"/>
                <w:szCs w:val="15"/>
                <w:color w:val="0000EE"/>
              </w:rPr>
            </w:pPr>
            <w:hyperlink w:anchor="page57">
              <w:r>
                <w:rPr>
                  <w:rFonts w:ascii="Arial" w:cs="Arial" w:eastAsia="Arial" w:hAnsi="Arial"/>
                  <w:sz w:val="15"/>
                  <w:szCs w:val="15"/>
                  <w:color w:val="0000EE"/>
                </w:rPr>
                <w:t>Equity Award Grant Date Policy</w:t>
              </w:r>
            </w:hyperlink>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Arial" w:cs="Arial" w:eastAsia="Arial" w:hAnsi="Arial"/>
                <w:sz w:val="15"/>
                <w:szCs w:val="15"/>
                <w:color w:val="auto"/>
              </w:rPr>
              <w:t>52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53</w:t>
            </w:r>
          </w:p>
        </w:tc>
        <w:tc>
          <w:tcPr>
            <w:tcW w:w="0" w:type="dxa"/>
            <w:vAlign w:val="bottom"/>
          </w:tcPr>
          <w:p>
            <w:pPr>
              <w:spacing w:after="0" w:line="20" w:lineRule="exact"/>
              <w:rPr>
                <w:sz w:val="1"/>
                <w:szCs w:val="1"/>
                <w:color w:val="auto"/>
              </w:rPr>
            </w:pPr>
          </w:p>
        </w:tc>
      </w:tr>
      <w:tr>
        <w:trPr>
          <w:trHeight w:val="142"/>
        </w:trPr>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40" w:type="dxa"/>
            <w:vAlign w:val="bottom"/>
            <w:gridSpan w:val="29"/>
          </w:tcPr>
          <w:p>
            <w:pPr>
              <w:spacing w:after="0" w:line="142" w:lineRule="exact"/>
              <w:rPr>
                <w:rFonts w:ascii="Arial" w:cs="Arial" w:eastAsia="Arial" w:hAnsi="Arial"/>
                <w:sz w:val="15"/>
                <w:szCs w:val="15"/>
                <w:color w:val="0000EE"/>
              </w:rPr>
            </w:pPr>
            <w:hyperlink w:anchor="page58">
              <w:r>
                <w:rPr>
                  <w:rFonts w:ascii="Arial" w:cs="Arial" w:eastAsia="Arial" w:hAnsi="Arial"/>
                  <w:sz w:val="15"/>
                  <w:szCs w:val="15"/>
                  <w:color w:val="0000EE"/>
                </w:rPr>
                <w:t>Tax and Accounting Considerations</w:t>
              </w:r>
            </w:hyperlink>
          </w:p>
        </w:tc>
        <w:tc>
          <w:tcPr>
            <w:tcW w:w="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53</w:t>
            </w:r>
          </w:p>
        </w:tc>
        <w:tc>
          <w:tcPr>
            <w:tcW w:w="0" w:type="dxa"/>
            <w:vAlign w:val="bottom"/>
          </w:tcPr>
          <w:p>
            <w:pPr>
              <w:spacing w:after="0" w:line="20" w:lineRule="exact"/>
              <w:rPr>
                <w:sz w:val="1"/>
                <w:szCs w:val="1"/>
                <w:color w:val="auto"/>
              </w:rPr>
            </w:pPr>
          </w:p>
        </w:tc>
      </w:tr>
      <w:tr>
        <w:trPr>
          <w:trHeight w:val="142"/>
        </w:trPr>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40" w:type="dxa"/>
            <w:vAlign w:val="bottom"/>
            <w:gridSpan w:val="29"/>
          </w:tcPr>
          <w:p>
            <w:pPr>
              <w:spacing w:after="0" w:line="142" w:lineRule="exact"/>
              <w:rPr>
                <w:rFonts w:ascii="Arial" w:cs="Arial" w:eastAsia="Arial" w:hAnsi="Arial"/>
                <w:sz w:val="15"/>
                <w:szCs w:val="15"/>
                <w:color w:val="0000EE"/>
              </w:rPr>
            </w:pPr>
            <w:hyperlink w:anchor="page58">
              <w:r>
                <w:rPr>
                  <w:rFonts w:ascii="Arial" w:cs="Arial" w:eastAsia="Arial" w:hAnsi="Arial"/>
                  <w:sz w:val="15"/>
                  <w:szCs w:val="15"/>
                  <w:color w:val="0000EE"/>
                </w:rPr>
                <w:t>Risk Considerations in Our Compensation Program</w:t>
              </w:r>
            </w:hyperlink>
          </w:p>
        </w:tc>
        <w:tc>
          <w:tcPr>
            <w:tcW w:w="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gridSpan w:val="2"/>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52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54</w:t>
            </w:r>
          </w:p>
        </w:tc>
        <w:tc>
          <w:tcPr>
            <w:tcW w:w="0" w:type="dxa"/>
            <w:vAlign w:val="bottom"/>
          </w:tcPr>
          <w:p>
            <w:pPr>
              <w:spacing w:after="0" w:line="20" w:lineRule="exact"/>
              <w:rPr>
                <w:sz w:val="1"/>
                <w:szCs w:val="1"/>
                <w:color w:val="auto"/>
              </w:rPr>
            </w:pPr>
          </w:p>
        </w:tc>
      </w:tr>
      <w:tr>
        <w:trPr>
          <w:trHeight w:val="142"/>
        </w:trPr>
        <w:tc>
          <w:tcPr>
            <w:tcW w:w="220" w:type="dxa"/>
            <w:vAlign w:val="bottom"/>
          </w:tcPr>
          <w:p>
            <w:pPr>
              <w:spacing w:after="0"/>
              <w:rPr>
                <w:sz w:val="12"/>
                <w:szCs w:val="12"/>
                <w:color w:val="auto"/>
              </w:rPr>
            </w:pPr>
          </w:p>
        </w:tc>
        <w:tc>
          <w:tcPr>
            <w:tcW w:w="2100" w:type="dxa"/>
            <w:vAlign w:val="bottom"/>
            <w:tcBorders>
              <w:bottom w:val="single" w:sz="8" w:color="0000EE"/>
            </w:tcBorders>
            <w:gridSpan w:val="9"/>
          </w:tcPr>
          <w:p>
            <w:pPr>
              <w:spacing w:after="0" w:line="142" w:lineRule="exact"/>
              <w:rPr>
                <w:rFonts w:ascii="Arial" w:cs="Arial" w:eastAsia="Arial" w:hAnsi="Arial"/>
                <w:sz w:val="15"/>
                <w:szCs w:val="15"/>
                <w:color w:val="0000EE"/>
              </w:rPr>
            </w:pPr>
            <w:hyperlink w:anchor="page59">
              <w:r>
                <w:rPr>
                  <w:rFonts w:ascii="Arial" w:cs="Arial" w:eastAsia="Arial" w:hAnsi="Arial"/>
                  <w:sz w:val="15"/>
                  <w:szCs w:val="15"/>
                  <w:color w:val="0000EE"/>
                </w:rPr>
                <w:t>Summary Compensation Table</w:t>
              </w:r>
            </w:hyperlink>
          </w:p>
        </w:tc>
        <w:tc>
          <w:tcPr>
            <w:tcW w:w="1600" w:type="dxa"/>
            <w:vAlign w:val="bottom"/>
            <w:gridSpan w:val="11"/>
          </w:tcPr>
          <w:p>
            <w:pPr>
              <w:spacing w:after="0"/>
              <w:rPr>
                <w:sz w:val="12"/>
                <w:szCs w:val="12"/>
                <w:color w:val="auto"/>
              </w:rPr>
            </w:pPr>
          </w:p>
        </w:tc>
        <w:tc>
          <w:tcPr>
            <w:tcW w:w="20" w:type="dxa"/>
            <w:vAlign w:val="bottom"/>
            <w:vMerge w:val="continue"/>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3020" w:type="dxa"/>
            <w:vAlign w:val="bottom"/>
            <w:tcBorders>
              <w:bottom w:val="single" w:sz="8" w:color="0000EE"/>
            </w:tcBorders>
            <w:gridSpan w:val="17"/>
          </w:tcPr>
          <w:p>
            <w:pPr>
              <w:spacing w:after="0" w:line="142" w:lineRule="exact"/>
              <w:rPr>
                <w:rFonts w:ascii="Arial" w:cs="Arial" w:eastAsia="Arial" w:hAnsi="Arial"/>
                <w:sz w:val="15"/>
                <w:szCs w:val="15"/>
                <w:color w:val="0000EE"/>
              </w:rPr>
            </w:pPr>
            <w:hyperlink w:anchor="page63">
              <w:r>
                <w:rPr>
                  <w:rFonts w:ascii="Arial" w:cs="Arial" w:eastAsia="Arial" w:hAnsi="Arial"/>
                  <w:sz w:val="15"/>
                  <w:szCs w:val="15"/>
                  <w:color w:val="0000EE"/>
                </w:rPr>
                <w:t>Grants of Plan-Based Awards in Fiscal 2019</w:t>
              </w:r>
            </w:hyperlink>
          </w:p>
        </w:tc>
        <w:tc>
          <w:tcPr>
            <w:tcW w:w="1640" w:type="dxa"/>
            <w:vAlign w:val="bottom"/>
            <w:gridSpan w:val="13"/>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Arial" w:cs="Arial" w:eastAsia="Arial" w:hAnsi="Arial"/>
                <w:sz w:val="15"/>
                <w:szCs w:val="15"/>
                <w:color w:val="auto"/>
              </w:rPr>
              <w:t>58</w:t>
            </w: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3520" w:type="dxa"/>
            <w:vAlign w:val="bottom"/>
            <w:tcBorders>
              <w:bottom w:val="single" w:sz="8" w:color="0000EE"/>
            </w:tcBorders>
            <w:gridSpan w:val="18"/>
          </w:tcPr>
          <w:p>
            <w:pPr>
              <w:spacing w:after="0" w:line="142" w:lineRule="exact"/>
              <w:rPr>
                <w:rFonts w:ascii="Arial" w:cs="Arial" w:eastAsia="Arial" w:hAnsi="Arial"/>
                <w:sz w:val="15"/>
                <w:szCs w:val="15"/>
                <w:color w:val="0000EE"/>
              </w:rPr>
            </w:pPr>
            <w:hyperlink w:anchor="page65">
              <w:r>
                <w:rPr>
                  <w:rFonts w:ascii="Arial" w:cs="Arial" w:eastAsia="Arial" w:hAnsi="Arial"/>
                  <w:sz w:val="15"/>
                  <w:szCs w:val="15"/>
                  <w:color w:val="0000EE"/>
                </w:rPr>
                <w:t>Outstanding Equity Awards at Fiscal Year-End 2019</w:t>
              </w:r>
            </w:hyperlink>
          </w:p>
        </w:tc>
        <w:tc>
          <w:tcPr>
            <w:tcW w:w="1140" w:type="dxa"/>
            <w:vAlign w:val="bottom"/>
            <w:gridSpan w:val="12"/>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Arial" w:cs="Arial" w:eastAsia="Arial" w:hAnsi="Arial"/>
                <w:sz w:val="15"/>
                <w:szCs w:val="15"/>
                <w:color w:val="auto"/>
              </w:rPr>
              <w:t>60</w:t>
            </w: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4660" w:type="dxa"/>
            <w:vAlign w:val="bottom"/>
            <w:gridSpan w:val="30"/>
          </w:tcPr>
          <w:p>
            <w:pPr>
              <w:spacing w:after="0" w:line="142" w:lineRule="exact"/>
              <w:rPr>
                <w:rFonts w:ascii="Arial" w:cs="Arial" w:eastAsia="Arial" w:hAnsi="Arial"/>
                <w:sz w:val="15"/>
                <w:szCs w:val="15"/>
                <w:color w:val="0000EE"/>
              </w:rPr>
            </w:pPr>
            <w:hyperlink w:anchor="page67">
              <w:r>
                <w:rPr>
                  <w:rFonts w:ascii="Arial" w:cs="Arial" w:eastAsia="Arial" w:hAnsi="Arial"/>
                  <w:sz w:val="15"/>
                  <w:szCs w:val="15"/>
                  <w:color w:val="0000EE"/>
                </w:rPr>
                <w:t>Option Exercises and Stock Vested During Fiscal 2019</w:t>
              </w:r>
            </w:hyperlink>
          </w:p>
        </w:tc>
        <w:tc>
          <w:tcPr>
            <w:tcW w:w="520" w:type="dxa"/>
            <w:vAlign w:val="bottom"/>
          </w:tcPr>
          <w:p>
            <w:pPr>
              <w:jc w:val="right"/>
              <w:spacing w:after="0" w:line="142" w:lineRule="exact"/>
              <w:rPr>
                <w:sz w:val="20"/>
                <w:szCs w:val="20"/>
                <w:color w:val="auto"/>
              </w:rPr>
            </w:pPr>
            <w:r>
              <w:rPr>
                <w:rFonts w:ascii="Arial" w:cs="Arial" w:eastAsia="Arial" w:hAnsi="Arial"/>
                <w:sz w:val="15"/>
                <w:szCs w:val="15"/>
                <w:color w:val="auto"/>
              </w:rPr>
              <w:t>62</w:t>
            </w: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3720" w:type="dxa"/>
            <w:vAlign w:val="bottom"/>
            <w:tcBorders>
              <w:top w:val="single" w:sz="8" w:color="0000EE"/>
            </w:tcBorders>
            <w:gridSpan w:val="21"/>
          </w:tcPr>
          <w:p>
            <w:pPr>
              <w:spacing w:after="0" w:line="142" w:lineRule="exact"/>
              <w:rPr>
                <w:rFonts w:ascii="Arial" w:cs="Arial" w:eastAsia="Arial" w:hAnsi="Arial"/>
                <w:sz w:val="15"/>
                <w:szCs w:val="15"/>
                <w:color w:val="0000EE"/>
              </w:rPr>
            </w:pPr>
            <w:hyperlink w:anchor="page67">
              <w:r>
                <w:rPr>
                  <w:rFonts w:ascii="Arial" w:cs="Arial" w:eastAsia="Arial" w:hAnsi="Arial"/>
                  <w:sz w:val="15"/>
                  <w:szCs w:val="15"/>
                  <w:color w:val="0000EE"/>
                </w:rPr>
                <w:t>Non-Qualified Deferred Compensation Plan</w:t>
              </w:r>
            </w:hyperlink>
          </w:p>
        </w:tc>
        <w:tc>
          <w:tcPr>
            <w:tcW w:w="20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Arial" w:cs="Arial" w:eastAsia="Arial" w:hAnsi="Arial"/>
                <w:sz w:val="15"/>
                <w:szCs w:val="15"/>
                <w:color w:val="auto"/>
              </w:rPr>
              <w:t>62</w:t>
            </w: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2960" w:type="dxa"/>
            <w:vAlign w:val="bottom"/>
            <w:tcBorders>
              <w:top w:val="single" w:sz="8" w:color="0000EE"/>
            </w:tcBorders>
            <w:gridSpan w:val="15"/>
          </w:tcPr>
          <w:p>
            <w:pPr>
              <w:spacing w:after="0" w:line="142" w:lineRule="exact"/>
              <w:rPr>
                <w:rFonts w:ascii="Arial" w:cs="Arial" w:eastAsia="Arial" w:hAnsi="Arial"/>
                <w:sz w:val="15"/>
                <w:szCs w:val="15"/>
                <w:color w:val="0000EE"/>
              </w:rPr>
            </w:pPr>
            <w:hyperlink w:anchor="page68">
              <w:r>
                <w:rPr>
                  <w:rFonts w:ascii="Arial" w:cs="Arial" w:eastAsia="Arial" w:hAnsi="Arial"/>
                  <w:sz w:val="15"/>
                  <w:szCs w:val="15"/>
                  <w:color w:val="0000EE"/>
                </w:rPr>
                <w:t>Change in Control Benefits</w:t>
              </w:r>
            </w:hyperlink>
          </w:p>
        </w:tc>
        <w:tc>
          <w:tcPr>
            <w:tcW w:w="740" w:type="dxa"/>
            <w:vAlign w:val="bottom"/>
            <w:gridSpan w:val="5"/>
          </w:tcPr>
          <w:p>
            <w:pPr>
              <w:spacing w:after="0"/>
              <w:rPr>
                <w:sz w:val="12"/>
                <w:szCs w:val="12"/>
                <w:color w:val="auto"/>
              </w:rPr>
            </w:pPr>
          </w:p>
        </w:tc>
        <w:tc>
          <w:tcPr>
            <w:tcW w:w="220" w:type="dxa"/>
            <w:vAlign w:val="bottom"/>
            <w:gridSpan w:val="3"/>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Arial" w:cs="Arial" w:eastAsia="Arial" w:hAnsi="Arial"/>
                <w:sz w:val="15"/>
                <w:szCs w:val="15"/>
                <w:color w:val="auto"/>
              </w:rPr>
              <w:t>63</w:t>
            </w: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1840" w:type="dxa"/>
            <w:vAlign w:val="bottom"/>
            <w:tcBorders>
              <w:top w:val="single" w:sz="8" w:color="0000EE"/>
            </w:tcBorders>
            <w:gridSpan w:val="8"/>
          </w:tcPr>
          <w:p>
            <w:pPr>
              <w:spacing w:after="0" w:line="142" w:lineRule="exact"/>
              <w:rPr>
                <w:rFonts w:ascii="Arial" w:cs="Arial" w:eastAsia="Arial" w:hAnsi="Arial"/>
                <w:sz w:val="15"/>
                <w:szCs w:val="15"/>
                <w:color w:val="0000EE"/>
              </w:rPr>
            </w:pPr>
            <w:hyperlink w:anchor="page69">
              <w:r>
                <w:rPr>
                  <w:rFonts w:ascii="Arial" w:cs="Arial" w:eastAsia="Arial" w:hAnsi="Arial"/>
                  <w:sz w:val="15"/>
                  <w:szCs w:val="15"/>
                  <w:color w:val="0000EE"/>
                </w:rPr>
                <w:t>Potential Payments Upon</w:t>
              </w:r>
            </w:hyperlink>
          </w:p>
        </w:tc>
        <w:tc>
          <w:tcPr>
            <w:tcW w:w="2820" w:type="dxa"/>
            <w:vAlign w:val="bottom"/>
            <w:gridSpan w:val="22"/>
          </w:tcPr>
          <w:p>
            <w:pPr>
              <w:spacing w:after="0" w:line="142" w:lineRule="exact"/>
              <w:rPr>
                <w:rFonts w:ascii="Arial" w:cs="Arial" w:eastAsia="Arial" w:hAnsi="Arial"/>
                <w:sz w:val="15"/>
                <w:szCs w:val="15"/>
                <w:color w:val="0000EE"/>
              </w:rPr>
            </w:pPr>
            <w:hyperlink w:anchor="page69">
              <w:r>
                <w:rPr>
                  <w:rFonts w:ascii="Arial" w:cs="Arial" w:eastAsia="Arial" w:hAnsi="Arial"/>
                  <w:sz w:val="15"/>
                  <w:szCs w:val="15"/>
                  <w:color w:val="0000EE"/>
                </w:rPr>
                <w:t>Termination or Change in Control</w:t>
              </w:r>
            </w:hyperlink>
          </w:p>
        </w:tc>
        <w:tc>
          <w:tcPr>
            <w:tcW w:w="520" w:type="dxa"/>
            <w:vAlign w:val="bottom"/>
          </w:tcPr>
          <w:p>
            <w:pPr>
              <w:jc w:val="right"/>
              <w:spacing w:after="0" w:line="142" w:lineRule="exact"/>
              <w:rPr>
                <w:sz w:val="20"/>
                <w:szCs w:val="20"/>
                <w:color w:val="auto"/>
              </w:rPr>
            </w:pPr>
            <w:r>
              <w:rPr>
                <w:rFonts w:ascii="Arial" w:cs="Arial" w:eastAsia="Arial" w:hAnsi="Arial"/>
                <w:sz w:val="15"/>
                <w:szCs w:val="15"/>
                <w:color w:val="auto"/>
              </w:rPr>
              <w:t>64</w:t>
            </w: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4020" w:type="dxa"/>
            <w:vAlign w:val="bottom"/>
            <w:tcBorders>
              <w:top w:val="single" w:sz="8" w:color="0000EE"/>
            </w:tcBorders>
            <w:gridSpan w:val="24"/>
          </w:tcPr>
          <w:p>
            <w:pPr>
              <w:spacing w:after="0" w:line="142" w:lineRule="exact"/>
              <w:rPr>
                <w:rFonts w:ascii="Arial" w:cs="Arial" w:eastAsia="Arial" w:hAnsi="Arial"/>
                <w:sz w:val="15"/>
                <w:szCs w:val="15"/>
                <w:color w:val="0000EE"/>
              </w:rPr>
            </w:pPr>
            <w:hyperlink w:anchor="page71">
              <w:r>
                <w:rPr>
                  <w:rFonts w:ascii="Arial" w:cs="Arial" w:eastAsia="Arial" w:hAnsi="Arial"/>
                  <w:sz w:val="15"/>
                  <w:szCs w:val="15"/>
                  <w:color w:val="0000EE"/>
                </w:rPr>
                <w:t>CEO Pay Ratio</w:t>
              </w:r>
            </w:hyperlink>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Arial" w:cs="Arial" w:eastAsia="Arial" w:hAnsi="Arial"/>
                <w:sz w:val="15"/>
                <w:szCs w:val="15"/>
                <w:color w:val="auto"/>
              </w:rPr>
              <w:t>66</w:t>
            </w: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1040" w:type="dxa"/>
            <w:vAlign w:val="bottom"/>
            <w:tcBorders>
              <w:top w:val="single" w:sz="8" w:color="0000EE"/>
            </w:tcBorders>
            <w:gridSpan w:val="3"/>
          </w:tcPr>
          <w:p>
            <w:pPr>
              <w:spacing w:after="0" w:line="142" w:lineRule="exact"/>
              <w:rPr>
                <w:rFonts w:ascii="Arial" w:cs="Arial" w:eastAsia="Arial" w:hAnsi="Arial"/>
                <w:sz w:val="15"/>
                <w:szCs w:val="15"/>
                <w:color w:val="0000EE"/>
              </w:rPr>
            </w:pPr>
            <w:hyperlink w:anchor="page72">
              <w:r>
                <w:rPr>
                  <w:rFonts w:ascii="Arial" w:cs="Arial" w:eastAsia="Arial" w:hAnsi="Arial"/>
                  <w:sz w:val="15"/>
                  <w:szCs w:val="15"/>
                  <w:color w:val="0000EE"/>
                </w:rPr>
                <w:t>Equity Award</w:t>
              </w:r>
            </w:hyperlink>
          </w:p>
        </w:tc>
        <w:tc>
          <w:tcPr>
            <w:tcW w:w="3620" w:type="dxa"/>
            <w:vAlign w:val="bottom"/>
            <w:gridSpan w:val="27"/>
          </w:tcPr>
          <w:p>
            <w:pPr>
              <w:spacing w:after="0" w:line="142" w:lineRule="exact"/>
              <w:rPr>
                <w:rFonts w:ascii="Arial" w:cs="Arial" w:eastAsia="Arial" w:hAnsi="Arial"/>
                <w:sz w:val="15"/>
                <w:szCs w:val="15"/>
                <w:color w:val="0000EE"/>
              </w:rPr>
            </w:pPr>
            <w:hyperlink w:anchor="page72">
              <w:r>
                <w:rPr>
                  <w:rFonts w:ascii="Arial" w:cs="Arial" w:eastAsia="Arial" w:hAnsi="Arial"/>
                  <w:sz w:val="15"/>
                  <w:szCs w:val="15"/>
                  <w:color w:val="0000EE"/>
                </w:rPr>
                <w:t>Program Description</w:t>
              </w:r>
            </w:hyperlink>
          </w:p>
        </w:tc>
        <w:tc>
          <w:tcPr>
            <w:tcW w:w="520" w:type="dxa"/>
            <w:vAlign w:val="bottom"/>
          </w:tcPr>
          <w:p>
            <w:pPr>
              <w:jc w:val="right"/>
              <w:spacing w:after="0" w:line="142" w:lineRule="exact"/>
              <w:rPr>
                <w:sz w:val="20"/>
                <w:szCs w:val="20"/>
                <w:color w:val="auto"/>
              </w:rPr>
            </w:pPr>
            <w:r>
              <w:rPr>
                <w:rFonts w:ascii="Arial" w:cs="Arial" w:eastAsia="Arial" w:hAnsi="Arial"/>
                <w:sz w:val="15"/>
                <w:szCs w:val="15"/>
                <w:color w:val="auto"/>
              </w:rPr>
              <w:t>67</w:t>
            </w: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2360" w:type="dxa"/>
            <w:vAlign w:val="bottom"/>
            <w:tcBorders>
              <w:top w:val="single" w:sz="8" w:color="0000EE"/>
            </w:tcBorders>
            <w:gridSpan w:val="12"/>
          </w:tcPr>
          <w:p>
            <w:pPr>
              <w:spacing w:after="0" w:line="142" w:lineRule="exact"/>
              <w:rPr>
                <w:rFonts w:ascii="Arial" w:cs="Arial" w:eastAsia="Arial" w:hAnsi="Arial"/>
                <w:sz w:val="15"/>
                <w:szCs w:val="15"/>
                <w:color w:val="0000EE"/>
              </w:rPr>
            </w:pPr>
            <w:hyperlink w:anchor="page73">
              <w:r>
                <w:rPr>
                  <w:rFonts w:ascii="Arial" w:cs="Arial" w:eastAsia="Arial" w:hAnsi="Arial"/>
                  <w:sz w:val="15"/>
                  <w:szCs w:val="15"/>
                  <w:color w:val="0000EE"/>
                </w:rPr>
                <w:t>Securities Authorized for Issuance</w:t>
              </w:r>
            </w:hyperlink>
          </w:p>
        </w:tc>
        <w:tc>
          <w:tcPr>
            <w:tcW w:w="2300" w:type="dxa"/>
            <w:vAlign w:val="bottom"/>
            <w:gridSpan w:val="18"/>
          </w:tcPr>
          <w:p>
            <w:pPr>
              <w:spacing w:after="0" w:line="142" w:lineRule="exact"/>
              <w:rPr>
                <w:rFonts w:ascii="Arial" w:cs="Arial" w:eastAsia="Arial" w:hAnsi="Arial"/>
                <w:sz w:val="15"/>
                <w:szCs w:val="15"/>
                <w:color w:val="0000EE"/>
              </w:rPr>
            </w:pPr>
            <w:hyperlink w:anchor="page73">
              <w:r>
                <w:rPr>
                  <w:rFonts w:ascii="Arial" w:cs="Arial" w:eastAsia="Arial" w:hAnsi="Arial"/>
                  <w:sz w:val="15"/>
                  <w:szCs w:val="15"/>
                  <w:color w:val="0000EE"/>
                </w:rPr>
                <w:t>Under Equity Compensation</w:t>
              </w:r>
            </w:hyperlink>
          </w:p>
        </w:tc>
        <w:tc>
          <w:tcPr>
            <w:tcW w:w="520" w:type="dxa"/>
            <w:vAlign w:val="bottom"/>
            <w:vMerge w:val="restart"/>
          </w:tcPr>
          <w:p>
            <w:pPr>
              <w:jc w:val="right"/>
              <w:spacing w:after="0"/>
              <w:rPr>
                <w:sz w:val="20"/>
                <w:szCs w:val="20"/>
                <w:color w:val="auto"/>
              </w:rPr>
            </w:pPr>
            <w:r>
              <w:rPr>
                <w:rFonts w:ascii="Arial" w:cs="Arial" w:eastAsia="Arial" w:hAnsi="Arial"/>
                <w:sz w:val="15"/>
                <w:szCs w:val="15"/>
                <w:color w:val="auto"/>
              </w:rPr>
              <w:t>68</w:t>
            </w: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220" w:type="dxa"/>
            <w:vAlign w:val="bottom"/>
            <w:tcBorders>
              <w:top w:val="single" w:sz="8" w:color="0000EE"/>
            </w:tcBorders>
          </w:tcPr>
          <w:p>
            <w:pPr>
              <w:spacing w:after="0"/>
              <w:rPr>
                <w:sz w:val="12"/>
                <w:szCs w:val="12"/>
                <w:color w:val="auto"/>
              </w:rPr>
            </w:pPr>
          </w:p>
        </w:tc>
        <w:tc>
          <w:tcPr>
            <w:tcW w:w="4060" w:type="dxa"/>
            <w:vAlign w:val="bottom"/>
            <w:tcBorders>
              <w:top w:val="single" w:sz="8" w:color="0000EE"/>
            </w:tcBorders>
            <w:gridSpan w:val="26"/>
          </w:tcPr>
          <w:p>
            <w:pPr>
              <w:spacing w:after="0" w:line="142" w:lineRule="exact"/>
              <w:rPr>
                <w:rFonts w:ascii="Arial" w:cs="Arial" w:eastAsia="Arial" w:hAnsi="Arial"/>
                <w:sz w:val="15"/>
                <w:szCs w:val="15"/>
                <w:color w:val="0000EE"/>
              </w:rPr>
            </w:pPr>
            <w:hyperlink w:anchor="page73">
              <w:r>
                <w:rPr>
                  <w:rFonts w:ascii="Arial" w:cs="Arial" w:eastAsia="Arial" w:hAnsi="Arial"/>
                  <w:sz w:val="15"/>
                  <w:szCs w:val="15"/>
                  <w:color w:val="0000EE"/>
                </w:rPr>
                <w:t>Plans</w:t>
              </w:r>
            </w:hyperlink>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9"/>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69</w:t>
            </w:r>
          </w:p>
        </w:tc>
        <w:tc>
          <w:tcPr>
            <w:tcW w:w="0" w:type="dxa"/>
            <w:vAlign w:val="bottom"/>
          </w:tcPr>
          <w:p>
            <w:pPr>
              <w:spacing w:after="0" w:line="20" w:lineRule="exact"/>
              <w:rPr>
                <w:sz w:val="1"/>
                <w:szCs w:val="1"/>
                <w:color w:val="auto"/>
              </w:rPr>
            </w:pPr>
          </w:p>
        </w:tc>
      </w:tr>
      <w:tr>
        <w:trPr>
          <w:trHeight w:val="142"/>
        </w:trPr>
        <w:tc>
          <w:tcPr>
            <w:tcW w:w="2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4440" w:type="dxa"/>
            <w:vAlign w:val="bottom"/>
            <w:gridSpan w:val="29"/>
          </w:tcPr>
          <w:p>
            <w:pPr>
              <w:spacing w:after="0" w:line="142" w:lineRule="exact"/>
              <w:rPr>
                <w:rFonts w:ascii="Arial" w:cs="Arial" w:eastAsia="Arial" w:hAnsi="Arial"/>
                <w:sz w:val="15"/>
                <w:szCs w:val="15"/>
                <w:color w:val="0000EE"/>
              </w:rPr>
            </w:pPr>
            <w:hyperlink w:anchor="page74">
              <w:r>
                <w:rPr>
                  <w:rFonts w:ascii="Arial" w:cs="Arial" w:eastAsia="Arial" w:hAnsi="Arial"/>
                  <w:sz w:val="15"/>
                  <w:szCs w:val="15"/>
                  <w:color w:val="0000EE"/>
                </w:rPr>
                <w:t>Compensation Committee Interlocks and Insider Participation</w:t>
              </w:r>
            </w:hyperlink>
          </w:p>
        </w:tc>
        <w:tc>
          <w:tcPr>
            <w:tcW w:w="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2280" w:type="dxa"/>
            <w:vAlign w:val="bottom"/>
            <w:tcBorders>
              <w:top w:val="single" w:sz="8" w:color="0000EE"/>
              <w:bottom w:val="single" w:sz="8" w:color="0000EE"/>
            </w:tcBorders>
            <w:gridSpan w:val="11"/>
          </w:tcPr>
          <w:p>
            <w:pPr>
              <w:spacing w:after="0" w:line="142" w:lineRule="exact"/>
              <w:rPr>
                <w:rFonts w:ascii="Arial" w:cs="Arial" w:eastAsia="Arial" w:hAnsi="Arial"/>
                <w:sz w:val="15"/>
                <w:szCs w:val="15"/>
                <w:color w:val="0000EE"/>
              </w:rPr>
            </w:pPr>
            <w:hyperlink w:anchor="page74">
              <w:r>
                <w:rPr>
                  <w:rFonts w:ascii="Arial" w:cs="Arial" w:eastAsia="Arial" w:hAnsi="Arial"/>
                  <w:sz w:val="15"/>
                  <w:szCs w:val="15"/>
                  <w:color w:val="0000EE"/>
                </w:rPr>
                <w:t>Compensation Committee Report</w:t>
              </w:r>
            </w:hyperlink>
          </w:p>
        </w:tc>
        <w:tc>
          <w:tcPr>
            <w:tcW w:w="1880" w:type="dxa"/>
            <w:vAlign w:val="bottom"/>
            <w:tcBorders>
              <w:top w:val="single" w:sz="8" w:color="0000EE"/>
            </w:tcBorders>
            <w:gridSpan w:val="14"/>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Arial" w:cs="Arial" w:eastAsia="Arial" w:hAnsi="Arial"/>
                <w:sz w:val="15"/>
                <w:szCs w:val="15"/>
                <w:color w:val="auto"/>
              </w:rPr>
              <w:t>69</w:t>
            </w:r>
          </w:p>
        </w:tc>
        <w:tc>
          <w:tcPr>
            <w:tcW w:w="0" w:type="dxa"/>
            <w:vAlign w:val="bottom"/>
          </w:tcPr>
          <w:p>
            <w:pPr>
              <w:spacing w:after="0"/>
              <w:rPr>
                <w:sz w:val="1"/>
                <w:szCs w:val="1"/>
                <w:color w:val="auto"/>
              </w:rPr>
            </w:pPr>
          </w:p>
        </w:tc>
      </w:tr>
      <w:tr>
        <w:trPr>
          <w:trHeight w:val="264"/>
        </w:trPr>
        <w:tc>
          <w:tcPr>
            <w:tcW w:w="4880" w:type="dxa"/>
            <w:vAlign w:val="bottom"/>
            <w:gridSpan w:val="31"/>
          </w:tcPr>
          <w:p>
            <w:pPr>
              <w:spacing w:after="0"/>
              <w:rPr>
                <w:rFonts w:ascii="Arial" w:cs="Arial" w:eastAsia="Arial" w:hAnsi="Arial"/>
                <w:sz w:val="16"/>
                <w:szCs w:val="16"/>
                <w:color w:val="0000EE"/>
              </w:rPr>
            </w:pPr>
            <w:hyperlink w:anchor="page75">
              <w:r>
                <w:rPr>
                  <w:rFonts w:ascii="Arial" w:cs="Arial" w:eastAsia="Arial" w:hAnsi="Arial"/>
                  <w:sz w:val="16"/>
                  <w:szCs w:val="16"/>
                  <w:color w:val="0000EE"/>
                </w:rPr>
                <w:t>PROPOSAL 3 — APPROVAL OF THE ANALOG DEVICES, INC.</w:t>
              </w:r>
            </w:hyperlink>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4680" w:type="dxa"/>
            <w:vAlign w:val="bottom"/>
            <w:tcBorders>
              <w:top w:val="single" w:sz="8" w:color="0000EE"/>
            </w:tcBorders>
            <w:gridSpan w:val="30"/>
          </w:tcPr>
          <w:p>
            <w:pPr>
              <w:spacing w:after="0" w:line="169" w:lineRule="exact"/>
              <w:rPr>
                <w:rFonts w:ascii="Arial" w:cs="Arial" w:eastAsia="Arial" w:hAnsi="Arial"/>
                <w:sz w:val="16"/>
                <w:szCs w:val="16"/>
                <w:color w:val="0000EE"/>
              </w:rPr>
            </w:pPr>
            <w:hyperlink w:anchor="page75">
              <w:r>
                <w:rPr>
                  <w:rFonts w:ascii="Arial" w:cs="Arial" w:eastAsia="Arial" w:hAnsi="Arial"/>
                  <w:sz w:val="16"/>
                  <w:szCs w:val="16"/>
                  <w:color w:val="0000EE"/>
                </w:rPr>
                <w:t>2020 EQUITY INCENTIVE PLAN</w:t>
              </w:r>
            </w:hyperlink>
          </w:p>
        </w:tc>
        <w:tc>
          <w:tcPr>
            <w:tcW w:w="200" w:type="dxa"/>
            <w:vAlign w:val="bottom"/>
          </w:tcPr>
          <w:p>
            <w:pPr>
              <w:spacing w:after="0"/>
              <w:rPr>
                <w:sz w:val="14"/>
                <w:szCs w:val="14"/>
                <w:color w:val="auto"/>
              </w:rPr>
            </w:pPr>
          </w:p>
        </w:tc>
        <w:tc>
          <w:tcPr>
            <w:tcW w:w="520" w:type="dxa"/>
            <w:vAlign w:val="bottom"/>
          </w:tcPr>
          <w:p>
            <w:pPr>
              <w:jc w:val="right"/>
              <w:spacing w:after="0" w:line="169" w:lineRule="exact"/>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0"/>
        </w:trPr>
        <w:tc>
          <w:tcPr>
            <w:tcW w:w="220" w:type="dxa"/>
            <w:vAlign w:val="bottom"/>
            <w:tcBorders>
              <w:top w:val="single" w:sz="8" w:color="0000EE"/>
              <w:bottom w:val="single" w:sz="8" w:color="8C8C8C"/>
            </w:tcBorders>
          </w:tcPr>
          <w:p>
            <w:pPr>
              <w:spacing w:after="0" w:line="20" w:lineRule="exact"/>
              <w:rPr>
                <w:sz w:val="1"/>
                <w:szCs w:val="1"/>
                <w:color w:val="auto"/>
              </w:rPr>
            </w:pPr>
          </w:p>
        </w:tc>
        <w:tc>
          <w:tcPr>
            <w:tcW w:w="220" w:type="dxa"/>
            <w:vAlign w:val="bottom"/>
            <w:tcBorders>
              <w:top w:val="single" w:sz="8" w:color="0000EE"/>
              <w:bottom w:val="single" w:sz="8" w:color="8C8C8C"/>
            </w:tcBorders>
          </w:tcPr>
          <w:p>
            <w:pPr>
              <w:spacing w:after="0" w:line="20" w:lineRule="exact"/>
              <w:rPr>
                <w:sz w:val="1"/>
                <w:szCs w:val="1"/>
                <w:color w:val="auto"/>
              </w:rPr>
            </w:pPr>
          </w:p>
        </w:tc>
        <w:tc>
          <w:tcPr>
            <w:tcW w:w="380" w:type="dxa"/>
            <w:vAlign w:val="bottom"/>
            <w:tcBorders>
              <w:top w:val="single" w:sz="8" w:color="0000EE"/>
              <w:bottom w:val="single" w:sz="8" w:color="8C8C8C"/>
            </w:tcBorders>
          </w:tcPr>
          <w:p>
            <w:pPr>
              <w:spacing w:after="0" w:line="20" w:lineRule="exact"/>
              <w:rPr>
                <w:sz w:val="1"/>
                <w:szCs w:val="1"/>
                <w:color w:val="auto"/>
              </w:rPr>
            </w:pPr>
          </w:p>
        </w:tc>
        <w:tc>
          <w:tcPr>
            <w:tcW w:w="440" w:type="dxa"/>
            <w:vAlign w:val="bottom"/>
            <w:tcBorders>
              <w:top w:val="single" w:sz="8" w:color="0000EE"/>
              <w:bottom w:val="single" w:sz="8" w:color="8C8C8C"/>
            </w:tcBorders>
          </w:tcPr>
          <w:p>
            <w:pPr>
              <w:spacing w:after="0" w:line="20" w:lineRule="exact"/>
              <w:rPr>
                <w:sz w:val="1"/>
                <w:szCs w:val="1"/>
                <w:color w:val="auto"/>
              </w:rPr>
            </w:pPr>
          </w:p>
        </w:tc>
        <w:tc>
          <w:tcPr>
            <w:tcW w:w="80" w:type="dxa"/>
            <w:vAlign w:val="bottom"/>
            <w:tcBorders>
              <w:top w:val="single" w:sz="8" w:color="0000EE"/>
              <w:bottom w:val="single" w:sz="8" w:color="8C8C8C"/>
            </w:tcBorders>
          </w:tcPr>
          <w:p>
            <w:pPr>
              <w:spacing w:after="0" w:line="20" w:lineRule="exact"/>
              <w:rPr>
                <w:sz w:val="1"/>
                <w:szCs w:val="1"/>
                <w:color w:val="auto"/>
              </w:rPr>
            </w:pPr>
          </w:p>
        </w:tc>
        <w:tc>
          <w:tcPr>
            <w:tcW w:w="40" w:type="dxa"/>
            <w:vAlign w:val="bottom"/>
            <w:tcBorders>
              <w:top w:val="single" w:sz="8" w:color="0000EE"/>
              <w:bottom w:val="single" w:sz="8" w:color="8C8C8C"/>
            </w:tcBorders>
          </w:tcPr>
          <w:p>
            <w:pPr>
              <w:spacing w:after="0" w:line="20" w:lineRule="exact"/>
              <w:rPr>
                <w:sz w:val="1"/>
                <w:szCs w:val="1"/>
                <w:color w:val="auto"/>
              </w:rPr>
            </w:pPr>
          </w:p>
        </w:tc>
        <w:tc>
          <w:tcPr>
            <w:tcW w:w="340" w:type="dxa"/>
            <w:vAlign w:val="bottom"/>
            <w:tcBorders>
              <w:top w:val="single" w:sz="8" w:color="0000EE"/>
              <w:bottom w:val="single" w:sz="8" w:color="8C8C8C"/>
            </w:tcBorders>
          </w:tcPr>
          <w:p>
            <w:pPr>
              <w:spacing w:after="0" w:line="20" w:lineRule="exact"/>
              <w:rPr>
                <w:sz w:val="1"/>
                <w:szCs w:val="1"/>
                <w:color w:val="auto"/>
              </w:rPr>
            </w:pPr>
          </w:p>
        </w:tc>
        <w:tc>
          <w:tcPr>
            <w:tcW w:w="100" w:type="dxa"/>
            <w:vAlign w:val="bottom"/>
            <w:tcBorders>
              <w:top w:val="single" w:sz="8" w:color="0000EE"/>
              <w:bottom w:val="single" w:sz="8" w:color="8C8C8C"/>
            </w:tcBorders>
          </w:tcPr>
          <w:p>
            <w:pPr>
              <w:spacing w:after="0" w:line="20" w:lineRule="exact"/>
              <w:rPr>
                <w:sz w:val="1"/>
                <w:szCs w:val="1"/>
                <w:color w:val="auto"/>
              </w:rPr>
            </w:pPr>
          </w:p>
        </w:tc>
        <w:tc>
          <w:tcPr>
            <w:tcW w:w="240" w:type="dxa"/>
            <w:vAlign w:val="bottom"/>
            <w:tcBorders>
              <w:top w:val="single" w:sz="8" w:color="0000EE"/>
              <w:bottom w:val="single" w:sz="8" w:color="8C8C8C"/>
            </w:tcBorders>
          </w:tcPr>
          <w:p>
            <w:pPr>
              <w:spacing w:after="0" w:line="20" w:lineRule="exact"/>
              <w:rPr>
                <w:sz w:val="1"/>
                <w:szCs w:val="1"/>
                <w:color w:val="auto"/>
              </w:rPr>
            </w:pPr>
          </w:p>
        </w:tc>
        <w:tc>
          <w:tcPr>
            <w:tcW w:w="260" w:type="dxa"/>
            <w:vAlign w:val="bottom"/>
            <w:tcBorders>
              <w:top w:val="single" w:sz="8" w:color="0000EE"/>
              <w:bottom w:val="single" w:sz="8" w:color="8C8C8C"/>
            </w:tcBorders>
          </w:tcPr>
          <w:p>
            <w:pPr>
              <w:spacing w:after="0" w:line="20" w:lineRule="exact"/>
              <w:rPr>
                <w:sz w:val="1"/>
                <w:szCs w:val="1"/>
                <w:color w:val="auto"/>
              </w:rPr>
            </w:pPr>
          </w:p>
        </w:tc>
        <w:tc>
          <w:tcPr>
            <w:tcW w:w="80" w:type="dxa"/>
            <w:vAlign w:val="bottom"/>
            <w:tcBorders>
              <w:top w:val="single" w:sz="8" w:color="0000EE"/>
              <w:bottom w:val="single" w:sz="8" w:color="8C8C8C"/>
            </w:tcBorders>
          </w:tcPr>
          <w:p>
            <w:pPr>
              <w:spacing w:after="0" w:line="20" w:lineRule="exact"/>
              <w:rPr>
                <w:sz w:val="1"/>
                <w:szCs w:val="1"/>
                <w:color w:val="auto"/>
              </w:rPr>
            </w:pPr>
          </w:p>
        </w:tc>
        <w:tc>
          <w:tcPr>
            <w:tcW w:w="100" w:type="dxa"/>
            <w:vAlign w:val="bottom"/>
            <w:tcBorders>
              <w:bottom w:val="single" w:sz="8" w:color="8C8C8C"/>
            </w:tcBorders>
          </w:tcPr>
          <w:p>
            <w:pPr>
              <w:spacing w:after="0" w:line="20" w:lineRule="exact"/>
              <w:rPr>
                <w:sz w:val="1"/>
                <w:szCs w:val="1"/>
                <w:color w:val="auto"/>
              </w:rPr>
            </w:pPr>
          </w:p>
        </w:tc>
        <w:tc>
          <w:tcPr>
            <w:tcW w:w="80" w:type="dxa"/>
            <w:vAlign w:val="bottom"/>
            <w:tcBorders>
              <w:bottom w:val="single" w:sz="8" w:color="8C8C8C"/>
            </w:tcBorders>
          </w:tcPr>
          <w:p>
            <w:pPr>
              <w:spacing w:after="0" w:line="20" w:lineRule="exact"/>
              <w:rPr>
                <w:sz w:val="1"/>
                <w:szCs w:val="1"/>
                <w:color w:val="auto"/>
              </w:rPr>
            </w:pPr>
          </w:p>
        </w:tc>
        <w:tc>
          <w:tcPr>
            <w:tcW w:w="260" w:type="dxa"/>
            <w:vAlign w:val="bottom"/>
            <w:tcBorders>
              <w:bottom w:val="single" w:sz="8" w:color="8C8C8C"/>
            </w:tcBorders>
          </w:tcPr>
          <w:p>
            <w:pPr>
              <w:spacing w:after="0" w:line="20" w:lineRule="exact"/>
              <w:rPr>
                <w:sz w:val="1"/>
                <w:szCs w:val="1"/>
                <w:color w:val="auto"/>
              </w:rPr>
            </w:pPr>
          </w:p>
        </w:tc>
        <w:tc>
          <w:tcPr>
            <w:tcW w:w="180" w:type="dxa"/>
            <w:vAlign w:val="bottom"/>
            <w:tcBorders>
              <w:bottom w:val="single" w:sz="8" w:color="8C8C8C"/>
            </w:tcBorders>
          </w:tcPr>
          <w:p>
            <w:pPr>
              <w:spacing w:after="0" w:line="20" w:lineRule="exact"/>
              <w:rPr>
                <w:sz w:val="1"/>
                <w:szCs w:val="1"/>
                <w:color w:val="auto"/>
              </w:rPr>
            </w:pPr>
          </w:p>
        </w:tc>
        <w:tc>
          <w:tcPr>
            <w:tcW w:w="160" w:type="dxa"/>
            <w:vAlign w:val="bottom"/>
            <w:tcBorders>
              <w:bottom w:val="single" w:sz="8" w:color="8C8C8C"/>
            </w:tcBorders>
          </w:tcPr>
          <w:p>
            <w:pPr>
              <w:spacing w:after="0" w:line="20" w:lineRule="exact"/>
              <w:rPr>
                <w:sz w:val="1"/>
                <w:szCs w:val="1"/>
                <w:color w:val="auto"/>
              </w:rPr>
            </w:pPr>
          </w:p>
        </w:tc>
        <w:tc>
          <w:tcPr>
            <w:tcW w:w="4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500" w:type="dxa"/>
            <w:vAlign w:val="bottom"/>
            <w:tcBorders>
              <w:bottom w:val="single" w:sz="8" w:color="8C8C8C"/>
            </w:tcBorders>
          </w:tcPr>
          <w:p>
            <w:pPr>
              <w:spacing w:after="0" w:line="20" w:lineRule="exact"/>
              <w:rPr>
                <w:sz w:val="1"/>
                <w:szCs w:val="1"/>
                <w:color w:val="auto"/>
              </w:rPr>
            </w:pPr>
          </w:p>
        </w:tc>
        <w:tc>
          <w:tcPr>
            <w:tcW w:w="140" w:type="dxa"/>
            <w:vAlign w:val="bottom"/>
            <w:tcBorders>
              <w:bottom w:val="single" w:sz="8" w:color="8C8C8C"/>
            </w:tcBorders>
          </w:tcPr>
          <w:p>
            <w:pPr>
              <w:spacing w:after="0" w:line="20" w:lineRule="exact"/>
              <w:rPr>
                <w:sz w:val="1"/>
                <w:szCs w:val="1"/>
                <w:color w:val="auto"/>
              </w:rPr>
            </w:pPr>
          </w:p>
        </w:tc>
        <w:tc>
          <w:tcPr>
            <w:tcW w:w="4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140" w:type="dxa"/>
            <w:vAlign w:val="bottom"/>
            <w:tcBorders>
              <w:bottom w:val="single" w:sz="8" w:color="8C8C8C"/>
            </w:tcBorders>
          </w:tcPr>
          <w:p>
            <w:pPr>
              <w:spacing w:after="0" w:line="20" w:lineRule="exact"/>
              <w:rPr>
                <w:sz w:val="1"/>
                <w:szCs w:val="1"/>
                <w:color w:val="auto"/>
              </w:rPr>
            </w:pPr>
          </w:p>
        </w:tc>
        <w:tc>
          <w:tcPr>
            <w:tcW w:w="60" w:type="dxa"/>
            <w:vAlign w:val="bottom"/>
            <w:tcBorders>
              <w:bottom w:val="single" w:sz="8" w:color="8C8C8C"/>
            </w:tcBorders>
          </w:tcPr>
          <w:p>
            <w:pPr>
              <w:spacing w:after="0" w:line="20" w:lineRule="exact"/>
              <w:rPr>
                <w:sz w:val="1"/>
                <w:szCs w:val="1"/>
                <w:color w:val="auto"/>
              </w:rPr>
            </w:pPr>
          </w:p>
        </w:tc>
        <w:tc>
          <w:tcPr>
            <w:tcW w:w="100" w:type="dxa"/>
            <w:vAlign w:val="bottom"/>
            <w:tcBorders>
              <w:bottom w:val="single" w:sz="8" w:color="8C8C8C"/>
            </w:tcBorders>
          </w:tcPr>
          <w:p>
            <w:pPr>
              <w:spacing w:after="0" w:line="20" w:lineRule="exact"/>
              <w:rPr>
                <w:sz w:val="1"/>
                <w:szCs w:val="1"/>
                <w:color w:val="auto"/>
              </w:rPr>
            </w:pPr>
          </w:p>
        </w:tc>
        <w:tc>
          <w:tcPr>
            <w:tcW w:w="140" w:type="dxa"/>
            <w:vAlign w:val="bottom"/>
            <w:tcBorders>
              <w:bottom w:val="single" w:sz="8" w:color="8C8C8C"/>
            </w:tcBorders>
          </w:tcPr>
          <w:p>
            <w:pPr>
              <w:spacing w:after="0" w:line="20" w:lineRule="exact"/>
              <w:rPr>
                <w:sz w:val="1"/>
                <w:szCs w:val="1"/>
                <w:color w:val="auto"/>
              </w:rPr>
            </w:pPr>
          </w:p>
        </w:tc>
        <w:tc>
          <w:tcPr>
            <w:tcW w:w="10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40" w:type="dxa"/>
            <w:vAlign w:val="bottom"/>
            <w:tcBorders>
              <w:bottom w:val="single" w:sz="8" w:color="8C8C8C"/>
            </w:tcBorders>
          </w:tcPr>
          <w:p>
            <w:pPr>
              <w:spacing w:after="0" w:line="20" w:lineRule="exact"/>
              <w:rPr>
                <w:sz w:val="1"/>
                <w:szCs w:val="1"/>
                <w:color w:val="auto"/>
              </w:rPr>
            </w:pPr>
          </w:p>
        </w:tc>
        <w:tc>
          <w:tcPr>
            <w:tcW w:w="140" w:type="dxa"/>
            <w:vAlign w:val="bottom"/>
            <w:tcBorders>
              <w:bottom w:val="single" w:sz="8" w:color="8C8C8C"/>
            </w:tcBorders>
          </w:tcPr>
          <w:p>
            <w:pPr>
              <w:spacing w:after="0" w:line="20" w:lineRule="exact"/>
              <w:rPr>
                <w:sz w:val="1"/>
                <w:szCs w:val="1"/>
                <w:color w:val="auto"/>
              </w:rPr>
            </w:pPr>
          </w:p>
        </w:tc>
        <w:tc>
          <w:tcPr>
            <w:tcW w:w="200" w:type="dxa"/>
            <w:vAlign w:val="bottom"/>
            <w:tcBorders>
              <w:bottom w:val="single" w:sz="8" w:color="8C8C8C"/>
            </w:tcBorders>
          </w:tcPr>
          <w:p>
            <w:pPr>
              <w:spacing w:after="0" w:line="20" w:lineRule="exact"/>
              <w:rPr>
                <w:sz w:val="1"/>
                <w:szCs w:val="1"/>
                <w:color w:val="auto"/>
              </w:rPr>
            </w:pPr>
          </w:p>
        </w:tc>
        <w:tc>
          <w:tcPr>
            <w:tcW w:w="520" w:type="dxa"/>
            <w:vAlign w:val="bottom"/>
            <w:tcBorders>
              <w:bottom w:val="single" w:sz="8" w:color="8C8C8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20" w:type="dxa"/>
            <w:vAlign w:val="bottom"/>
            <w:tcBorders>
              <w:bottom w:val="single" w:sz="8" w:color="0000EE"/>
            </w:tcBorders>
            <w:gridSpan w:val="21"/>
          </w:tcPr>
          <w:p>
            <w:pPr>
              <w:spacing w:after="0"/>
              <w:rPr>
                <w:rFonts w:ascii="Arial" w:cs="Arial" w:eastAsia="Arial" w:hAnsi="Arial"/>
                <w:sz w:val="16"/>
                <w:szCs w:val="16"/>
                <w:color w:val="0000EE"/>
              </w:rPr>
            </w:pPr>
            <w:hyperlink w:anchor="page87">
              <w:r>
                <w:rPr>
                  <w:rFonts w:ascii="Arial" w:cs="Arial" w:eastAsia="Arial" w:hAnsi="Arial"/>
                  <w:sz w:val="16"/>
                  <w:szCs w:val="16"/>
                  <w:color w:val="0000EE"/>
                </w:rPr>
                <w:t>PROPOSAL 4 — RATIFICATION OF SELECTION OF</w:t>
              </w:r>
            </w:hyperlink>
          </w:p>
        </w:tc>
        <w:tc>
          <w:tcPr>
            <w:tcW w:w="960" w:type="dxa"/>
            <w:vAlign w:val="bottom"/>
            <w:gridSpan w:val="10"/>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880" w:type="dxa"/>
            <w:vAlign w:val="bottom"/>
            <w:gridSpan w:val="31"/>
          </w:tcPr>
          <w:p>
            <w:pPr>
              <w:spacing w:after="0" w:line="169" w:lineRule="exact"/>
              <w:rPr>
                <w:rFonts w:ascii="Arial" w:cs="Arial" w:eastAsia="Arial" w:hAnsi="Arial"/>
                <w:sz w:val="16"/>
                <w:szCs w:val="16"/>
                <w:color w:val="0000EE"/>
              </w:rPr>
            </w:pPr>
            <w:hyperlink w:anchor="page87">
              <w:r>
                <w:rPr>
                  <w:rFonts w:ascii="Arial" w:cs="Arial" w:eastAsia="Arial" w:hAnsi="Arial"/>
                  <w:sz w:val="16"/>
                  <w:szCs w:val="16"/>
                  <w:color w:val="0000EE"/>
                </w:rPr>
                <w:t>INDEPENDENT REGISTERED PUBLIC ACCOUNTING FIRM</w:t>
              </w:r>
            </w:hyperlink>
          </w:p>
        </w:tc>
        <w:tc>
          <w:tcPr>
            <w:tcW w:w="520" w:type="dxa"/>
            <w:vAlign w:val="bottom"/>
          </w:tcPr>
          <w:p>
            <w:pPr>
              <w:jc w:val="right"/>
              <w:spacing w:after="0" w:line="169" w:lineRule="exact"/>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0"/>
        </w:trPr>
        <w:tc>
          <w:tcPr>
            <w:tcW w:w="220" w:type="dxa"/>
            <w:vAlign w:val="bottom"/>
            <w:tcBorders>
              <w:top w:val="single" w:sz="8" w:color="0000EE"/>
              <w:bottom w:val="single" w:sz="8" w:color="8C8C8C"/>
            </w:tcBorders>
          </w:tcPr>
          <w:p>
            <w:pPr>
              <w:spacing w:after="0" w:line="20" w:lineRule="exact"/>
              <w:rPr>
                <w:sz w:val="1"/>
                <w:szCs w:val="1"/>
                <w:color w:val="auto"/>
              </w:rPr>
            </w:pPr>
          </w:p>
        </w:tc>
        <w:tc>
          <w:tcPr>
            <w:tcW w:w="220" w:type="dxa"/>
            <w:vAlign w:val="bottom"/>
            <w:tcBorders>
              <w:top w:val="single" w:sz="8" w:color="0000EE"/>
              <w:bottom w:val="single" w:sz="8" w:color="8C8C8C"/>
            </w:tcBorders>
          </w:tcPr>
          <w:p>
            <w:pPr>
              <w:spacing w:after="0" w:line="20" w:lineRule="exact"/>
              <w:rPr>
                <w:sz w:val="1"/>
                <w:szCs w:val="1"/>
                <w:color w:val="auto"/>
              </w:rPr>
            </w:pPr>
          </w:p>
        </w:tc>
        <w:tc>
          <w:tcPr>
            <w:tcW w:w="380" w:type="dxa"/>
            <w:vAlign w:val="bottom"/>
            <w:tcBorders>
              <w:top w:val="single" w:sz="8" w:color="0000EE"/>
              <w:bottom w:val="single" w:sz="8" w:color="8C8C8C"/>
            </w:tcBorders>
          </w:tcPr>
          <w:p>
            <w:pPr>
              <w:spacing w:after="0" w:line="20" w:lineRule="exact"/>
              <w:rPr>
                <w:sz w:val="1"/>
                <w:szCs w:val="1"/>
                <w:color w:val="auto"/>
              </w:rPr>
            </w:pPr>
          </w:p>
        </w:tc>
        <w:tc>
          <w:tcPr>
            <w:tcW w:w="440" w:type="dxa"/>
            <w:vAlign w:val="bottom"/>
            <w:tcBorders>
              <w:top w:val="single" w:sz="8" w:color="0000EE"/>
              <w:bottom w:val="single" w:sz="8" w:color="8C8C8C"/>
            </w:tcBorders>
          </w:tcPr>
          <w:p>
            <w:pPr>
              <w:spacing w:after="0" w:line="20" w:lineRule="exact"/>
              <w:rPr>
                <w:sz w:val="1"/>
                <w:szCs w:val="1"/>
                <w:color w:val="auto"/>
              </w:rPr>
            </w:pPr>
          </w:p>
        </w:tc>
        <w:tc>
          <w:tcPr>
            <w:tcW w:w="80" w:type="dxa"/>
            <w:vAlign w:val="bottom"/>
            <w:tcBorders>
              <w:top w:val="single" w:sz="8" w:color="0000EE"/>
              <w:bottom w:val="single" w:sz="8" w:color="8C8C8C"/>
            </w:tcBorders>
          </w:tcPr>
          <w:p>
            <w:pPr>
              <w:spacing w:after="0" w:line="20" w:lineRule="exact"/>
              <w:rPr>
                <w:sz w:val="1"/>
                <w:szCs w:val="1"/>
                <w:color w:val="auto"/>
              </w:rPr>
            </w:pPr>
          </w:p>
        </w:tc>
        <w:tc>
          <w:tcPr>
            <w:tcW w:w="40" w:type="dxa"/>
            <w:vAlign w:val="bottom"/>
            <w:tcBorders>
              <w:top w:val="single" w:sz="8" w:color="0000EE"/>
              <w:bottom w:val="single" w:sz="8" w:color="8C8C8C"/>
            </w:tcBorders>
          </w:tcPr>
          <w:p>
            <w:pPr>
              <w:spacing w:after="0" w:line="20" w:lineRule="exact"/>
              <w:rPr>
                <w:sz w:val="1"/>
                <w:szCs w:val="1"/>
                <w:color w:val="auto"/>
              </w:rPr>
            </w:pPr>
          </w:p>
        </w:tc>
        <w:tc>
          <w:tcPr>
            <w:tcW w:w="340" w:type="dxa"/>
            <w:vAlign w:val="bottom"/>
            <w:tcBorders>
              <w:top w:val="single" w:sz="8" w:color="0000EE"/>
              <w:bottom w:val="single" w:sz="8" w:color="8C8C8C"/>
            </w:tcBorders>
          </w:tcPr>
          <w:p>
            <w:pPr>
              <w:spacing w:after="0" w:line="20" w:lineRule="exact"/>
              <w:rPr>
                <w:sz w:val="1"/>
                <w:szCs w:val="1"/>
                <w:color w:val="auto"/>
              </w:rPr>
            </w:pPr>
          </w:p>
        </w:tc>
        <w:tc>
          <w:tcPr>
            <w:tcW w:w="100" w:type="dxa"/>
            <w:vAlign w:val="bottom"/>
            <w:tcBorders>
              <w:top w:val="single" w:sz="8" w:color="0000EE"/>
              <w:bottom w:val="single" w:sz="8" w:color="8C8C8C"/>
            </w:tcBorders>
          </w:tcPr>
          <w:p>
            <w:pPr>
              <w:spacing w:after="0" w:line="20" w:lineRule="exact"/>
              <w:rPr>
                <w:sz w:val="1"/>
                <w:szCs w:val="1"/>
                <w:color w:val="auto"/>
              </w:rPr>
            </w:pPr>
          </w:p>
        </w:tc>
        <w:tc>
          <w:tcPr>
            <w:tcW w:w="240" w:type="dxa"/>
            <w:vAlign w:val="bottom"/>
            <w:tcBorders>
              <w:top w:val="single" w:sz="8" w:color="0000EE"/>
              <w:bottom w:val="single" w:sz="8" w:color="8C8C8C"/>
            </w:tcBorders>
          </w:tcPr>
          <w:p>
            <w:pPr>
              <w:spacing w:after="0" w:line="20" w:lineRule="exact"/>
              <w:rPr>
                <w:sz w:val="1"/>
                <w:szCs w:val="1"/>
                <w:color w:val="auto"/>
              </w:rPr>
            </w:pPr>
          </w:p>
        </w:tc>
        <w:tc>
          <w:tcPr>
            <w:tcW w:w="260" w:type="dxa"/>
            <w:vAlign w:val="bottom"/>
            <w:tcBorders>
              <w:top w:val="single" w:sz="8" w:color="0000EE"/>
              <w:bottom w:val="single" w:sz="8" w:color="8C8C8C"/>
            </w:tcBorders>
          </w:tcPr>
          <w:p>
            <w:pPr>
              <w:spacing w:after="0" w:line="20" w:lineRule="exact"/>
              <w:rPr>
                <w:sz w:val="1"/>
                <w:szCs w:val="1"/>
                <w:color w:val="auto"/>
              </w:rPr>
            </w:pPr>
          </w:p>
        </w:tc>
        <w:tc>
          <w:tcPr>
            <w:tcW w:w="80" w:type="dxa"/>
            <w:vAlign w:val="bottom"/>
            <w:tcBorders>
              <w:top w:val="single" w:sz="8" w:color="0000EE"/>
              <w:bottom w:val="single" w:sz="8" w:color="8C8C8C"/>
            </w:tcBorders>
          </w:tcPr>
          <w:p>
            <w:pPr>
              <w:spacing w:after="0" w:line="20" w:lineRule="exact"/>
              <w:rPr>
                <w:sz w:val="1"/>
                <w:szCs w:val="1"/>
                <w:color w:val="auto"/>
              </w:rPr>
            </w:pPr>
          </w:p>
        </w:tc>
        <w:tc>
          <w:tcPr>
            <w:tcW w:w="100" w:type="dxa"/>
            <w:vAlign w:val="bottom"/>
            <w:tcBorders>
              <w:top w:val="single" w:sz="8" w:color="0000EE"/>
              <w:bottom w:val="single" w:sz="8" w:color="8C8C8C"/>
            </w:tcBorders>
          </w:tcPr>
          <w:p>
            <w:pPr>
              <w:spacing w:after="0" w:line="20" w:lineRule="exact"/>
              <w:rPr>
                <w:sz w:val="1"/>
                <w:szCs w:val="1"/>
                <w:color w:val="auto"/>
              </w:rPr>
            </w:pPr>
          </w:p>
        </w:tc>
        <w:tc>
          <w:tcPr>
            <w:tcW w:w="80" w:type="dxa"/>
            <w:vAlign w:val="bottom"/>
            <w:tcBorders>
              <w:top w:val="single" w:sz="8" w:color="0000EE"/>
              <w:bottom w:val="single" w:sz="8" w:color="8C8C8C"/>
            </w:tcBorders>
          </w:tcPr>
          <w:p>
            <w:pPr>
              <w:spacing w:after="0" w:line="20" w:lineRule="exact"/>
              <w:rPr>
                <w:sz w:val="1"/>
                <w:szCs w:val="1"/>
                <w:color w:val="auto"/>
              </w:rPr>
            </w:pPr>
          </w:p>
        </w:tc>
        <w:tc>
          <w:tcPr>
            <w:tcW w:w="260" w:type="dxa"/>
            <w:vAlign w:val="bottom"/>
            <w:tcBorders>
              <w:top w:val="single" w:sz="8" w:color="0000EE"/>
              <w:bottom w:val="single" w:sz="8" w:color="8C8C8C"/>
            </w:tcBorders>
          </w:tcPr>
          <w:p>
            <w:pPr>
              <w:spacing w:after="0" w:line="20" w:lineRule="exact"/>
              <w:rPr>
                <w:sz w:val="1"/>
                <w:szCs w:val="1"/>
                <w:color w:val="auto"/>
              </w:rPr>
            </w:pPr>
          </w:p>
        </w:tc>
        <w:tc>
          <w:tcPr>
            <w:tcW w:w="180" w:type="dxa"/>
            <w:vAlign w:val="bottom"/>
            <w:tcBorders>
              <w:top w:val="single" w:sz="8" w:color="0000EE"/>
              <w:bottom w:val="single" w:sz="8" w:color="8C8C8C"/>
            </w:tcBorders>
          </w:tcPr>
          <w:p>
            <w:pPr>
              <w:spacing w:after="0" w:line="20" w:lineRule="exact"/>
              <w:rPr>
                <w:sz w:val="1"/>
                <w:szCs w:val="1"/>
                <w:color w:val="auto"/>
              </w:rPr>
            </w:pPr>
          </w:p>
        </w:tc>
        <w:tc>
          <w:tcPr>
            <w:tcW w:w="160" w:type="dxa"/>
            <w:vAlign w:val="bottom"/>
            <w:tcBorders>
              <w:top w:val="single" w:sz="8" w:color="0000EE"/>
              <w:bottom w:val="single" w:sz="8" w:color="8C8C8C"/>
            </w:tcBorders>
          </w:tcPr>
          <w:p>
            <w:pPr>
              <w:spacing w:after="0" w:line="20" w:lineRule="exact"/>
              <w:rPr>
                <w:sz w:val="1"/>
                <w:szCs w:val="1"/>
                <w:color w:val="auto"/>
              </w:rPr>
            </w:pPr>
          </w:p>
        </w:tc>
        <w:tc>
          <w:tcPr>
            <w:tcW w:w="40" w:type="dxa"/>
            <w:vAlign w:val="bottom"/>
            <w:tcBorders>
              <w:top w:val="single" w:sz="8" w:color="0000EE"/>
              <w:bottom w:val="single" w:sz="8" w:color="8C8C8C"/>
            </w:tcBorders>
          </w:tcPr>
          <w:p>
            <w:pPr>
              <w:spacing w:after="0" w:line="20" w:lineRule="exact"/>
              <w:rPr>
                <w:sz w:val="1"/>
                <w:szCs w:val="1"/>
                <w:color w:val="auto"/>
              </w:rPr>
            </w:pPr>
          </w:p>
        </w:tc>
        <w:tc>
          <w:tcPr>
            <w:tcW w:w="20" w:type="dxa"/>
            <w:vAlign w:val="bottom"/>
            <w:tcBorders>
              <w:top w:val="single" w:sz="8" w:color="0000EE"/>
              <w:bottom w:val="single" w:sz="8" w:color="8C8C8C"/>
            </w:tcBorders>
          </w:tcPr>
          <w:p>
            <w:pPr>
              <w:spacing w:after="0" w:line="20" w:lineRule="exact"/>
              <w:rPr>
                <w:sz w:val="1"/>
                <w:szCs w:val="1"/>
                <w:color w:val="auto"/>
              </w:rPr>
            </w:pPr>
          </w:p>
        </w:tc>
        <w:tc>
          <w:tcPr>
            <w:tcW w:w="500" w:type="dxa"/>
            <w:vAlign w:val="bottom"/>
            <w:tcBorders>
              <w:top w:val="single" w:sz="8" w:color="0000EE"/>
              <w:bottom w:val="single" w:sz="8" w:color="8C8C8C"/>
            </w:tcBorders>
          </w:tcPr>
          <w:p>
            <w:pPr>
              <w:spacing w:after="0" w:line="20" w:lineRule="exact"/>
              <w:rPr>
                <w:sz w:val="1"/>
                <w:szCs w:val="1"/>
                <w:color w:val="auto"/>
              </w:rPr>
            </w:pPr>
          </w:p>
        </w:tc>
        <w:tc>
          <w:tcPr>
            <w:tcW w:w="140" w:type="dxa"/>
            <w:vAlign w:val="bottom"/>
            <w:tcBorders>
              <w:top w:val="single" w:sz="8" w:color="0000EE"/>
              <w:bottom w:val="single" w:sz="8" w:color="8C8C8C"/>
            </w:tcBorders>
          </w:tcPr>
          <w:p>
            <w:pPr>
              <w:spacing w:after="0" w:line="20" w:lineRule="exact"/>
              <w:rPr>
                <w:sz w:val="1"/>
                <w:szCs w:val="1"/>
                <w:color w:val="auto"/>
              </w:rPr>
            </w:pPr>
          </w:p>
        </w:tc>
        <w:tc>
          <w:tcPr>
            <w:tcW w:w="40" w:type="dxa"/>
            <w:vAlign w:val="bottom"/>
            <w:tcBorders>
              <w:top w:val="single" w:sz="8" w:color="0000EE"/>
              <w:bottom w:val="single" w:sz="8" w:color="8C8C8C"/>
            </w:tcBorders>
          </w:tcPr>
          <w:p>
            <w:pPr>
              <w:spacing w:after="0" w:line="20" w:lineRule="exact"/>
              <w:rPr>
                <w:sz w:val="1"/>
                <w:szCs w:val="1"/>
                <w:color w:val="auto"/>
              </w:rPr>
            </w:pPr>
          </w:p>
        </w:tc>
        <w:tc>
          <w:tcPr>
            <w:tcW w:w="20" w:type="dxa"/>
            <w:vAlign w:val="bottom"/>
            <w:tcBorders>
              <w:top w:val="single" w:sz="8" w:color="0000EE"/>
              <w:bottom w:val="single" w:sz="8" w:color="8C8C8C"/>
            </w:tcBorders>
          </w:tcPr>
          <w:p>
            <w:pPr>
              <w:spacing w:after="0" w:line="20" w:lineRule="exact"/>
              <w:rPr>
                <w:sz w:val="1"/>
                <w:szCs w:val="1"/>
                <w:color w:val="auto"/>
              </w:rPr>
            </w:pPr>
          </w:p>
        </w:tc>
        <w:tc>
          <w:tcPr>
            <w:tcW w:w="140" w:type="dxa"/>
            <w:vAlign w:val="bottom"/>
            <w:tcBorders>
              <w:top w:val="single" w:sz="8" w:color="0000EE"/>
              <w:bottom w:val="single" w:sz="8" w:color="8C8C8C"/>
            </w:tcBorders>
          </w:tcPr>
          <w:p>
            <w:pPr>
              <w:spacing w:after="0" w:line="20" w:lineRule="exact"/>
              <w:rPr>
                <w:sz w:val="1"/>
                <w:szCs w:val="1"/>
                <w:color w:val="auto"/>
              </w:rPr>
            </w:pPr>
          </w:p>
        </w:tc>
        <w:tc>
          <w:tcPr>
            <w:tcW w:w="60" w:type="dxa"/>
            <w:vAlign w:val="bottom"/>
            <w:tcBorders>
              <w:top w:val="single" w:sz="8" w:color="0000EE"/>
              <w:bottom w:val="single" w:sz="8" w:color="8C8C8C"/>
            </w:tcBorders>
          </w:tcPr>
          <w:p>
            <w:pPr>
              <w:spacing w:after="0" w:line="20" w:lineRule="exact"/>
              <w:rPr>
                <w:sz w:val="1"/>
                <w:szCs w:val="1"/>
                <w:color w:val="auto"/>
              </w:rPr>
            </w:pPr>
          </w:p>
        </w:tc>
        <w:tc>
          <w:tcPr>
            <w:tcW w:w="100" w:type="dxa"/>
            <w:vAlign w:val="bottom"/>
            <w:tcBorders>
              <w:top w:val="single" w:sz="8" w:color="0000EE"/>
              <w:bottom w:val="single" w:sz="8" w:color="8C8C8C"/>
            </w:tcBorders>
          </w:tcPr>
          <w:p>
            <w:pPr>
              <w:spacing w:after="0" w:line="20" w:lineRule="exact"/>
              <w:rPr>
                <w:sz w:val="1"/>
                <w:szCs w:val="1"/>
                <w:color w:val="auto"/>
              </w:rPr>
            </w:pPr>
          </w:p>
        </w:tc>
        <w:tc>
          <w:tcPr>
            <w:tcW w:w="140" w:type="dxa"/>
            <w:vAlign w:val="bottom"/>
            <w:tcBorders>
              <w:top w:val="single" w:sz="8" w:color="0000EE"/>
              <w:bottom w:val="single" w:sz="8" w:color="8C8C8C"/>
            </w:tcBorders>
          </w:tcPr>
          <w:p>
            <w:pPr>
              <w:spacing w:after="0" w:line="20" w:lineRule="exact"/>
              <w:rPr>
                <w:sz w:val="1"/>
                <w:szCs w:val="1"/>
                <w:color w:val="auto"/>
              </w:rPr>
            </w:pPr>
          </w:p>
        </w:tc>
        <w:tc>
          <w:tcPr>
            <w:tcW w:w="100" w:type="dxa"/>
            <w:vAlign w:val="bottom"/>
            <w:tcBorders>
              <w:top w:val="single" w:sz="8" w:color="0000EE"/>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40" w:type="dxa"/>
            <w:vAlign w:val="bottom"/>
            <w:tcBorders>
              <w:bottom w:val="single" w:sz="8" w:color="8C8C8C"/>
            </w:tcBorders>
          </w:tcPr>
          <w:p>
            <w:pPr>
              <w:spacing w:after="0" w:line="20" w:lineRule="exact"/>
              <w:rPr>
                <w:sz w:val="1"/>
                <w:szCs w:val="1"/>
                <w:color w:val="auto"/>
              </w:rPr>
            </w:pPr>
          </w:p>
        </w:tc>
        <w:tc>
          <w:tcPr>
            <w:tcW w:w="140" w:type="dxa"/>
            <w:vAlign w:val="bottom"/>
            <w:tcBorders>
              <w:bottom w:val="single" w:sz="8" w:color="8C8C8C"/>
            </w:tcBorders>
          </w:tcPr>
          <w:p>
            <w:pPr>
              <w:spacing w:after="0" w:line="20" w:lineRule="exact"/>
              <w:rPr>
                <w:sz w:val="1"/>
                <w:szCs w:val="1"/>
                <w:color w:val="auto"/>
              </w:rPr>
            </w:pPr>
          </w:p>
        </w:tc>
        <w:tc>
          <w:tcPr>
            <w:tcW w:w="200" w:type="dxa"/>
            <w:vAlign w:val="bottom"/>
            <w:tcBorders>
              <w:bottom w:val="single" w:sz="8" w:color="8C8C8C"/>
            </w:tcBorders>
          </w:tcPr>
          <w:p>
            <w:pPr>
              <w:spacing w:after="0" w:line="20" w:lineRule="exact"/>
              <w:rPr>
                <w:sz w:val="1"/>
                <w:szCs w:val="1"/>
                <w:color w:val="auto"/>
              </w:rPr>
            </w:pPr>
          </w:p>
        </w:tc>
        <w:tc>
          <w:tcPr>
            <w:tcW w:w="520" w:type="dxa"/>
            <w:vAlign w:val="bottom"/>
            <w:tcBorders>
              <w:bottom w:val="single" w:sz="8" w:color="8C8C8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80" w:type="dxa"/>
            <w:vAlign w:val="bottom"/>
            <w:gridSpan w:val="31"/>
          </w:tcPr>
          <w:p>
            <w:pPr>
              <w:spacing w:after="0"/>
              <w:rPr>
                <w:rFonts w:ascii="Arial" w:cs="Arial" w:eastAsia="Arial" w:hAnsi="Arial"/>
                <w:sz w:val="16"/>
                <w:szCs w:val="16"/>
                <w:color w:val="0000EE"/>
              </w:rPr>
            </w:pPr>
            <w:hyperlink w:anchor="page88">
              <w:r>
                <w:rPr>
                  <w:rFonts w:ascii="Arial" w:cs="Arial" w:eastAsia="Arial" w:hAnsi="Arial"/>
                  <w:sz w:val="16"/>
                  <w:szCs w:val="16"/>
                  <w:color w:val="0000EE"/>
                </w:rPr>
                <w:t>OTHER MATTERS</w:t>
              </w:r>
            </w:hyperlink>
          </w:p>
        </w:tc>
        <w:tc>
          <w:tcPr>
            <w:tcW w:w="520" w:type="dxa"/>
            <w:vAlign w:val="bottom"/>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0"/>
        </w:trPr>
        <w:tc>
          <w:tcPr>
            <w:tcW w:w="220" w:type="dxa"/>
            <w:vAlign w:val="bottom"/>
            <w:tcBorders>
              <w:top w:val="single" w:sz="8" w:color="0000EE"/>
              <w:bottom w:val="single" w:sz="8" w:color="8C8C8C"/>
            </w:tcBorders>
          </w:tcPr>
          <w:p>
            <w:pPr>
              <w:spacing w:after="0" w:line="20" w:lineRule="exact"/>
              <w:rPr>
                <w:sz w:val="1"/>
                <w:szCs w:val="1"/>
                <w:color w:val="auto"/>
              </w:rPr>
            </w:pPr>
          </w:p>
        </w:tc>
        <w:tc>
          <w:tcPr>
            <w:tcW w:w="220" w:type="dxa"/>
            <w:vAlign w:val="bottom"/>
            <w:tcBorders>
              <w:top w:val="single" w:sz="8" w:color="0000EE"/>
              <w:bottom w:val="single" w:sz="8" w:color="8C8C8C"/>
            </w:tcBorders>
          </w:tcPr>
          <w:p>
            <w:pPr>
              <w:spacing w:after="0" w:line="20" w:lineRule="exact"/>
              <w:rPr>
                <w:sz w:val="1"/>
                <w:szCs w:val="1"/>
                <w:color w:val="auto"/>
              </w:rPr>
            </w:pPr>
          </w:p>
        </w:tc>
        <w:tc>
          <w:tcPr>
            <w:tcW w:w="380" w:type="dxa"/>
            <w:vAlign w:val="bottom"/>
            <w:tcBorders>
              <w:top w:val="single" w:sz="8" w:color="0000EE"/>
              <w:bottom w:val="single" w:sz="8" w:color="8C8C8C"/>
            </w:tcBorders>
          </w:tcPr>
          <w:p>
            <w:pPr>
              <w:spacing w:after="0" w:line="20" w:lineRule="exact"/>
              <w:rPr>
                <w:sz w:val="1"/>
                <w:szCs w:val="1"/>
                <w:color w:val="auto"/>
              </w:rPr>
            </w:pPr>
          </w:p>
        </w:tc>
        <w:tc>
          <w:tcPr>
            <w:tcW w:w="440" w:type="dxa"/>
            <w:vAlign w:val="bottom"/>
            <w:tcBorders>
              <w:top w:val="single" w:sz="8" w:color="0000EE"/>
              <w:bottom w:val="single" w:sz="8" w:color="8C8C8C"/>
            </w:tcBorders>
          </w:tcPr>
          <w:p>
            <w:pPr>
              <w:spacing w:after="0" w:line="20" w:lineRule="exact"/>
              <w:rPr>
                <w:sz w:val="1"/>
                <w:szCs w:val="1"/>
                <w:color w:val="auto"/>
              </w:rPr>
            </w:pPr>
          </w:p>
        </w:tc>
        <w:tc>
          <w:tcPr>
            <w:tcW w:w="80" w:type="dxa"/>
            <w:vAlign w:val="bottom"/>
            <w:tcBorders>
              <w:top w:val="single" w:sz="8" w:color="0000EE"/>
              <w:bottom w:val="single" w:sz="8" w:color="8C8C8C"/>
            </w:tcBorders>
          </w:tcPr>
          <w:p>
            <w:pPr>
              <w:spacing w:after="0" w:line="20" w:lineRule="exact"/>
              <w:rPr>
                <w:sz w:val="1"/>
                <w:szCs w:val="1"/>
                <w:color w:val="auto"/>
              </w:rPr>
            </w:pPr>
          </w:p>
        </w:tc>
        <w:tc>
          <w:tcPr>
            <w:tcW w:w="40" w:type="dxa"/>
            <w:vAlign w:val="bottom"/>
            <w:tcBorders>
              <w:top w:val="single" w:sz="8" w:color="0000EE"/>
              <w:bottom w:val="single" w:sz="8" w:color="8C8C8C"/>
            </w:tcBorders>
          </w:tcPr>
          <w:p>
            <w:pPr>
              <w:spacing w:after="0" w:line="20" w:lineRule="exact"/>
              <w:rPr>
                <w:sz w:val="1"/>
                <w:szCs w:val="1"/>
                <w:color w:val="auto"/>
              </w:rPr>
            </w:pPr>
          </w:p>
        </w:tc>
        <w:tc>
          <w:tcPr>
            <w:tcW w:w="340" w:type="dxa"/>
            <w:vAlign w:val="bottom"/>
            <w:tcBorders>
              <w:bottom w:val="single" w:sz="8" w:color="8C8C8C"/>
            </w:tcBorders>
          </w:tcPr>
          <w:p>
            <w:pPr>
              <w:spacing w:after="0" w:line="20" w:lineRule="exact"/>
              <w:rPr>
                <w:sz w:val="1"/>
                <w:szCs w:val="1"/>
                <w:color w:val="auto"/>
              </w:rPr>
            </w:pPr>
          </w:p>
        </w:tc>
        <w:tc>
          <w:tcPr>
            <w:tcW w:w="100" w:type="dxa"/>
            <w:vAlign w:val="bottom"/>
            <w:tcBorders>
              <w:bottom w:val="single" w:sz="8" w:color="8C8C8C"/>
            </w:tcBorders>
          </w:tcPr>
          <w:p>
            <w:pPr>
              <w:spacing w:after="0" w:line="20" w:lineRule="exact"/>
              <w:rPr>
                <w:sz w:val="1"/>
                <w:szCs w:val="1"/>
                <w:color w:val="auto"/>
              </w:rPr>
            </w:pPr>
          </w:p>
        </w:tc>
        <w:tc>
          <w:tcPr>
            <w:tcW w:w="240" w:type="dxa"/>
            <w:vAlign w:val="bottom"/>
            <w:tcBorders>
              <w:bottom w:val="single" w:sz="8" w:color="8C8C8C"/>
            </w:tcBorders>
          </w:tcPr>
          <w:p>
            <w:pPr>
              <w:spacing w:after="0" w:line="20" w:lineRule="exact"/>
              <w:rPr>
                <w:sz w:val="1"/>
                <w:szCs w:val="1"/>
                <w:color w:val="auto"/>
              </w:rPr>
            </w:pPr>
          </w:p>
        </w:tc>
        <w:tc>
          <w:tcPr>
            <w:tcW w:w="260" w:type="dxa"/>
            <w:vAlign w:val="bottom"/>
            <w:tcBorders>
              <w:bottom w:val="single" w:sz="8" w:color="8C8C8C"/>
            </w:tcBorders>
          </w:tcPr>
          <w:p>
            <w:pPr>
              <w:spacing w:after="0" w:line="20" w:lineRule="exact"/>
              <w:rPr>
                <w:sz w:val="1"/>
                <w:szCs w:val="1"/>
                <w:color w:val="auto"/>
              </w:rPr>
            </w:pPr>
          </w:p>
        </w:tc>
        <w:tc>
          <w:tcPr>
            <w:tcW w:w="80" w:type="dxa"/>
            <w:vAlign w:val="bottom"/>
            <w:tcBorders>
              <w:bottom w:val="single" w:sz="8" w:color="8C8C8C"/>
            </w:tcBorders>
          </w:tcPr>
          <w:p>
            <w:pPr>
              <w:spacing w:after="0" w:line="20" w:lineRule="exact"/>
              <w:rPr>
                <w:sz w:val="1"/>
                <w:szCs w:val="1"/>
                <w:color w:val="auto"/>
              </w:rPr>
            </w:pPr>
          </w:p>
        </w:tc>
        <w:tc>
          <w:tcPr>
            <w:tcW w:w="100" w:type="dxa"/>
            <w:vAlign w:val="bottom"/>
            <w:tcBorders>
              <w:bottom w:val="single" w:sz="8" w:color="8C8C8C"/>
            </w:tcBorders>
          </w:tcPr>
          <w:p>
            <w:pPr>
              <w:spacing w:after="0" w:line="20" w:lineRule="exact"/>
              <w:rPr>
                <w:sz w:val="1"/>
                <w:szCs w:val="1"/>
                <w:color w:val="auto"/>
              </w:rPr>
            </w:pPr>
          </w:p>
        </w:tc>
        <w:tc>
          <w:tcPr>
            <w:tcW w:w="80" w:type="dxa"/>
            <w:vAlign w:val="bottom"/>
            <w:tcBorders>
              <w:bottom w:val="single" w:sz="8" w:color="8C8C8C"/>
            </w:tcBorders>
          </w:tcPr>
          <w:p>
            <w:pPr>
              <w:spacing w:after="0" w:line="20" w:lineRule="exact"/>
              <w:rPr>
                <w:sz w:val="1"/>
                <w:szCs w:val="1"/>
                <w:color w:val="auto"/>
              </w:rPr>
            </w:pPr>
          </w:p>
        </w:tc>
        <w:tc>
          <w:tcPr>
            <w:tcW w:w="260" w:type="dxa"/>
            <w:vAlign w:val="bottom"/>
            <w:tcBorders>
              <w:bottom w:val="single" w:sz="8" w:color="8C8C8C"/>
            </w:tcBorders>
          </w:tcPr>
          <w:p>
            <w:pPr>
              <w:spacing w:after="0" w:line="20" w:lineRule="exact"/>
              <w:rPr>
                <w:sz w:val="1"/>
                <w:szCs w:val="1"/>
                <w:color w:val="auto"/>
              </w:rPr>
            </w:pPr>
          </w:p>
        </w:tc>
        <w:tc>
          <w:tcPr>
            <w:tcW w:w="180" w:type="dxa"/>
            <w:vAlign w:val="bottom"/>
            <w:tcBorders>
              <w:bottom w:val="single" w:sz="8" w:color="8C8C8C"/>
            </w:tcBorders>
          </w:tcPr>
          <w:p>
            <w:pPr>
              <w:spacing w:after="0" w:line="20" w:lineRule="exact"/>
              <w:rPr>
                <w:sz w:val="1"/>
                <w:szCs w:val="1"/>
                <w:color w:val="auto"/>
              </w:rPr>
            </w:pPr>
          </w:p>
        </w:tc>
        <w:tc>
          <w:tcPr>
            <w:tcW w:w="160" w:type="dxa"/>
            <w:vAlign w:val="bottom"/>
            <w:tcBorders>
              <w:bottom w:val="single" w:sz="8" w:color="8C8C8C"/>
            </w:tcBorders>
          </w:tcPr>
          <w:p>
            <w:pPr>
              <w:spacing w:after="0" w:line="20" w:lineRule="exact"/>
              <w:rPr>
                <w:sz w:val="1"/>
                <w:szCs w:val="1"/>
                <w:color w:val="auto"/>
              </w:rPr>
            </w:pPr>
          </w:p>
        </w:tc>
        <w:tc>
          <w:tcPr>
            <w:tcW w:w="4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500" w:type="dxa"/>
            <w:vAlign w:val="bottom"/>
            <w:tcBorders>
              <w:bottom w:val="single" w:sz="8" w:color="8C8C8C"/>
            </w:tcBorders>
          </w:tcPr>
          <w:p>
            <w:pPr>
              <w:spacing w:after="0" w:line="20" w:lineRule="exact"/>
              <w:rPr>
                <w:sz w:val="1"/>
                <w:szCs w:val="1"/>
                <w:color w:val="auto"/>
              </w:rPr>
            </w:pPr>
          </w:p>
        </w:tc>
        <w:tc>
          <w:tcPr>
            <w:tcW w:w="140" w:type="dxa"/>
            <w:vAlign w:val="bottom"/>
            <w:tcBorders>
              <w:bottom w:val="single" w:sz="8" w:color="8C8C8C"/>
            </w:tcBorders>
          </w:tcPr>
          <w:p>
            <w:pPr>
              <w:spacing w:after="0" w:line="20" w:lineRule="exact"/>
              <w:rPr>
                <w:sz w:val="1"/>
                <w:szCs w:val="1"/>
                <w:color w:val="auto"/>
              </w:rPr>
            </w:pPr>
          </w:p>
        </w:tc>
        <w:tc>
          <w:tcPr>
            <w:tcW w:w="4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140" w:type="dxa"/>
            <w:vAlign w:val="bottom"/>
            <w:tcBorders>
              <w:bottom w:val="single" w:sz="8" w:color="8C8C8C"/>
            </w:tcBorders>
          </w:tcPr>
          <w:p>
            <w:pPr>
              <w:spacing w:after="0" w:line="20" w:lineRule="exact"/>
              <w:rPr>
                <w:sz w:val="1"/>
                <w:szCs w:val="1"/>
                <w:color w:val="auto"/>
              </w:rPr>
            </w:pPr>
          </w:p>
        </w:tc>
        <w:tc>
          <w:tcPr>
            <w:tcW w:w="60" w:type="dxa"/>
            <w:vAlign w:val="bottom"/>
            <w:tcBorders>
              <w:bottom w:val="single" w:sz="8" w:color="8C8C8C"/>
            </w:tcBorders>
          </w:tcPr>
          <w:p>
            <w:pPr>
              <w:spacing w:after="0" w:line="20" w:lineRule="exact"/>
              <w:rPr>
                <w:sz w:val="1"/>
                <w:szCs w:val="1"/>
                <w:color w:val="auto"/>
              </w:rPr>
            </w:pPr>
          </w:p>
        </w:tc>
        <w:tc>
          <w:tcPr>
            <w:tcW w:w="100" w:type="dxa"/>
            <w:vAlign w:val="bottom"/>
            <w:tcBorders>
              <w:bottom w:val="single" w:sz="8" w:color="8C8C8C"/>
            </w:tcBorders>
          </w:tcPr>
          <w:p>
            <w:pPr>
              <w:spacing w:after="0" w:line="20" w:lineRule="exact"/>
              <w:rPr>
                <w:sz w:val="1"/>
                <w:szCs w:val="1"/>
                <w:color w:val="auto"/>
              </w:rPr>
            </w:pPr>
          </w:p>
        </w:tc>
        <w:tc>
          <w:tcPr>
            <w:tcW w:w="140" w:type="dxa"/>
            <w:vAlign w:val="bottom"/>
            <w:tcBorders>
              <w:bottom w:val="single" w:sz="8" w:color="8C8C8C"/>
            </w:tcBorders>
          </w:tcPr>
          <w:p>
            <w:pPr>
              <w:spacing w:after="0" w:line="20" w:lineRule="exact"/>
              <w:rPr>
                <w:sz w:val="1"/>
                <w:szCs w:val="1"/>
                <w:color w:val="auto"/>
              </w:rPr>
            </w:pPr>
          </w:p>
        </w:tc>
        <w:tc>
          <w:tcPr>
            <w:tcW w:w="10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40" w:type="dxa"/>
            <w:vAlign w:val="bottom"/>
            <w:tcBorders>
              <w:bottom w:val="single" w:sz="8" w:color="8C8C8C"/>
            </w:tcBorders>
          </w:tcPr>
          <w:p>
            <w:pPr>
              <w:spacing w:after="0" w:line="20" w:lineRule="exact"/>
              <w:rPr>
                <w:sz w:val="1"/>
                <w:szCs w:val="1"/>
                <w:color w:val="auto"/>
              </w:rPr>
            </w:pPr>
          </w:p>
        </w:tc>
        <w:tc>
          <w:tcPr>
            <w:tcW w:w="140" w:type="dxa"/>
            <w:vAlign w:val="bottom"/>
            <w:tcBorders>
              <w:bottom w:val="single" w:sz="8" w:color="8C8C8C"/>
            </w:tcBorders>
          </w:tcPr>
          <w:p>
            <w:pPr>
              <w:spacing w:after="0" w:line="20" w:lineRule="exact"/>
              <w:rPr>
                <w:sz w:val="1"/>
                <w:szCs w:val="1"/>
                <w:color w:val="auto"/>
              </w:rPr>
            </w:pPr>
          </w:p>
        </w:tc>
        <w:tc>
          <w:tcPr>
            <w:tcW w:w="200" w:type="dxa"/>
            <w:vAlign w:val="bottom"/>
            <w:tcBorders>
              <w:bottom w:val="single" w:sz="8" w:color="8C8C8C"/>
            </w:tcBorders>
          </w:tcPr>
          <w:p>
            <w:pPr>
              <w:spacing w:after="0" w:line="20" w:lineRule="exact"/>
              <w:rPr>
                <w:sz w:val="1"/>
                <w:szCs w:val="1"/>
                <w:color w:val="auto"/>
              </w:rPr>
            </w:pPr>
          </w:p>
        </w:tc>
        <w:tc>
          <w:tcPr>
            <w:tcW w:w="520" w:type="dxa"/>
            <w:vAlign w:val="bottom"/>
            <w:tcBorders>
              <w:bottom w:val="single" w:sz="8" w:color="8C8C8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80" w:type="dxa"/>
            <w:vAlign w:val="bottom"/>
            <w:gridSpan w:val="31"/>
          </w:tcPr>
          <w:p>
            <w:pPr>
              <w:spacing w:after="0"/>
              <w:rPr>
                <w:rFonts w:ascii="Arial" w:cs="Arial" w:eastAsia="Arial" w:hAnsi="Arial"/>
                <w:sz w:val="16"/>
                <w:szCs w:val="16"/>
                <w:color w:val="0000EE"/>
              </w:rPr>
            </w:pPr>
            <w:hyperlink w:anchor="page89">
              <w:r>
                <w:rPr>
                  <w:rFonts w:ascii="Arial" w:cs="Arial" w:eastAsia="Arial" w:hAnsi="Arial"/>
                  <w:sz w:val="16"/>
                  <w:szCs w:val="16"/>
                  <w:color w:val="0000EE"/>
                </w:rPr>
                <w:t>ELECTRONIC VOTING</w:t>
              </w:r>
            </w:hyperlink>
          </w:p>
        </w:tc>
        <w:tc>
          <w:tcPr>
            <w:tcW w:w="520" w:type="dxa"/>
            <w:vAlign w:val="bottom"/>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0"/>
        </w:trPr>
        <w:tc>
          <w:tcPr>
            <w:tcW w:w="220" w:type="dxa"/>
            <w:vAlign w:val="bottom"/>
            <w:tcBorders>
              <w:top w:val="single" w:sz="8" w:color="0000EE"/>
              <w:bottom w:val="single" w:sz="8" w:color="8C8C8C"/>
            </w:tcBorders>
          </w:tcPr>
          <w:p>
            <w:pPr>
              <w:spacing w:after="0" w:line="20" w:lineRule="exact"/>
              <w:rPr>
                <w:sz w:val="1"/>
                <w:szCs w:val="1"/>
                <w:color w:val="auto"/>
              </w:rPr>
            </w:pPr>
          </w:p>
        </w:tc>
        <w:tc>
          <w:tcPr>
            <w:tcW w:w="220" w:type="dxa"/>
            <w:vAlign w:val="bottom"/>
            <w:tcBorders>
              <w:top w:val="single" w:sz="8" w:color="0000EE"/>
              <w:bottom w:val="single" w:sz="8" w:color="8C8C8C"/>
            </w:tcBorders>
          </w:tcPr>
          <w:p>
            <w:pPr>
              <w:spacing w:after="0" w:line="20" w:lineRule="exact"/>
              <w:rPr>
                <w:sz w:val="1"/>
                <w:szCs w:val="1"/>
                <w:color w:val="auto"/>
              </w:rPr>
            </w:pPr>
          </w:p>
        </w:tc>
        <w:tc>
          <w:tcPr>
            <w:tcW w:w="380" w:type="dxa"/>
            <w:vAlign w:val="bottom"/>
            <w:tcBorders>
              <w:top w:val="single" w:sz="8" w:color="0000EE"/>
              <w:bottom w:val="single" w:sz="8" w:color="8C8C8C"/>
            </w:tcBorders>
          </w:tcPr>
          <w:p>
            <w:pPr>
              <w:spacing w:after="0" w:line="20" w:lineRule="exact"/>
              <w:rPr>
                <w:sz w:val="1"/>
                <w:szCs w:val="1"/>
                <w:color w:val="auto"/>
              </w:rPr>
            </w:pPr>
          </w:p>
        </w:tc>
        <w:tc>
          <w:tcPr>
            <w:tcW w:w="440" w:type="dxa"/>
            <w:vAlign w:val="bottom"/>
            <w:tcBorders>
              <w:top w:val="single" w:sz="8" w:color="0000EE"/>
              <w:bottom w:val="single" w:sz="8" w:color="8C8C8C"/>
            </w:tcBorders>
          </w:tcPr>
          <w:p>
            <w:pPr>
              <w:spacing w:after="0" w:line="20" w:lineRule="exact"/>
              <w:rPr>
                <w:sz w:val="1"/>
                <w:szCs w:val="1"/>
                <w:color w:val="auto"/>
              </w:rPr>
            </w:pPr>
          </w:p>
        </w:tc>
        <w:tc>
          <w:tcPr>
            <w:tcW w:w="80" w:type="dxa"/>
            <w:vAlign w:val="bottom"/>
            <w:tcBorders>
              <w:top w:val="single" w:sz="8" w:color="0000EE"/>
              <w:bottom w:val="single" w:sz="8" w:color="8C8C8C"/>
            </w:tcBorders>
          </w:tcPr>
          <w:p>
            <w:pPr>
              <w:spacing w:after="0" w:line="20" w:lineRule="exact"/>
              <w:rPr>
                <w:sz w:val="1"/>
                <w:szCs w:val="1"/>
                <w:color w:val="auto"/>
              </w:rPr>
            </w:pPr>
          </w:p>
        </w:tc>
        <w:tc>
          <w:tcPr>
            <w:tcW w:w="40" w:type="dxa"/>
            <w:vAlign w:val="bottom"/>
            <w:tcBorders>
              <w:top w:val="single" w:sz="8" w:color="0000EE"/>
              <w:bottom w:val="single" w:sz="8" w:color="8C8C8C"/>
            </w:tcBorders>
          </w:tcPr>
          <w:p>
            <w:pPr>
              <w:spacing w:after="0" w:line="20" w:lineRule="exact"/>
              <w:rPr>
                <w:sz w:val="1"/>
                <w:szCs w:val="1"/>
                <w:color w:val="auto"/>
              </w:rPr>
            </w:pPr>
          </w:p>
        </w:tc>
        <w:tc>
          <w:tcPr>
            <w:tcW w:w="340" w:type="dxa"/>
            <w:vAlign w:val="bottom"/>
            <w:tcBorders>
              <w:top w:val="single" w:sz="8" w:color="0000EE"/>
              <w:bottom w:val="single" w:sz="8" w:color="8C8C8C"/>
            </w:tcBorders>
          </w:tcPr>
          <w:p>
            <w:pPr>
              <w:spacing w:after="0" w:line="20" w:lineRule="exact"/>
              <w:rPr>
                <w:sz w:val="1"/>
                <w:szCs w:val="1"/>
                <w:color w:val="auto"/>
              </w:rPr>
            </w:pPr>
          </w:p>
        </w:tc>
        <w:tc>
          <w:tcPr>
            <w:tcW w:w="100" w:type="dxa"/>
            <w:vAlign w:val="bottom"/>
            <w:tcBorders>
              <w:bottom w:val="single" w:sz="8" w:color="8C8C8C"/>
            </w:tcBorders>
          </w:tcPr>
          <w:p>
            <w:pPr>
              <w:spacing w:after="0" w:line="20" w:lineRule="exact"/>
              <w:rPr>
                <w:sz w:val="1"/>
                <w:szCs w:val="1"/>
                <w:color w:val="auto"/>
              </w:rPr>
            </w:pPr>
          </w:p>
        </w:tc>
        <w:tc>
          <w:tcPr>
            <w:tcW w:w="240" w:type="dxa"/>
            <w:vAlign w:val="bottom"/>
            <w:tcBorders>
              <w:bottom w:val="single" w:sz="8" w:color="8C8C8C"/>
            </w:tcBorders>
          </w:tcPr>
          <w:p>
            <w:pPr>
              <w:spacing w:after="0" w:line="20" w:lineRule="exact"/>
              <w:rPr>
                <w:sz w:val="1"/>
                <w:szCs w:val="1"/>
                <w:color w:val="auto"/>
              </w:rPr>
            </w:pPr>
          </w:p>
        </w:tc>
        <w:tc>
          <w:tcPr>
            <w:tcW w:w="260" w:type="dxa"/>
            <w:vAlign w:val="bottom"/>
            <w:tcBorders>
              <w:bottom w:val="single" w:sz="8" w:color="8C8C8C"/>
            </w:tcBorders>
          </w:tcPr>
          <w:p>
            <w:pPr>
              <w:spacing w:after="0" w:line="20" w:lineRule="exact"/>
              <w:rPr>
                <w:sz w:val="1"/>
                <w:szCs w:val="1"/>
                <w:color w:val="auto"/>
              </w:rPr>
            </w:pPr>
          </w:p>
        </w:tc>
        <w:tc>
          <w:tcPr>
            <w:tcW w:w="80" w:type="dxa"/>
            <w:vAlign w:val="bottom"/>
            <w:tcBorders>
              <w:bottom w:val="single" w:sz="8" w:color="8C8C8C"/>
            </w:tcBorders>
          </w:tcPr>
          <w:p>
            <w:pPr>
              <w:spacing w:after="0" w:line="20" w:lineRule="exact"/>
              <w:rPr>
                <w:sz w:val="1"/>
                <w:szCs w:val="1"/>
                <w:color w:val="auto"/>
              </w:rPr>
            </w:pPr>
          </w:p>
        </w:tc>
        <w:tc>
          <w:tcPr>
            <w:tcW w:w="100" w:type="dxa"/>
            <w:vAlign w:val="bottom"/>
            <w:tcBorders>
              <w:bottom w:val="single" w:sz="8" w:color="8C8C8C"/>
            </w:tcBorders>
          </w:tcPr>
          <w:p>
            <w:pPr>
              <w:spacing w:after="0" w:line="20" w:lineRule="exact"/>
              <w:rPr>
                <w:sz w:val="1"/>
                <w:szCs w:val="1"/>
                <w:color w:val="auto"/>
              </w:rPr>
            </w:pPr>
          </w:p>
        </w:tc>
        <w:tc>
          <w:tcPr>
            <w:tcW w:w="80" w:type="dxa"/>
            <w:vAlign w:val="bottom"/>
            <w:tcBorders>
              <w:bottom w:val="single" w:sz="8" w:color="8C8C8C"/>
            </w:tcBorders>
          </w:tcPr>
          <w:p>
            <w:pPr>
              <w:spacing w:after="0" w:line="20" w:lineRule="exact"/>
              <w:rPr>
                <w:sz w:val="1"/>
                <w:szCs w:val="1"/>
                <w:color w:val="auto"/>
              </w:rPr>
            </w:pPr>
          </w:p>
        </w:tc>
        <w:tc>
          <w:tcPr>
            <w:tcW w:w="260" w:type="dxa"/>
            <w:vAlign w:val="bottom"/>
            <w:tcBorders>
              <w:bottom w:val="single" w:sz="8" w:color="8C8C8C"/>
            </w:tcBorders>
          </w:tcPr>
          <w:p>
            <w:pPr>
              <w:spacing w:after="0" w:line="20" w:lineRule="exact"/>
              <w:rPr>
                <w:sz w:val="1"/>
                <w:szCs w:val="1"/>
                <w:color w:val="auto"/>
              </w:rPr>
            </w:pPr>
          </w:p>
        </w:tc>
        <w:tc>
          <w:tcPr>
            <w:tcW w:w="180" w:type="dxa"/>
            <w:vAlign w:val="bottom"/>
            <w:tcBorders>
              <w:bottom w:val="single" w:sz="8" w:color="8C8C8C"/>
            </w:tcBorders>
          </w:tcPr>
          <w:p>
            <w:pPr>
              <w:spacing w:after="0" w:line="20" w:lineRule="exact"/>
              <w:rPr>
                <w:sz w:val="1"/>
                <w:szCs w:val="1"/>
                <w:color w:val="auto"/>
              </w:rPr>
            </w:pPr>
          </w:p>
        </w:tc>
        <w:tc>
          <w:tcPr>
            <w:tcW w:w="160" w:type="dxa"/>
            <w:vAlign w:val="bottom"/>
            <w:tcBorders>
              <w:bottom w:val="single" w:sz="8" w:color="8C8C8C"/>
            </w:tcBorders>
          </w:tcPr>
          <w:p>
            <w:pPr>
              <w:spacing w:after="0" w:line="20" w:lineRule="exact"/>
              <w:rPr>
                <w:sz w:val="1"/>
                <w:szCs w:val="1"/>
                <w:color w:val="auto"/>
              </w:rPr>
            </w:pPr>
          </w:p>
        </w:tc>
        <w:tc>
          <w:tcPr>
            <w:tcW w:w="4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500" w:type="dxa"/>
            <w:vAlign w:val="bottom"/>
            <w:tcBorders>
              <w:bottom w:val="single" w:sz="8" w:color="8C8C8C"/>
            </w:tcBorders>
          </w:tcPr>
          <w:p>
            <w:pPr>
              <w:spacing w:after="0" w:line="20" w:lineRule="exact"/>
              <w:rPr>
                <w:sz w:val="1"/>
                <w:szCs w:val="1"/>
                <w:color w:val="auto"/>
              </w:rPr>
            </w:pPr>
          </w:p>
        </w:tc>
        <w:tc>
          <w:tcPr>
            <w:tcW w:w="140" w:type="dxa"/>
            <w:vAlign w:val="bottom"/>
            <w:tcBorders>
              <w:bottom w:val="single" w:sz="8" w:color="8C8C8C"/>
            </w:tcBorders>
          </w:tcPr>
          <w:p>
            <w:pPr>
              <w:spacing w:after="0" w:line="20" w:lineRule="exact"/>
              <w:rPr>
                <w:sz w:val="1"/>
                <w:szCs w:val="1"/>
                <w:color w:val="auto"/>
              </w:rPr>
            </w:pPr>
          </w:p>
        </w:tc>
        <w:tc>
          <w:tcPr>
            <w:tcW w:w="4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140" w:type="dxa"/>
            <w:vAlign w:val="bottom"/>
            <w:tcBorders>
              <w:bottom w:val="single" w:sz="8" w:color="8C8C8C"/>
            </w:tcBorders>
          </w:tcPr>
          <w:p>
            <w:pPr>
              <w:spacing w:after="0" w:line="20" w:lineRule="exact"/>
              <w:rPr>
                <w:sz w:val="1"/>
                <w:szCs w:val="1"/>
                <w:color w:val="auto"/>
              </w:rPr>
            </w:pPr>
          </w:p>
        </w:tc>
        <w:tc>
          <w:tcPr>
            <w:tcW w:w="60" w:type="dxa"/>
            <w:vAlign w:val="bottom"/>
            <w:tcBorders>
              <w:bottom w:val="single" w:sz="8" w:color="8C8C8C"/>
            </w:tcBorders>
          </w:tcPr>
          <w:p>
            <w:pPr>
              <w:spacing w:after="0" w:line="20" w:lineRule="exact"/>
              <w:rPr>
                <w:sz w:val="1"/>
                <w:szCs w:val="1"/>
                <w:color w:val="auto"/>
              </w:rPr>
            </w:pPr>
          </w:p>
        </w:tc>
        <w:tc>
          <w:tcPr>
            <w:tcW w:w="100" w:type="dxa"/>
            <w:vAlign w:val="bottom"/>
            <w:tcBorders>
              <w:bottom w:val="single" w:sz="8" w:color="8C8C8C"/>
            </w:tcBorders>
          </w:tcPr>
          <w:p>
            <w:pPr>
              <w:spacing w:after="0" w:line="20" w:lineRule="exact"/>
              <w:rPr>
                <w:sz w:val="1"/>
                <w:szCs w:val="1"/>
                <w:color w:val="auto"/>
              </w:rPr>
            </w:pPr>
          </w:p>
        </w:tc>
        <w:tc>
          <w:tcPr>
            <w:tcW w:w="140" w:type="dxa"/>
            <w:vAlign w:val="bottom"/>
            <w:tcBorders>
              <w:bottom w:val="single" w:sz="8" w:color="8C8C8C"/>
            </w:tcBorders>
          </w:tcPr>
          <w:p>
            <w:pPr>
              <w:spacing w:after="0" w:line="20" w:lineRule="exact"/>
              <w:rPr>
                <w:sz w:val="1"/>
                <w:szCs w:val="1"/>
                <w:color w:val="auto"/>
              </w:rPr>
            </w:pPr>
          </w:p>
        </w:tc>
        <w:tc>
          <w:tcPr>
            <w:tcW w:w="10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40" w:type="dxa"/>
            <w:vAlign w:val="bottom"/>
            <w:tcBorders>
              <w:bottom w:val="single" w:sz="8" w:color="8C8C8C"/>
            </w:tcBorders>
          </w:tcPr>
          <w:p>
            <w:pPr>
              <w:spacing w:after="0" w:line="20" w:lineRule="exact"/>
              <w:rPr>
                <w:sz w:val="1"/>
                <w:szCs w:val="1"/>
                <w:color w:val="auto"/>
              </w:rPr>
            </w:pPr>
          </w:p>
        </w:tc>
        <w:tc>
          <w:tcPr>
            <w:tcW w:w="140" w:type="dxa"/>
            <w:vAlign w:val="bottom"/>
            <w:tcBorders>
              <w:bottom w:val="single" w:sz="8" w:color="8C8C8C"/>
            </w:tcBorders>
          </w:tcPr>
          <w:p>
            <w:pPr>
              <w:spacing w:after="0" w:line="20" w:lineRule="exact"/>
              <w:rPr>
                <w:sz w:val="1"/>
                <w:szCs w:val="1"/>
                <w:color w:val="auto"/>
              </w:rPr>
            </w:pPr>
          </w:p>
        </w:tc>
        <w:tc>
          <w:tcPr>
            <w:tcW w:w="200" w:type="dxa"/>
            <w:vAlign w:val="bottom"/>
            <w:tcBorders>
              <w:bottom w:val="single" w:sz="8" w:color="8C8C8C"/>
            </w:tcBorders>
          </w:tcPr>
          <w:p>
            <w:pPr>
              <w:spacing w:after="0" w:line="20" w:lineRule="exact"/>
              <w:rPr>
                <w:sz w:val="1"/>
                <w:szCs w:val="1"/>
                <w:color w:val="auto"/>
              </w:rPr>
            </w:pPr>
          </w:p>
        </w:tc>
        <w:tc>
          <w:tcPr>
            <w:tcW w:w="520" w:type="dxa"/>
            <w:vAlign w:val="bottom"/>
            <w:tcBorders>
              <w:bottom w:val="single" w:sz="8" w:color="8C8C8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80" w:type="dxa"/>
            <w:vAlign w:val="bottom"/>
            <w:gridSpan w:val="31"/>
          </w:tcPr>
          <w:p>
            <w:pPr>
              <w:spacing w:after="0"/>
              <w:rPr>
                <w:rFonts w:ascii="Arial" w:cs="Arial" w:eastAsia="Arial" w:hAnsi="Arial"/>
                <w:sz w:val="16"/>
                <w:szCs w:val="16"/>
                <w:color w:val="0000EE"/>
              </w:rPr>
            </w:pPr>
            <w:hyperlink w:anchor="page90">
              <w:r>
                <w:rPr>
                  <w:rFonts w:ascii="Arial" w:cs="Arial" w:eastAsia="Arial" w:hAnsi="Arial"/>
                  <w:sz w:val="16"/>
                  <w:szCs w:val="16"/>
                  <w:color w:val="0000EE"/>
                </w:rPr>
                <w:t>APPENDIX A — RECONCILIATION OF NON-GAAP TO GAAP</w:t>
              </w:r>
            </w:hyperlink>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540" w:type="dxa"/>
            <w:vAlign w:val="bottom"/>
            <w:tcBorders>
              <w:top w:val="single" w:sz="8" w:color="0000EE"/>
            </w:tcBorders>
            <w:gridSpan w:val="29"/>
          </w:tcPr>
          <w:p>
            <w:pPr>
              <w:spacing w:after="0" w:line="169" w:lineRule="exact"/>
              <w:rPr>
                <w:rFonts w:ascii="Arial" w:cs="Arial" w:eastAsia="Arial" w:hAnsi="Arial"/>
                <w:sz w:val="16"/>
                <w:szCs w:val="16"/>
                <w:color w:val="0000EE"/>
              </w:rPr>
            </w:pPr>
            <w:hyperlink w:anchor="page90">
              <w:r>
                <w:rPr>
                  <w:rFonts w:ascii="Arial" w:cs="Arial" w:eastAsia="Arial" w:hAnsi="Arial"/>
                  <w:sz w:val="16"/>
                  <w:szCs w:val="16"/>
                  <w:color w:val="0000EE"/>
                </w:rPr>
                <w:t>FINANCIAL MEASURES</w:t>
              </w:r>
            </w:hyperlink>
          </w:p>
        </w:tc>
        <w:tc>
          <w:tcPr>
            <w:tcW w:w="340" w:type="dxa"/>
            <w:vAlign w:val="bottom"/>
            <w:gridSpan w:val="2"/>
          </w:tcPr>
          <w:p>
            <w:pPr>
              <w:spacing w:after="0"/>
              <w:rPr>
                <w:sz w:val="14"/>
                <w:szCs w:val="14"/>
                <w:color w:val="auto"/>
              </w:rPr>
            </w:pPr>
          </w:p>
        </w:tc>
        <w:tc>
          <w:tcPr>
            <w:tcW w:w="520" w:type="dxa"/>
            <w:vAlign w:val="bottom"/>
          </w:tcPr>
          <w:p>
            <w:pPr>
              <w:jc w:val="right"/>
              <w:spacing w:after="0" w:line="169" w:lineRule="exact"/>
              <w:rPr>
                <w:sz w:val="20"/>
                <w:szCs w:val="20"/>
                <w:color w:val="auto"/>
              </w:rPr>
            </w:pPr>
            <w:r>
              <w:rPr>
                <w:rFonts w:ascii="Arial" w:cs="Arial" w:eastAsia="Arial" w:hAnsi="Arial"/>
                <w:sz w:val="16"/>
                <w:szCs w:val="16"/>
                <w:color w:val="auto"/>
              </w:rPr>
              <w:t>A-1</w:t>
            </w:r>
          </w:p>
        </w:tc>
        <w:tc>
          <w:tcPr>
            <w:tcW w:w="0" w:type="dxa"/>
            <w:vAlign w:val="bottom"/>
          </w:tcPr>
          <w:p>
            <w:pPr>
              <w:spacing w:after="0"/>
              <w:rPr>
                <w:sz w:val="1"/>
                <w:szCs w:val="1"/>
                <w:color w:val="auto"/>
              </w:rPr>
            </w:pPr>
          </w:p>
        </w:tc>
      </w:tr>
      <w:tr>
        <w:trPr>
          <w:trHeight w:val="20"/>
        </w:trPr>
        <w:tc>
          <w:tcPr>
            <w:tcW w:w="220" w:type="dxa"/>
            <w:vAlign w:val="bottom"/>
            <w:tcBorders>
              <w:top w:val="single" w:sz="8" w:color="0000EE"/>
              <w:bottom w:val="single" w:sz="8" w:color="8C8C8C"/>
            </w:tcBorders>
          </w:tcPr>
          <w:p>
            <w:pPr>
              <w:spacing w:after="0" w:line="20" w:lineRule="exact"/>
              <w:rPr>
                <w:sz w:val="1"/>
                <w:szCs w:val="1"/>
                <w:color w:val="auto"/>
              </w:rPr>
            </w:pPr>
          </w:p>
        </w:tc>
        <w:tc>
          <w:tcPr>
            <w:tcW w:w="220" w:type="dxa"/>
            <w:vAlign w:val="bottom"/>
            <w:tcBorders>
              <w:top w:val="single" w:sz="8" w:color="0000EE"/>
              <w:bottom w:val="single" w:sz="8" w:color="8C8C8C"/>
            </w:tcBorders>
          </w:tcPr>
          <w:p>
            <w:pPr>
              <w:spacing w:after="0" w:line="20" w:lineRule="exact"/>
              <w:rPr>
                <w:sz w:val="1"/>
                <w:szCs w:val="1"/>
                <w:color w:val="auto"/>
              </w:rPr>
            </w:pPr>
          </w:p>
        </w:tc>
        <w:tc>
          <w:tcPr>
            <w:tcW w:w="380" w:type="dxa"/>
            <w:vAlign w:val="bottom"/>
            <w:tcBorders>
              <w:top w:val="single" w:sz="8" w:color="0000EE"/>
              <w:bottom w:val="single" w:sz="8" w:color="8C8C8C"/>
            </w:tcBorders>
          </w:tcPr>
          <w:p>
            <w:pPr>
              <w:spacing w:after="0" w:line="20" w:lineRule="exact"/>
              <w:rPr>
                <w:sz w:val="1"/>
                <w:szCs w:val="1"/>
                <w:color w:val="auto"/>
              </w:rPr>
            </w:pPr>
          </w:p>
        </w:tc>
        <w:tc>
          <w:tcPr>
            <w:tcW w:w="440" w:type="dxa"/>
            <w:vAlign w:val="bottom"/>
            <w:tcBorders>
              <w:top w:val="single" w:sz="8" w:color="0000EE"/>
              <w:bottom w:val="single" w:sz="8" w:color="8C8C8C"/>
            </w:tcBorders>
          </w:tcPr>
          <w:p>
            <w:pPr>
              <w:spacing w:after="0" w:line="20" w:lineRule="exact"/>
              <w:rPr>
                <w:sz w:val="1"/>
                <w:szCs w:val="1"/>
                <w:color w:val="auto"/>
              </w:rPr>
            </w:pPr>
          </w:p>
        </w:tc>
        <w:tc>
          <w:tcPr>
            <w:tcW w:w="80" w:type="dxa"/>
            <w:vAlign w:val="bottom"/>
            <w:tcBorders>
              <w:top w:val="single" w:sz="8" w:color="0000EE"/>
              <w:bottom w:val="single" w:sz="8" w:color="8C8C8C"/>
            </w:tcBorders>
          </w:tcPr>
          <w:p>
            <w:pPr>
              <w:spacing w:after="0" w:line="20" w:lineRule="exact"/>
              <w:rPr>
                <w:sz w:val="1"/>
                <w:szCs w:val="1"/>
                <w:color w:val="auto"/>
              </w:rPr>
            </w:pPr>
          </w:p>
        </w:tc>
        <w:tc>
          <w:tcPr>
            <w:tcW w:w="40" w:type="dxa"/>
            <w:vAlign w:val="bottom"/>
            <w:tcBorders>
              <w:top w:val="single" w:sz="8" w:color="0000EE"/>
              <w:bottom w:val="single" w:sz="8" w:color="8C8C8C"/>
            </w:tcBorders>
          </w:tcPr>
          <w:p>
            <w:pPr>
              <w:spacing w:after="0" w:line="20" w:lineRule="exact"/>
              <w:rPr>
                <w:sz w:val="1"/>
                <w:szCs w:val="1"/>
                <w:color w:val="auto"/>
              </w:rPr>
            </w:pPr>
          </w:p>
        </w:tc>
        <w:tc>
          <w:tcPr>
            <w:tcW w:w="340" w:type="dxa"/>
            <w:vAlign w:val="bottom"/>
            <w:tcBorders>
              <w:top w:val="single" w:sz="8" w:color="0000EE"/>
              <w:bottom w:val="single" w:sz="8" w:color="8C8C8C"/>
            </w:tcBorders>
          </w:tcPr>
          <w:p>
            <w:pPr>
              <w:spacing w:after="0" w:line="20" w:lineRule="exact"/>
              <w:rPr>
                <w:sz w:val="1"/>
                <w:szCs w:val="1"/>
                <w:color w:val="auto"/>
              </w:rPr>
            </w:pPr>
          </w:p>
        </w:tc>
        <w:tc>
          <w:tcPr>
            <w:tcW w:w="100" w:type="dxa"/>
            <w:vAlign w:val="bottom"/>
            <w:tcBorders>
              <w:top w:val="single" w:sz="8" w:color="0000EE"/>
              <w:bottom w:val="single" w:sz="8" w:color="8C8C8C"/>
            </w:tcBorders>
          </w:tcPr>
          <w:p>
            <w:pPr>
              <w:spacing w:after="0" w:line="20" w:lineRule="exact"/>
              <w:rPr>
                <w:sz w:val="1"/>
                <w:szCs w:val="1"/>
                <w:color w:val="auto"/>
              </w:rPr>
            </w:pPr>
          </w:p>
        </w:tc>
        <w:tc>
          <w:tcPr>
            <w:tcW w:w="240" w:type="dxa"/>
            <w:vAlign w:val="bottom"/>
            <w:tcBorders>
              <w:bottom w:val="single" w:sz="8" w:color="8C8C8C"/>
            </w:tcBorders>
          </w:tcPr>
          <w:p>
            <w:pPr>
              <w:spacing w:after="0" w:line="20" w:lineRule="exact"/>
              <w:rPr>
                <w:sz w:val="1"/>
                <w:szCs w:val="1"/>
                <w:color w:val="auto"/>
              </w:rPr>
            </w:pPr>
          </w:p>
        </w:tc>
        <w:tc>
          <w:tcPr>
            <w:tcW w:w="260" w:type="dxa"/>
            <w:vAlign w:val="bottom"/>
            <w:tcBorders>
              <w:bottom w:val="single" w:sz="8" w:color="8C8C8C"/>
            </w:tcBorders>
          </w:tcPr>
          <w:p>
            <w:pPr>
              <w:spacing w:after="0" w:line="20" w:lineRule="exact"/>
              <w:rPr>
                <w:sz w:val="1"/>
                <w:szCs w:val="1"/>
                <w:color w:val="auto"/>
              </w:rPr>
            </w:pPr>
          </w:p>
        </w:tc>
        <w:tc>
          <w:tcPr>
            <w:tcW w:w="80" w:type="dxa"/>
            <w:vAlign w:val="bottom"/>
            <w:tcBorders>
              <w:bottom w:val="single" w:sz="8" w:color="8C8C8C"/>
            </w:tcBorders>
          </w:tcPr>
          <w:p>
            <w:pPr>
              <w:spacing w:after="0" w:line="20" w:lineRule="exact"/>
              <w:rPr>
                <w:sz w:val="1"/>
                <w:szCs w:val="1"/>
                <w:color w:val="auto"/>
              </w:rPr>
            </w:pPr>
          </w:p>
        </w:tc>
        <w:tc>
          <w:tcPr>
            <w:tcW w:w="100" w:type="dxa"/>
            <w:vAlign w:val="bottom"/>
            <w:tcBorders>
              <w:bottom w:val="single" w:sz="8" w:color="8C8C8C"/>
            </w:tcBorders>
          </w:tcPr>
          <w:p>
            <w:pPr>
              <w:spacing w:after="0" w:line="20" w:lineRule="exact"/>
              <w:rPr>
                <w:sz w:val="1"/>
                <w:szCs w:val="1"/>
                <w:color w:val="auto"/>
              </w:rPr>
            </w:pPr>
          </w:p>
        </w:tc>
        <w:tc>
          <w:tcPr>
            <w:tcW w:w="80" w:type="dxa"/>
            <w:vAlign w:val="bottom"/>
            <w:tcBorders>
              <w:bottom w:val="single" w:sz="8" w:color="8C8C8C"/>
            </w:tcBorders>
          </w:tcPr>
          <w:p>
            <w:pPr>
              <w:spacing w:after="0" w:line="20" w:lineRule="exact"/>
              <w:rPr>
                <w:sz w:val="1"/>
                <w:szCs w:val="1"/>
                <w:color w:val="auto"/>
              </w:rPr>
            </w:pPr>
          </w:p>
        </w:tc>
        <w:tc>
          <w:tcPr>
            <w:tcW w:w="260" w:type="dxa"/>
            <w:vAlign w:val="bottom"/>
            <w:tcBorders>
              <w:bottom w:val="single" w:sz="8" w:color="8C8C8C"/>
            </w:tcBorders>
          </w:tcPr>
          <w:p>
            <w:pPr>
              <w:spacing w:after="0" w:line="20" w:lineRule="exact"/>
              <w:rPr>
                <w:sz w:val="1"/>
                <w:szCs w:val="1"/>
                <w:color w:val="auto"/>
              </w:rPr>
            </w:pPr>
          </w:p>
        </w:tc>
        <w:tc>
          <w:tcPr>
            <w:tcW w:w="180" w:type="dxa"/>
            <w:vAlign w:val="bottom"/>
            <w:tcBorders>
              <w:bottom w:val="single" w:sz="8" w:color="8C8C8C"/>
            </w:tcBorders>
          </w:tcPr>
          <w:p>
            <w:pPr>
              <w:spacing w:after="0" w:line="20" w:lineRule="exact"/>
              <w:rPr>
                <w:sz w:val="1"/>
                <w:szCs w:val="1"/>
                <w:color w:val="auto"/>
              </w:rPr>
            </w:pPr>
          </w:p>
        </w:tc>
        <w:tc>
          <w:tcPr>
            <w:tcW w:w="160" w:type="dxa"/>
            <w:vAlign w:val="bottom"/>
            <w:tcBorders>
              <w:bottom w:val="single" w:sz="8" w:color="8C8C8C"/>
            </w:tcBorders>
          </w:tcPr>
          <w:p>
            <w:pPr>
              <w:spacing w:after="0" w:line="20" w:lineRule="exact"/>
              <w:rPr>
                <w:sz w:val="1"/>
                <w:szCs w:val="1"/>
                <w:color w:val="auto"/>
              </w:rPr>
            </w:pPr>
          </w:p>
        </w:tc>
        <w:tc>
          <w:tcPr>
            <w:tcW w:w="4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500" w:type="dxa"/>
            <w:vAlign w:val="bottom"/>
            <w:tcBorders>
              <w:bottom w:val="single" w:sz="8" w:color="8C8C8C"/>
            </w:tcBorders>
          </w:tcPr>
          <w:p>
            <w:pPr>
              <w:spacing w:after="0" w:line="20" w:lineRule="exact"/>
              <w:rPr>
                <w:sz w:val="1"/>
                <w:szCs w:val="1"/>
                <w:color w:val="auto"/>
              </w:rPr>
            </w:pPr>
          </w:p>
        </w:tc>
        <w:tc>
          <w:tcPr>
            <w:tcW w:w="140" w:type="dxa"/>
            <w:vAlign w:val="bottom"/>
            <w:tcBorders>
              <w:bottom w:val="single" w:sz="8" w:color="8C8C8C"/>
            </w:tcBorders>
          </w:tcPr>
          <w:p>
            <w:pPr>
              <w:spacing w:after="0" w:line="20" w:lineRule="exact"/>
              <w:rPr>
                <w:sz w:val="1"/>
                <w:szCs w:val="1"/>
                <w:color w:val="auto"/>
              </w:rPr>
            </w:pPr>
          </w:p>
        </w:tc>
        <w:tc>
          <w:tcPr>
            <w:tcW w:w="4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140" w:type="dxa"/>
            <w:vAlign w:val="bottom"/>
            <w:tcBorders>
              <w:bottom w:val="single" w:sz="8" w:color="8C8C8C"/>
            </w:tcBorders>
          </w:tcPr>
          <w:p>
            <w:pPr>
              <w:spacing w:after="0" w:line="20" w:lineRule="exact"/>
              <w:rPr>
                <w:sz w:val="1"/>
                <w:szCs w:val="1"/>
                <w:color w:val="auto"/>
              </w:rPr>
            </w:pPr>
          </w:p>
        </w:tc>
        <w:tc>
          <w:tcPr>
            <w:tcW w:w="60" w:type="dxa"/>
            <w:vAlign w:val="bottom"/>
            <w:tcBorders>
              <w:bottom w:val="single" w:sz="8" w:color="8C8C8C"/>
            </w:tcBorders>
          </w:tcPr>
          <w:p>
            <w:pPr>
              <w:spacing w:after="0" w:line="20" w:lineRule="exact"/>
              <w:rPr>
                <w:sz w:val="1"/>
                <w:szCs w:val="1"/>
                <w:color w:val="auto"/>
              </w:rPr>
            </w:pPr>
          </w:p>
        </w:tc>
        <w:tc>
          <w:tcPr>
            <w:tcW w:w="100" w:type="dxa"/>
            <w:vAlign w:val="bottom"/>
            <w:tcBorders>
              <w:bottom w:val="single" w:sz="8" w:color="8C8C8C"/>
            </w:tcBorders>
          </w:tcPr>
          <w:p>
            <w:pPr>
              <w:spacing w:after="0" w:line="20" w:lineRule="exact"/>
              <w:rPr>
                <w:sz w:val="1"/>
                <w:szCs w:val="1"/>
                <w:color w:val="auto"/>
              </w:rPr>
            </w:pPr>
          </w:p>
        </w:tc>
        <w:tc>
          <w:tcPr>
            <w:tcW w:w="140" w:type="dxa"/>
            <w:vAlign w:val="bottom"/>
            <w:tcBorders>
              <w:bottom w:val="single" w:sz="8" w:color="8C8C8C"/>
            </w:tcBorders>
          </w:tcPr>
          <w:p>
            <w:pPr>
              <w:spacing w:after="0" w:line="20" w:lineRule="exact"/>
              <w:rPr>
                <w:sz w:val="1"/>
                <w:szCs w:val="1"/>
                <w:color w:val="auto"/>
              </w:rPr>
            </w:pPr>
          </w:p>
        </w:tc>
        <w:tc>
          <w:tcPr>
            <w:tcW w:w="10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40" w:type="dxa"/>
            <w:vAlign w:val="bottom"/>
            <w:tcBorders>
              <w:bottom w:val="single" w:sz="8" w:color="8C8C8C"/>
            </w:tcBorders>
          </w:tcPr>
          <w:p>
            <w:pPr>
              <w:spacing w:after="0" w:line="20" w:lineRule="exact"/>
              <w:rPr>
                <w:sz w:val="1"/>
                <w:szCs w:val="1"/>
                <w:color w:val="auto"/>
              </w:rPr>
            </w:pPr>
          </w:p>
        </w:tc>
        <w:tc>
          <w:tcPr>
            <w:tcW w:w="140" w:type="dxa"/>
            <w:vAlign w:val="bottom"/>
            <w:tcBorders>
              <w:bottom w:val="single" w:sz="8" w:color="8C8C8C"/>
            </w:tcBorders>
          </w:tcPr>
          <w:p>
            <w:pPr>
              <w:spacing w:after="0" w:line="20" w:lineRule="exact"/>
              <w:rPr>
                <w:sz w:val="1"/>
                <w:szCs w:val="1"/>
                <w:color w:val="auto"/>
              </w:rPr>
            </w:pPr>
          </w:p>
        </w:tc>
        <w:tc>
          <w:tcPr>
            <w:tcW w:w="200" w:type="dxa"/>
            <w:vAlign w:val="bottom"/>
            <w:tcBorders>
              <w:bottom w:val="single" w:sz="8" w:color="8C8C8C"/>
            </w:tcBorders>
          </w:tcPr>
          <w:p>
            <w:pPr>
              <w:spacing w:after="0" w:line="20" w:lineRule="exact"/>
              <w:rPr>
                <w:sz w:val="1"/>
                <w:szCs w:val="1"/>
                <w:color w:val="auto"/>
              </w:rPr>
            </w:pPr>
          </w:p>
        </w:tc>
        <w:tc>
          <w:tcPr>
            <w:tcW w:w="520" w:type="dxa"/>
            <w:vAlign w:val="bottom"/>
            <w:tcBorders>
              <w:bottom w:val="single" w:sz="8" w:color="8C8C8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40" w:type="dxa"/>
            <w:vAlign w:val="bottom"/>
            <w:tcBorders>
              <w:bottom w:val="single" w:sz="8" w:color="0000EE"/>
            </w:tcBorders>
            <w:gridSpan w:val="24"/>
          </w:tcPr>
          <w:p>
            <w:pPr>
              <w:spacing w:after="0"/>
              <w:rPr>
                <w:rFonts w:ascii="Arial" w:cs="Arial" w:eastAsia="Arial" w:hAnsi="Arial"/>
                <w:sz w:val="16"/>
                <w:szCs w:val="16"/>
                <w:color w:val="0000EE"/>
              </w:rPr>
            </w:pPr>
            <w:hyperlink w:anchor="page92">
              <w:r>
                <w:rPr>
                  <w:rFonts w:ascii="Arial" w:cs="Arial" w:eastAsia="Arial" w:hAnsi="Arial"/>
                  <w:sz w:val="16"/>
                  <w:szCs w:val="16"/>
                  <w:color w:val="0000EE"/>
                </w:rPr>
                <w:t>APPENDIX B — ANALOG DEVICES, INC. 2020 EQUITY</w:t>
              </w:r>
            </w:hyperlink>
          </w:p>
        </w:tc>
        <w:tc>
          <w:tcPr>
            <w:tcW w:w="740" w:type="dxa"/>
            <w:vAlign w:val="bottom"/>
            <w:gridSpan w:val="7"/>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880" w:type="dxa"/>
            <w:vAlign w:val="bottom"/>
            <w:gridSpan w:val="31"/>
          </w:tcPr>
          <w:p>
            <w:pPr>
              <w:spacing w:after="0" w:line="169" w:lineRule="exact"/>
              <w:rPr>
                <w:rFonts w:ascii="Arial" w:cs="Arial" w:eastAsia="Arial" w:hAnsi="Arial"/>
                <w:sz w:val="16"/>
                <w:szCs w:val="16"/>
                <w:color w:val="0000EE"/>
              </w:rPr>
            </w:pPr>
            <w:hyperlink w:anchor="page92">
              <w:r>
                <w:rPr>
                  <w:rFonts w:ascii="Arial" w:cs="Arial" w:eastAsia="Arial" w:hAnsi="Arial"/>
                  <w:sz w:val="16"/>
                  <w:szCs w:val="16"/>
                  <w:color w:val="0000EE"/>
                </w:rPr>
                <w:t>INCENTIVE PLAN</w:t>
              </w:r>
            </w:hyperlink>
          </w:p>
        </w:tc>
        <w:tc>
          <w:tcPr>
            <w:tcW w:w="520" w:type="dxa"/>
            <w:vAlign w:val="bottom"/>
          </w:tcPr>
          <w:p>
            <w:pPr>
              <w:jc w:val="right"/>
              <w:spacing w:after="0" w:line="169" w:lineRule="exact"/>
              <w:rPr>
                <w:sz w:val="20"/>
                <w:szCs w:val="20"/>
                <w:color w:val="auto"/>
              </w:rPr>
            </w:pPr>
            <w:r>
              <w:rPr>
                <w:rFonts w:ascii="Arial" w:cs="Arial" w:eastAsia="Arial" w:hAnsi="Arial"/>
                <w:sz w:val="16"/>
                <w:szCs w:val="16"/>
                <w:color w:val="auto"/>
              </w:rPr>
              <w:t>B-1</w:t>
            </w:r>
          </w:p>
        </w:tc>
        <w:tc>
          <w:tcPr>
            <w:tcW w:w="0" w:type="dxa"/>
            <w:vAlign w:val="bottom"/>
          </w:tcPr>
          <w:p>
            <w:pPr>
              <w:spacing w:after="0"/>
              <w:rPr>
                <w:sz w:val="1"/>
                <w:szCs w:val="1"/>
                <w:color w:val="auto"/>
              </w:rPr>
            </w:pPr>
          </w:p>
        </w:tc>
      </w:tr>
      <w:tr>
        <w:trPr>
          <w:trHeight w:val="20"/>
        </w:trPr>
        <w:tc>
          <w:tcPr>
            <w:tcW w:w="220" w:type="dxa"/>
            <w:vAlign w:val="bottom"/>
            <w:tcBorders>
              <w:top w:val="single" w:sz="8" w:color="0000EE"/>
              <w:bottom w:val="single" w:sz="8" w:color="8C8C8C"/>
            </w:tcBorders>
          </w:tcPr>
          <w:p>
            <w:pPr>
              <w:spacing w:after="0" w:line="20" w:lineRule="exact"/>
              <w:rPr>
                <w:sz w:val="1"/>
                <w:szCs w:val="1"/>
                <w:color w:val="auto"/>
              </w:rPr>
            </w:pPr>
          </w:p>
        </w:tc>
        <w:tc>
          <w:tcPr>
            <w:tcW w:w="220" w:type="dxa"/>
            <w:vAlign w:val="bottom"/>
            <w:tcBorders>
              <w:top w:val="single" w:sz="8" w:color="0000EE"/>
              <w:bottom w:val="single" w:sz="8" w:color="8C8C8C"/>
            </w:tcBorders>
          </w:tcPr>
          <w:p>
            <w:pPr>
              <w:spacing w:after="0" w:line="20" w:lineRule="exact"/>
              <w:rPr>
                <w:sz w:val="1"/>
                <w:szCs w:val="1"/>
                <w:color w:val="auto"/>
              </w:rPr>
            </w:pPr>
          </w:p>
        </w:tc>
        <w:tc>
          <w:tcPr>
            <w:tcW w:w="380" w:type="dxa"/>
            <w:vAlign w:val="bottom"/>
            <w:tcBorders>
              <w:top w:val="single" w:sz="8" w:color="0000EE"/>
              <w:bottom w:val="single" w:sz="8" w:color="8C8C8C"/>
            </w:tcBorders>
          </w:tcPr>
          <w:p>
            <w:pPr>
              <w:spacing w:after="0" w:line="20" w:lineRule="exact"/>
              <w:rPr>
                <w:sz w:val="1"/>
                <w:szCs w:val="1"/>
                <w:color w:val="auto"/>
              </w:rPr>
            </w:pPr>
          </w:p>
        </w:tc>
        <w:tc>
          <w:tcPr>
            <w:tcW w:w="440" w:type="dxa"/>
            <w:vAlign w:val="bottom"/>
            <w:tcBorders>
              <w:top w:val="single" w:sz="8" w:color="0000EE"/>
              <w:bottom w:val="single" w:sz="8" w:color="8C8C8C"/>
            </w:tcBorders>
          </w:tcPr>
          <w:p>
            <w:pPr>
              <w:spacing w:after="0" w:line="20" w:lineRule="exact"/>
              <w:rPr>
                <w:sz w:val="1"/>
                <w:szCs w:val="1"/>
                <w:color w:val="auto"/>
              </w:rPr>
            </w:pPr>
          </w:p>
        </w:tc>
        <w:tc>
          <w:tcPr>
            <w:tcW w:w="80" w:type="dxa"/>
            <w:vAlign w:val="bottom"/>
            <w:tcBorders>
              <w:top w:val="single" w:sz="8" w:color="0000EE"/>
              <w:bottom w:val="single" w:sz="8" w:color="8C8C8C"/>
            </w:tcBorders>
          </w:tcPr>
          <w:p>
            <w:pPr>
              <w:spacing w:after="0" w:line="20" w:lineRule="exact"/>
              <w:rPr>
                <w:sz w:val="1"/>
                <w:szCs w:val="1"/>
                <w:color w:val="auto"/>
              </w:rPr>
            </w:pPr>
          </w:p>
        </w:tc>
        <w:tc>
          <w:tcPr>
            <w:tcW w:w="40" w:type="dxa"/>
            <w:vAlign w:val="bottom"/>
            <w:tcBorders>
              <w:bottom w:val="single" w:sz="8" w:color="8C8C8C"/>
            </w:tcBorders>
          </w:tcPr>
          <w:p>
            <w:pPr>
              <w:spacing w:after="0" w:line="20" w:lineRule="exact"/>
              <w:rPr>
                <w:sz w:val="1"/>
                <w:szCs w:val="1"/>
                <w:color w:val="auto"/>
              </w:rPr>
            </w:pPr>
          </w:p>
        </w:tc>
        <w:tc>
          <w:tcPr>
            <w:tcW w:w="340" w:type="dxa"/>
            <w:vAlign w:val="bottom"/>
            <w:tcBorders>
              <w:bottom w:val="single" w:sz="8" w:color="8C8C8C"/>
            </w:tcBorders>
          </w:tcPr>
          <w:p>
            <w:pPr>
              <w:spacing w:after="0" w:line="20" w:lineRule="exact"/>
              <w:rPr>
                <w:sz w:val="1"/>
                <w:szCs w:val="1"/>
                <w:color w:val="auto"/>
              </w:rPr>
            </w:pPr>
          </w:p>
        </w:tc>
        <w:tc>
          <w:tcPr>
            <w:tcW w:w="100" w:type="dxa"/>
            <w:vAlign w:val="bottom"/>
            <w:tcBorders>
              <w:bottom w:val="single" w:sz="8" w:color="8C8C8C"/>
            </w:tcBorders>
          </w:tcPr>
          <w:p>
            <w:pPr>
              <w:spacing w:after="0" w:line="20" w:lineRule="exact"/>
              <w:rPr>
                <w:sz w:val="1"/>
                <w:szCs w:val="1"/>
                <w:color w:val="auto"/>
              </w:rPr>
            </w:pPr>
          </w:p>
        </w:tc>
        <w:tc>
          <w:tcPr>
            <w:tcW w:w="240" w:type="dxa"/>
            <w:vAlign w:val="bottom"/>
            <w:tcBorders>
              <w:bottom w:val="single" w:sz="8" w:color="8C8C8C"/>
            </w:tcBorders>
          </w:tcPr>
          <w:p>
            <w:pPr>
              <w:spacing w:after="0" w:line="20" w:lineRule="exact"/>
              <w:rPr>
                <w:sz w:val="1"/>
                <w:szCs w:val="1"/>
                <w:color w:val="auto"/>
              </w:rPr>
            </w:pPr>
          </w:p>
        </w:tc>
        <w:tc>
          <w:tcPr>
            <w:tcW w:w="260" w:type="dxa"/>
            <w:vAlign w:val="bottom"/>
            <w:tcBorders>
              <w:bottom w:val="single" w:sz="8" w:color="8C8C8C"/>
            </w:tcBorders>
          </w:tcPr>
          <w:p>
            <w:pPr>
              <w:spacing w:after="0" w:line="20" w:lineRule="exact"/>
              <w:rPr>
                <w:sz w:val="1"/>
                <w:szCs w:val="1"/>
                <w:color w:val="auto"/>
              </w:rPr>
            </w:pPr>
          </w:p>
        </w:tc>
        <w:tc>
          <w:tcPr>
            <w:tcW w:w="80" w:type="dxa"/>
            <w:vAlign w:val="bottom"/>
            <w:tcBorders>
              <w:bottom w:val="single" w:sz="8" w:color="8C8C8C"/>
            </w:tcBorders>
          </w:tcPr>
          <w:p>
            <w:pPr>
              <w:spacing w:after="0" w:line="20" w:lineRule="exact"/>
              <w:rPr>
                <w:sz w:val="1"/>
                <w:szCs w:val="1"/>
                <w:color w:val="auto"/>
              </w:rPr>
            </w:pPr>
          </w:p>
        </w:tc>
        <w:tc>
          <w:tcPr>
            <w:tcW w:w="100" w:type="dxa"/>
            <w:vAlign w:val="bottom"/>
            <w:tcBorders>
              <w:bottom w:val="single" w:sz="8" w:color="8C8C8C"/>
            </w:tcBorders>
          </w:tcPr>
          <w:p>
            <w:pPr>
              <w:spacing w:after="0" w:line="20" w:lineRule="exact"/>
              <w:rPr>
                <w:sz w:val="1"/>
                <w:szCs w:val="1"/>
                <w:color w:val="auto"/>
              </w:rPr>
            </w:pPr>
          </w:p>
        </w:tc>
        <w:tc>
          <w:tcPr>
            <w:tcW w:w="80" w:type="dxa"/>
            <w:vAlign w:val="bottom"/>
            <w:tcBorders>
              <w:bottom w:val="single" w:sz="8" w:color="8C8C8C"/>
            </w:tcBorders>
          </w:tcPr>
          <w:p>
            <w:pPr>
              <w:spacing w:after="0" w:line="20" w:lineRule="exact"/>
              <w:rPr>
                <w:sz w:val="1"/>
                <w:szCs w:val="1"/>
                <w:color w:val="auto"/>
              </w:rPr>
            </w:pPr>
          </w:p>
        </w:tc>
        <w:tc>
          <w:tcPr>
            <w:tcW w:w="260" w:type="dxa"/>
            <w:vAlign w:val="bottom"/>
            <w:tcBorders>
              <w:bottom w:val="single" w:sz="8" w:color="8C8C8C"/>
            </w:tcBorders>
          </w:tcPr>
          <w:p>
            <w:pPr>
              <w:spacing w:after="0" w:line="20" w:lineRule="exact"/>
              <w:rPr>
                <w:sz w:val="1"/>
                <w:szCs w:val="1"/>
                <w:color w:val="auto"/>
              </w:rPr>
            </w:pPr>
          </w:p>
        </w:tc>
        <w:tc>
          <w:tcPr>
            <w:tcW w:w="180" w:type="dxa"/>
            <w:vAlign w:val="bottom"/>
            <w:tcBorders>
              <w:bottom w:val="single" w:sz="8" w:color="8C8C8C"/>
            </w:tcBorders>
          </w:tcPr>
          <w:p>
            <w:pPr>
              <w:spacing w:after="0" w:line="20" w:lineRule="exact"/>
              <w:rPr>
                <w:sz w:val="1"/>
                <w:szCs w:val="1"/>
                <w:color w:val="auto"/>
              </w:rPr>
            </w:pPr>
          </w:p>
        </w:tc>
        <w:tc>
          <w:tcPr>
            <w:tcW w:w="160" w:type="dxa"/>
            <w:vAlign w:val="bottom"/>
            <w:tcBorders>
              <w:bottom w:val="single" w:sz="8" w:color="8C8C8C"/>
            </w:tcBorders>
          </w:tcPr>
          <w:p>
            <w:pPr>
              <w:spacing w:after="0" w:line="20" w:lineRule="exact"/>
              <w:rPr>
                <w:sz w:val="1"/>
                <w:szCs w:val="1"/>
                <w:color w:val="auto"/>
              </w:rPr>
            </w:pPr>
          </w:p>
        </w:tc>
        <w:tc>
          <w:tcPr>
            <w:tcW w:w="4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500" w:type="dxa"/>
            <w:vAlign w:val="bottom"/>
            <w:tcBorders>
              <w:bottom w:val="single" w:sz="8" w:color="8C8C8C"/>
            </w:tcBorders>
          </w:tcPr>
          <w:p>
            <w:pPr>
              <w:spacing w:after="0" w:line="20" w:lineRule="exact"/>
              <w:rPr>
                <w:sz w:val="1"/>
                <w:szCs w:val="1"/>
                <w:color w:val="auto"/>
              </w:rPr>
            </w:pPr>
          </w:p>
        </w:tc>
        <w:tc>
          <w:tcPr>
            <w:tcW w:w="140" w:type="dxa"/>
            <w:vAlign w:val="bottom"/>
            <w:tcBorders>
              <w:bottom w:val="single" w:sz="8" w:color="8C8C8C"/>
            </w:tcBorders>
          </w:tcPr>
          <w:p>
            <w:pPr>
              <w:spacing w:after="0" w:line="20" w:lineRule="exact"/>
              <w:rPr>
                <w:sz w:val="1"/>
                <w:szCs w:val="1"/>
                <w:color w:val="auto"/>
              </w:rPr>
            </w:pPr>
          </w:p>
        </w:tc>
        <w:tc>
          <w:tcPr>
            <w:tcW w:w="4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140" w:type="dxa"/>
            <w:vAlign w:val="bottom"/>
            <w:tcBorders>
              <w:bottom w:val="single" w:sz="8" w:color="8C8C8C"/>
            </w:tcBorders>
          </w:tcPr>
          <w:p>
            <w:pPr>
              <w:spacing w:after="0" w:line="20" w:lineRule="exact"/>
              <w:rPr>
                <w:sz w:val="1"/>
                <w:szCs w:val="1"/>
                <w:color w:val="auto"/>
              </w:rPr>
            </w:pPr>
          </w:p>
        </w:tc>
        <w:tc>
          <w:tcPr>
            <w:tcW w:w="60" w:type="dxa"/>
            <w:vAlign w:val="bottom"/>
            <w:tcBorders>
              <w:bottom w:val="single" w:sz="8" w:color="8C8C8C"/>
            </w:tcBorders>
          </w:tcPr>
          <w:p>
            <w:pPr>
              <w:spacing w:after="0" w:line="20" w:lineRule="exact"/>
              <w:rPr>
                <w:sz w:val="1"/>
                <w:szCs w:val="1"/>
                <w:color w:val="auto"/>
              </w:rPr>
            </w:pPr>
          </w:p>
        </w:tc>
        <w:tc>
          <w:tcPr>
            <w:tcW w:w="100" w:type="dxa"/>
            <w:vAlign w:val="bottom"/>
            <w:tcBorders>
              <w:bottom w:val="single" w:sz="8" w:color="8C8C8C"/>
            </w:tcBorders>
          </w:tcPr>
          <w:p>
            <w:pPr>
              <w:spacing w:after="0" w:line="20" w:lineRule="exact"/>
              <w:rPr>
                <w:sz w:val="1"/>
                <w:szCs w:val="1"/>
                <w:color w:val="auto"/>
              </w:rPr>
            </w:pPr>
          </w:p>
        </w:tc>
        <w:tc>
          <w:tcPr>
            <w:tcW w:w="140" w:type="dxa"/>
            <w:vAlign w:val="bottom"/>
            <w:tcBorders>
              <w:bottom w:val="single" w:sz="8" w:color="8C8C8C"/>
            </w:tcBorders>
          </w:tcPr>
          <w:p>
            <w:pPr>
              <w:spacing w:after="0" w:line="20" w:lineRule="exact"/>
              <w:rPr>
                <w:sz w:val="1"/>
                <w:szCs w:val="1"/>
                <w:color w:val="auto"/>
              </w:rPr>
            </w:pPr>
          </w:p>
        </w:tc>
        <w:tc>
          <w:tcPr>
            <w:tcW w:w="10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40" w:type="dxa"/>
            <w:vAlign w:val="bottom"/>
            <w:tcBorders>
              <w:bottom w:val="single" w:sz="8" w:color="8C8C8C"/>
            </w:tcBorders>
          </w:tcPr>
          <w:p>
            <w:pPr>
              <w:spacing w:after="0" w:line="20" w:lineRule="exact"/>
              <w:rPr>
                <w:sz w:val="1"/>
                <w:szCs w:val="1"/>
                <w:color w:val="auto"/>
              </w:rPr>
            </w:pPr>
          </w:p>
        </w:tc>
        <w:tc>
          <w:tcPr>
            <w:tcW w:w="140" w:type="dxa"/>
            <w:vAlign w:val="bottom"/>
            <w:tcBorders>
              <w:bottom w:val="single" w:sz="8" w:color="8C8C8C"/>
            </w:tcBorders>
          </w:tcPr>
          <w:p>
            <w:pPr>
              <w:spacing w:after="0" w:line="20" w:lineRule="exact"/>
              <w:rPr>
                <w:sz w:val="1"/>
                <w:szCs w:val="1"/>
                <w:color w:val="auto"/>
              </w:rPr>
            </w:pPr>
          </w:p>
        </w:tc>
        <w:tc>
          <w:tcPr>
            <w:tcW w:w="200" w:type="dxa"/>
            <w:vAlign w:val="bottom"/>
            <w:tcBorders>
              <w:bottom w:val="single" w:sz="8" w:color="8C8C8C"/>
            </w:tcBorders>
          </w:tcPr>
          <w:p>
            <w:pPr>
              <w:spacing w:after="0" w:line="20" w:lineRule="exact"/>
              <w:rPr>
                <w:sz w:val="1"/>
                <w:szCs w:val="1"/>
                <w:color w:val="auto"/>
              </w:rPr>
            </w:pPr>
          </w:p>
        </w:tc>
        <w:tc>
          <w:tcPr>
            <w:tcW w:w="520" w:type="dxa"/>
            <w:vAlign w:val="bottom"/>
            <w:tcBorders>
              <w:bottom w:val="single" w:sz="8" w:color="8C8C8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-4878705</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786130</wp:posOffset>
            </wp:positionH>
            <wp:positionV relativeFrom="paragraph">
              <wp:posOffset>-4338955</wp:posOffset>
            </wp:positionV>
            <wp:extent cx="2649855"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right"/>
        <w:spacing w:after="0"/>
        <w:tabs>
          <w:tab w:leader="none" w:pos="20" w:val="left"/>
        </w:tabs>
        <w:rPr>
          <w:sz w:val="20"/>
          <w:szCs w:val="20"/>
          <w:color w:val="auto"/>
        </w:rPr>
      </w:pPr>
      <w:r>
        <w:rPr>
          <w:rFonts w:ascii="Arial" w:cs="Arial" w:eastAsia="Arial" w:hAnsi="Arial"/>
          <w:sz w:val="14"/>
          <w:szCs w:val="14"/>
          <w:b w:val="1"/>
          <w:bCs w:val="1"/>
          <w:color w:val="052B82"/>
        </w:rPr>
        <w:t>2020 Proxy Statement</w:t>
      </w:r>
      <w:r>
        <w:rPr>
          <w:sz w:val="20"/>
          <w:szCs w:val="20"/>
          <w:color w:val="auto"/>
        </w:rPr>
        <w:tab/>
      </w:r>
      <w:r>
        <w:rPr>
          <w:rFonts w:ascii="Arial" w:cs="Arial" w:eastAsia="Arial" w:hAnsi="Arial"/>
          <w:sz w:val="18"/>
          <w:szCs w:val="18"/>
          <w:color w:val="999999"/>
        </w:rPr>
        <w:t>i</w:t>
      </w:r>
    </w:p>
    <w:p>
      <w:pPr>
        <w:sectPr>
          <w:pgSz w:w="11900" w:h="16838" w:orient="portrait"/>
          <w:cols w:equalWidth="0" w:num="2">
            <w:col w:w="5500" w:space="320"/>
            <w:col w:w="5400"/>
          </w:cols>
          <w:pgMar w:left="24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auto"/>
        </w:rPr>
        <w:t>ANALOG DEVICES, INC.</w:t>
      </w:r>
    </w:p>
    <w:p>
      <w:pPr>
        <w:spacing w:after="0" w:line="3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ONE TECHNOLOGY WAY</w:t>
      </w:r>
    </w:p>
    <w:p>
      <w:pPr>
        <w:jc w:val="center"/>
        <w:ind w:right="-199"/>
        <w:spacing w:after="0"/>
        <w:rPr>
          <w:sz w:val="20"/>
          <w:szCs w:val="20"/>
          <w:color w:val="auto"/>
        </w:rPr>
      </w:pPr>
      <w:r>
        <w:rPr>
          <w:rFonts w:ascii="Arial" w:cs="Arial" w:eastAsia="Arial" w:hAnsi="Arial"/>
          <w:sz w:val="18"/>
          <w:szCs w:val="18"/>
          <w:b w:val="1"/>
          <w:bCs w:val="1"/>
          <w:color w:val="auto"/>
        </w:rPr>
        <w:t>NORWOOD, MASSACHUSETTS 02062-9106</w:t>
      </w:r>
    </w:p>
    <w:p>
      <w:pPr>
        <w:spacing w:after="0" w:line="180"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NOTICE OF 2020 ANNUAL MEETING OF SHAREHOLDERS</w:t>
      </w:r>
    </w:p>
    <w:p>
      <w:pPr>
        <w:spacing w:after="0" w:line="206"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i w:val="1"/>
          <w:iCs w:val="1"/>
          <w:color w:val="auto"/>
        </w:rPr>
        <w:t>To Be Held On March 11, 2020</w:t>
      </w:r>
    </w:p>
    <w:p>
      <w:pPr>
        <w:spacing w:after="0" w:line="238" w:lineRule="exact"/>
        <w:rPr>
          <w:sz w:val="20"/>
          <w:szCs w:val="20"/>
          <w:color w:val="auto"/>
        </w:rPr>
      </w:pPr>
    </w:p>
    <w:p>
      <w:pPr>
        <w:ind w:left="200" w:right="60" w:firstLine="441"/>
        <w:spacing w:after="0" w:line="238" w:lineRule="auto"/>
        <w:rPr>
          <w:sz w:val="20"/>
          <w:szCs w:val="20"/>
          <w:color w:val="auto"/>
        </w:rPr>
      </w:pPr>
      <w:r>
        <w:rPr>
          <w:rFonts w:ascii="Arial" w:cs="Arial" w:eastAsia="Arial" w:hAnsi="Arial"/>
          <w:sz w:val="18"/>
          <w:szCs w:val="18"/>
          <w:color w:val="auto"/>
        </w:rPr>
        <w:t>This proxy statement contains information about the 2020 Annual Meeting of Shareholders, or Annual Meeting, of Analog Devices, Inc. (which we also refer to as Analog Devices, ADI or the Company). The Annual Meeting will be held on Wednesday, March 11, 2020, at 9:00 a.m. local time, at our offices at 125 Summer Street, Boston, Massachusetts 02110. You may obtain directions to the location of the Annual Meeting by visiting our website at www.analog.com or by contacting our Investor Relations Department at Analog Devices, Inc., One Technology Way, Norwood, Massachusetts 02062; telephone: 781-461-3282.</w:t>
      </w:r>
    </w:p>
    <w:p>
      <w:pPr>
        <w:spacing w:after="0" w:line="203" w:lineRule="exact"/>
        <w:rPr>
          <w:sz w:val="20"/>
          <w:szCs w:val="20"/>
          <w:color w:val="auto"/>
        </w:rPr>
      </w:pPr>
    </w:p>
    <w:p>
      <w:pPr>
        <w:ind w:left="200" w:right="20" w:firstLine="441"/>
        <w:spacing w:after="0" w:line="238" w:lineRule="auto"/>
        <w:rPr>
          <w:sz w:val="20"/>
          <w:szCs w:val="20"/>
          <w:color w:val="auto"/>
        </w:rPr>
      </w:pPr>
      <w:r>
        <w:rPr>
          <w:rFonts w:ascii="Arial" w:cs="Arial" w:eastAsia="Arial" w:hAnsi="Arial"/>
          <w:sz w:val="18"/>
          <w:szCs w:val="18"/>
          <w:color w:val="auto"/>
        </w:rPr>
        <w:t>We are furnishing this proxy statement to you in connection with the solicitation of proxies by the Board of Directors of Analog Devices for use at the Annual Meeting and at any adjournment, postponement, continuation or rescheduling of the meeting. All proxies will be voted in accordance with the instructions they contain. If you do not specify your voting instructions on the proxy that you submit for the Annual Meeting, it will be voted in accordance with the recommendation of the Board of Directors. You may revoke your proxy at any time before it is exercised at the Annual Meeting by giving our Secretary written notice to that effect.</w:t>
      </w:r>
    </w:p>
    <w:p>
      <w:pPr>
        <w:spacing w:after="0" w:line="203"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We are providing access to our proxy materials over the Internet under the U.S. Securities and Exchange Commission’s “notice and access” rules. As a result, we are mailing to our shareholders a Notice of Internet Availability of Proxy Materials, or Notice, on or about January 24, 2020, and it contains instructions on how to access this proxy statement and our Annual Report for the fiscal year ended November 2, 2019, or our 2019 Annual Report, over the Internet. The Notice also contains instructions on how each of our shareholders can receive a paper copy of our proxy materials, including this proxy statement, our 2019 Annual Report and a form of proxy card or voting instruction card. All shareholders who do not receive the Notice, including shareholders who have previously requested to receive paper copies of proxy materials, will receive a paper copy of the proxy materials by mail unless they have previously requested delivery of proxy materials electronically.</w:t>
      </w:r>
    </w:p>
    <w:p>
      <w:pPr>
        <w:spacing w:after="0" w:line="18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052B82"/>
        </w:rPr>
        <w:t>Important Notice Regarding the Availability of Proxy Materials for the Annual</w:t>
      </w:r>
    </w:p>
    <w:p>
      <w:pPr>
        <w:spacing w:after="0" w:line="1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052B82"/>
        </w:rPr>
        <w:t>Meeting of Shareholders to be Held on March 11, 2020:</w:t>
      </w:r>
    </w:p>
    <w:p>
      <w:pPr>
        <w:spacing w:after="0" w:line="190" w:lineRule="exact"/>
        <w:rPr>
          <w:sz w:val="20"/>
          <w:szCs w:val="20"/>
          <w:color w:val="auto"/>
        </w:rPr>
      </w:pPr>
    </w:p>
    <w:p>
      <w:pPr>
        <w:ind w:left="200" w:right="280" w:firstLine="441"/>
        <w:spacing w:after="0" w:line="271" w:lineRule="auto"/>
        <w:rPr>
          <w:sz w:val="20"/>
          <w:szCs w:val="20"/>
          <w:color w:val="auto"/>
        </w:rPr>
      </w:pPr>
      <w:r>
        <w:rPr>
          <w:rFonts w:ascii="Arial" w:cs="Arial" w:eastAsia="Arial" w:hAnsi="Arial"/>
          <w:sz w:val="18"/>
          <w:szCs w:val="18"/>
          <w:b w:val="1"/>
          <w:bCs w:val="1"/>
          <w:color w:val="052B82"/>
        </w:rPr>
        <w:t>This proxy statement and the 2019 Annual Report to Shareholders are available for viewing, printing and downloading at www.analog.com/AnnualMeeting.</w:t>
      </w:r>
    </w:p>
    <w:p>
      <w:pPr>
        <w:sectPr>
          <w:pgSz w:w="11900" w:h="16838" w:orient="portrait"/>
          <w:cols w:equalWidth="0" w:num="1">
            <w:col w:w="11220"/>
          </w:cols>
          <w:pgMar w:left="24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205740</wp:posOffset>
            </wp:positionV>
            <wp:extent cx="7002145" cy="5970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02145" cy="5970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80"/>
        <w:spacing w:after="0"/>
        <w:rPr>
          <w:sz w:val="20"/>
          <w:szCs w:val="20"/>
          <w:color w:val="auto"/>
        </w:rPr>
      </w:pPr>
      <w:r>
        <w:rPr>
          <w:rFonts w:ascii="Arial" w:cs="Arial" w:eastAsia="Arial" w:hAnsi="Arial"/>
          <w:sz w:val="32"/>
          <w:szCs w:val="32"/>
          <w:color w:val="052B82"/>
        </w:rPr>
        <w:t>PROXY STATEMENT HIGHLIGHTS</w:t>
      </w:r>
    </w:p>
    <w:p>
      <w:pPr>
        <w:spacing w:after="0" w:line="204" w:lineRule="exact"/>
        <w:rPr>
          <w:sz w:val="20"/>
          <w:szCs w:val="20"/>
          <w:color w:val="auto"/>
        </w:rPr>
      </w:pPr>
    </w:p>
    <w:p>
      <w:pPr>
        <w:ind w:left="380" w:right="80" w:firstLine="426"/>
        <w:spacing w:after="0" w:line="245" w:lineRule="auto"/>
        <w:rPr>
          <w:sz w:val="20"/>
          <w:szCs w:val="20"/>
          <w:color w:val="auto"/>
        </w:rPr>
      </w:pPr>
      <w:r>
        <w:rPr>
          <w:rFonts w:ascii="Arial" w:cs="Arial" w:eastAsia="Arial" w:hAnsi="Arial"/>
          <w:sz w:val="18"/>
          <w:szCs w:val="18"/>
          <w:i w:val="1"/>
          <w:iCs w:val="1"/>
          <w:color w:val="auto"/>
        </w:rPr>
        <w:t>This summary highlights information contained elsewhere in this proxy statement. This summary does not contain all the information that you should consider and you should read the entire proxy statement before voting. For more information on the 2019 financial and operating performance of the Company, please review the Company’s Annual Report on Form 10-K for the year ended November 2, 2019 that was filed with the U.S. Securities and Exchange Commission on November 26, 2019.</w:t>
      </w:r>
    </w:p>
    <w:p>
      <w:pPr>
        <w:spacing w:after="0" w:line="326"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052B82"/>
        </w:rPr>
        <w:t>2020 ANNUAL MEETING OF SHAREHOLDERS</w:t>
      </w:r>
    </w:p>
    <w:p>
      <w:pPr>
        <w:sectPr>
          <w:pgSz w:w="11900" w:h="16838" w:orient="portrait"/>
          <w:cols w:equalWidth="0" w:num="1">
            <w:col w:w="11040"/>
          </w:cols>
          <w:pgMar w:left="240" w:top="459" w:right="619" w:bottom="1440" w:gutter="0" w:footer="0" w:header="0"/>
        </w:sectPr>
      </w:pPr>
    </w:p>
    <w:p>
      <w:pPr>
        <w:spacing w:after="0" w:line="212"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Date:</w:t>
      </w:r>
    </w:p>
    <w:p>
      <w:pPr>
        <w:spacing w:after="0" w:line="13"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Time:</w:t>
      </w:r>
    </w:p>
    <w:p>
      <w:pPr>
        <w:ind w:left="4860"/>
        <w:spacing w:after="0"/>
        <w:rPr>
          <w:sz w:val="20"/>
          <w:szCs w:val="20"/>
          <w:color w:val="auto"/>
        </w:rPr>
      </w:pPr>
      <w:r>
        <w:rPr>
          <w:rFonts w:ascii="Arial" w:cs="Arial" w:eastAsia="Arial" w:hAnsi="Arial"/>
          <w:sz w:val="18"/>
          <w:szCs w:val="18"/>
          <w:b w:val="1"/>
          <w:bCs w:val="1"/>
          <w:color w:val="auto"/>
        </w:rPr>
        <w:t>Place:</w:t>
      </w:r>
    </w:p>
    <w:p>
      <w:pPr>
        <w:spacing w:after="0" w:line="392"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Record Date:</w:t>
      </w:r>
    </w:p>
    <w:p>
      <w:pPr>
        <w:spacing w:after="0" w:line="320"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052B82"/>
        </w:rPr>
        <w:t>VOTING MATTERS AND BOARD RECOMMENDATIONS</w:t>
      </w:r>
    </w:p>
    <w:p>
      <w:pPr>
        <w:spacing w:after="0" w:line="397"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FFFFFF"/>
        </w:rPr>
        <w:t>Proposals</w:t>
      </w:r>
    </w:p>
    <w:p>
      <w:pPr>
        <w:spacing w:after="0" w:line="13" w:lineRule="exact"/>
        <w:rPr>
          <w:sz w:val="20"/>
          <w:szCs w:val="20"/>
          <w:color w:val="auto"/>
        </w:rPr>
      </w:pPr>
    </w:p>
    <w:p>
      <w:pPr>
        <w:ind w:left="700" w:hanging="253"/>
        <w:spacing w:after="0"/>
        <w:tabs>
          <w:tab w:leader="none" w:pos="7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Election of Ten Directors</w:t>
      </w:r>
    </w:p>
    <w:p>
      <w:pPr>
        <w:spacing w:after="0" w:line="176" w:lineRule="exact"/>
        <w:rPr>
          <w:rFonts w:ascii="Arial" w:cs="Arial" w:eastAsia="Arial" w:hAnsi="Arial"/>
          <w:sz w:val="18"/>
          <w:szCs w:val="18"/>
          <w:b w:val="1"/>
          <w:bCs w:val="1"/>
          <w:color w:val="auto"/>
        </w:rPr>
      </w:pPr>
    </w:p>
    <w:p>
      <w:pPr>
        <w:ind w:left="720" w:hanging="273"/>
        <w:spacing w:after="0" w:line="247" w:lineRule="auto"/>
        <w:tabs>
          <w:tab w:leader="none" w:pos="695"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Advisory Approval of the Compensation of the Company’s Named Executive Officers</w:t>
      </w:r>
    </w:p>
    <w:p>
      <w:pPr>
        <w:spacing w:after="0" w:line="1" w:lineRule="exact"/>
        <w:rPr>
          <w:rFonts w:ascii="Arial" w:cs="Arial" w:eastAsia="Arial" w:hAnsi="Arial"/>
          <w:sz w:val="18"/>
          <w:szCs w:val="18"/>
          <w:b w:val="1"/>
          <w:bCs w:val="1"/>
          <w:color w:val="auto"/>
        </w:rPr>
      </w:pPr>
    </w:p>
    <w:p>
      <w:pPr>
        <w:ind w:left="700" w:hanging="253"/>
        <w:spacing w:after="0"/>
        <w:tabs>
          <w:tab w:leader="none" w:pos="7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Approval of the Analog Devices, Inc. 2020 Equity Incentive Plan</w:t>
      </w:r>
    </w:p>
    <w:p>
      <w:pPr>
        <w:spacing w:after="0" w:line="9" w:lineRule="exact"/>
        <w:rPr>
          <w:rFonts w:ascii="Arial" w:cs="Arial" w:eastAsia="Arial" w:hAnsi="Arial"/>
          <w:sz w:val="18"/>
          <w:szCs w:val="18"/>
          <w:b w:val="1"/>
          <w:bCs w:val="1"/>
          <w:color w:val="auto"/>
        </w:rPr>
      </w:pPr>
    </w:p>
    <w:p>
      <w:pPr>
        <w:jc w:val="both"/>
        <w:ind w:left="720" w:hanging="273"/>
        <w:spacing w:after="0"/>
        <w:tabs>
          <w:tab w:leader="none" w:pos="701"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Ratification of the Selection of Ernst &amp; Young LLP as Independent Registered Public Accounting Firm for the Company’s Fiscal Year Ending October 31, 2020</w:t>
      </w:r>
    </w:p>
    <w:p>
      <w:pPr>
        <w:spacing w:after="0" w:line="28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052B82"/>
        </w:rPr>
        <w:t>COMPANY STRATEGY AND FISCAL 2019 BUSINESS HIGHLIGHTS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March 11, 2020</w:t>
      </w:r>
    </w:p>
    <w:p>
      <w:pPr>
        <w:spacing w:after="0" w:line="234" w:lineRule="auto"/>
        <w:rPr>
          <w:sz w:val="20"/>
          <w:szCs w:val="20"/>
          <w:color w:val="auto"/>
        </w:rPr>
      </w:pPr>
      <w:r>
        <w:rPr>
          <w:rFonts w:ascii="Arial" w:cs="Arial" w:eastAsia="Arial" w:hAnsi="Arial"/>
          <w:sz w:val="18"/>
          <w:szCs w:val="18"/>
          <w:color w:val="auto"/>
        </w:rPr>
        <w:t>9:00 a.m. local time</w:t>
      </w:r>
    </w:p>
    <w:p>
      <w:pPr>
        <w:spacing w:after="0" w:line="235" w:lineRule="auto"/>
        <w:rPr>
          <w:sz w:val="20"/>
          <w:szCs w:val="20"/>
          <w:color w:val="auto"/>
        </w:rPr>
      </w:pPr>
      <w:r>
        <w:rPr>
          <w:rFonts w:ascii="Arial" w:cs="Arial" w:eastAsia="Arial" w:hAnsi="Arial"/>
          <w:sz w:val="18"/>
          <w:szCs w:val="18"/>
          <w:color w:val="auto"/>
        </w:rPr>
        <w:t>Analog Devices’ Offices</w:t>
      </w:r>
    </w:p>
    <w:p>
      <w:pPr>
        <w:spacing w:after="0" w:line="235" w:lineRule="auto"/>
        <w:rPr>
          <w:sz w:val="20"/>
          <w:szCs w:val="20"/>
          <w:color w:val="auto"/>
        </w:rPr>
      </w:pPr>
      <w:r>
        <w:rPr>
          <w:rFonts w:ascii="Arial" w:cs="Arial" w:eastAsia="Arial" w:hAnsi="Arial"/>
          <w:sz w:val="18"/>
          <w:szCs w:val="18"/>
          <w:color w:val="auto"/>
        </w:rPr>
        <w:t>125 Summer Street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 02110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6, 2020</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FFFFFF"/>
                <w:w w:val="98"/>
              </w:rPr>
              <w:t>Board</w:t>
            </w: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60" w:type="dxa"/>
            <w:vAlign w:val="bottom"/>
          </w:tcPr>
          <w:p>
            <w:pPr>
              <w:spacing w:after="0"/>
              <w:rPr>
                <w:sz w:val="16"/>
                <w:szCs w:val="16"/>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FFFFFF"/>
              </w:rPr>
              <w:t>Recommendation</w:t>
            </w:r>
          </w:p>
        </w:tc>
        <w:tc>
          <w:tcPr>
            <w:tcW w:w="1540" w:type="dxa"/>
            <w:vAlign w:val="bottom"/>
          </w:tcPr>
          <w:p>
            <w:pPr>
              <w:jc w:val="center"/>
              <w:ind w:left="274"/>
              <w:spacing w:after="0"/>
              <w:rPr>
                <w:sz w:val="20"/>
                <w:szCs w:val="20"/>
                <w:color w:val="auto"/>
              </w:rPr>
            </w:pPr>
            <w:r>
              <w:rPr>
                <w:rFonts w:ascii="Arial" w:cs="Arial" w:eastAsia="Arial" w:hAnsi="Arial"/>
                <w:sz w:val="14"/>
                <w:szCs w:val="14"/>
                <w:b w:val="1"/>
                <w:bCs w:val="1"/>
                <w:color w:val="FFFFFF"/>
              </w:rPr>
              <w:t>More Information</w:t>
            </w:r>
          </w:p>
        </w:tc>
        <w:tc>
          <w:tcPr>
            <w:tcW w:w="0" w:type="dxa"/>
            <w:vAlign w:val="bottom"/>
          </w:tcPr>
          <w:p>
            <w:pPr>
              <w:spacing w:after="0"/>
              <w:rPr>
                <w:sz w:val="1"/>
                <w:szCs w:val="1"/>
                <w:color w:val="auto"/>
              </w:rPr>
            </w:pPr>
          </w:p>
        </w:tc>
      </w:tr>
      <w:tr>
        <w:trPr>
          <w:trHeight w:val="203"/>
        </w:trPr>
        <w:tc>
          <w:tcPr>
            <w:tcW w:w="46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2160" w:type="dxa"/>
            <w:vAlign w:val="bottom"/>
          </w:tcPr>
          <w:p>
            <w:pPr>
              <w:jc w:val="center"/>
              <w:spacing w:after="0" w:line="202" w:lineRule="exact"/>
              <w:rPr>
                <w:sz w:val="20"/>
                <w:szCs w:val="20"/>
                <w:color w:val="auto"/>
              </w:rPr>
            </w:pPr>
            <w:r>
              <w:rPr>
                <w:rFonts w:ascii="Arial" w:cs="Arial" w:eastAsia="Arial" w:hAnsi="Arial"/>
                <w:sz w:val="18"/>
                <w:szCs w:val="18"/>
                <w:color w:val="auto"/>
              </w:rPr>
              <w:t>FOR each director</w:t>
            </w:r>
          </w:p>
        </w:tc>
        <w:tc>
          <w:tcPr>
            <w:tcW w:w="1540" w:type="dxa"/>
            <w:vAlign w:val="bottom"/>
          </w:tcPr>
          <w:p>
            <w:pPr>
              <w:jc w:val="center"/>
              <w:ind w:left="274"/>
              <w:spacing w:after="0" w:line="202" w:lineRule="exact"/>
              <w:rPr>
                <w:sz w:val="20"/>
                <w:szCs w:val="20"/>
                <w:color w:val="auto"/>
              </w:rPr>
            </w:pPr>
            <w:r>
              <w:rPr>
                <w:rFonts w:ascii="Arial" w:cs="Arial" w:eastAsia="Arial" w:hAnsi="Arial"/>
                <w:sz w:val="18"/>
                <w:szCs w:val="18"/>
                <w:color w:val="auto"/>
                <w:w w:val="98"/>
              </w:rPr>
              <w:t>Page 18</w:t>
            </w:r>
          </w:p>
        </w:tc>
        <w:tc>
          <w:tcPr>
            <w:tcW w:w="0" w:type="dxa"/>
            <w:vAlign w:val="bottom"/>
          </w:tcPr>
          <w:p>
            <w:pPr>
              <w:spacing w:after="0"/>
              <w:rPr>
                <w:sz w:val="1"/>
                <w:szCs w:val="1"/>
                <w:color w:val="auto"/>
              </w:rPr>
            </w:pPr>
          </w:p>
        </w:tc>
      </w:tr>
      <w:tr>
        <w:trPr>
          <w:trHeight w:val="129"/>
        </w:trPr>
        <w:tc>
          <w:tcPr>
            <w:tcW w:w="460" w:type="dxa"/>
            <w:vAlign w:val="bottom"/>
            <w:vMerge w:val="continue"/>
          </w:tcPr>
          <w:p>
            <w:pPr>
              <w:spacing w:after="0"/>
              <w:rPr>
                <w:sz w:val="11"/>
                <w:szCs w:val="11"/>
                <w:color w:val="auto"/>
              </w:rPr>
            </w:pPr>
          </w:p>
        </w:tc>
        <w:tc>
          <w:tcPr>
            <w:tcW w:w="2160" w:type="dxa"/>
            <w:vAlign w:val="bottom"/>
            <w:vMerge w:val="restart"/>
          </w:tcPr>
          <w:p>
            <w:pPr>
              <w:jc w:val="center"/>
              <w:spacing w:after="0"/>
              <w:rPr>
                <w:sz w:val="20"/>
                <w:szCs w:val="20"/>
                <w:color w:val="auto"/>
              </w:rPr>
            </w:pPr>
            <w:r>
              <w:rPr>
                <w:rFonts w:ascii="Arial" w:cs="Arial" w:eastAsia="Arial" w:hAnsi="Arial"/>
                <w:sz w:val="18"/>
                <w:szCs w:val="18"/>
                <w:color w:val="auto"/>
                <w:w w:val="98"/>
              </w:rPr>
              <w:t>nominee</w:t>
            </w:r>
          </w:p>
        </w:tc>
        <w:tc>
          <w:tcPr>
            <w:tcW w:w="1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460" w:type="dxa"/>
            <w:vAlign w:val="bottom"/>
          </w:tcPr>
          <w:p>
            <w:pPr>
              <w:spacing w:after="0"/>
              <w:rPr>
                <w:sz w:val="7"/>
                <w:szCs w:val="7"/>
                <w:color w:val="auto"/>
              </w:rPr>
            </w:pPr>
          </w:p>
        </w:tc>
        <w:tc>
          <w:tcPr>
            <w:tcW w:w="2160" w:type="dxa"/>
            <w:vAlign w:val="bottom"/>
            <w:vMerge w:val="continue"/>
          </w:tcPr>
          <w:p>
            <w:pPr>
              <w:spacing w:after="0"/>
              <w:rPr>
                <w:sz w:val="7"/>
                <w:szCs w:val="7"/>
                <w:color w:val="auto"/>
              </w:rPr>
            </w:pPr>
          </w:p>
        </w:tc>
        <w:tc>
          <w:tcPr>
            <w:tcW w:w="1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7"/>
        </w:trPr>
        <w:tc>
          <w:tcPr>
            <w:tcW w:w="46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2160" w:type="dxa"/>
            <w:vAlign w:val="bottom"/>
            <w:vMerge w:val="restart"/>
          </w:tcPr>
          <w:p>
            <w:pPr>
              <w:jc w:val="center"/>
              <w:spacing w:after="0"/>
              <w:rPr>
                <w:sz w:val="20"/>
                <w:szCs w:val="20"/>
                <w:color w:val="auto"/>
              </w:rPr>
            </w:pPr>
            <w:r>
              <w:rPr>
                <w:rFonts w:ascii="Arial" w:cs="Arial" w:eastAsia="Arial" w:hAnsi="Arial"/>
                <w:sz w:val="18"/>
                <w:szCs w:val="18"/>
                <w:color w:val="auto"/>
                <w:w w:val="99"/>
              </w:rPr>
              <w:t>FOR</w:t>
            </w:r>
          </w:p>
        </w:tc>
        <w:tc>
          <w:tcPr>
            <w:tcW w:w="1540" w:type="dxa"/>
            <w:vAlign w:val="bottom"/>
            <w:vMerge w:val="restart"/>
          </w:tcPr>
          <w:p>
            <w:pPr>
              <w:jc w:val="center"/>
              <w:ind w:left="274"/>
              <w:spacing w:after="0"/>
              <w:rPr>
                <w:sz w:val="20"/>
                <w:szCs w:val="20"/>
                <w:color w:val="auto"/>
              </w:rPr>
            </w:pPr>
            <w:r>
              <w:rPr>
                <w:rFonts w:ascii="Arial" w:cs="Arial" w:eastAsia="Arial" w:hAnsi="Arial"/>
                <w:sz w:val="18"/>
                <w:szCs w:val="18"/>
                <w:color w:val="auto"/>
                <w:w w:val="98"/>
              </w:rPr>
              <w:t>Page 39</w:t>
            </w:r>
          </w:p>
        </w:tc>
        <w:tc>
          <w:tcPr>
            <w:tcW w:w="0" w:type="dxa"/>
            <w:vAlign w:val="bottom"/>
          </w:tcPr>
          <w:p>
            <w:pPr>
              <w:spacing w:after="0"/>
              <w:rPr>
                <w:sz w:val="1"/>
                <w:szCs w:val="1"/>
                <w:color w:val="auto"/>
              </w:rPr>
            </w:pPr>
          </w:p>
        </w:tc>
      </w:tr>
      <w:tr>
        <w:trPr>
          <w:trHeight w:val="87"/>
        </w:trPr>
        <w:tc>
          <w:tcPr>
            <w:tcW w:w="46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2160" w:type="dxa"/>
            <w:vAlign w:val="bottom"/>
            <w:vMerge w:val="continue"/>
          </w:tcPr>
          <w:p>
            <w:pPr>
              <w:spacing w:after="0"/>
              <w:rPr>
                <w:sz w:val="7"/>
                <w:szCs w:val="7"/>
                <w:color w:val="auto"/>
              </w:rPr>
            </w:pPr>
          </w:p>
        </w:tc>
        <w:tc>
          <w:tcPr>
            <w:tcW w:w="1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460" w:type="dxa"/>
            <w:vAlign w:val="bottom"/>
            <w:vMerge w:val="continue"/>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9"/>
              </w:rPr>
              <w:t>FOR</w:t>
            </w:r>
          </w:p>
        </w:tc>
        <w:tc>
          <w:tcPr>
            <w:tcW w:w="1540" w:type="dxa"/>
            <w:vAlign w:val="bottom"/>
          </w:tcPr>
          <w:p>
            <w:pPr>
              <w:jc w:val="center"/>
              <w:ind w:left="274"/>
              <w:spacing w:after="0"/>
              <w:rPr>
                <w:sz w:val="20"/>
                <w:szCs w:val="20"/>
                <w:color w:val="auto"/>
              </w:rPr>
            </w:pPr>
            <w:r>
              <w:rPr>
                <w:rFonts w:ascii="Arial" w:cs="Arial" w:eastAsia="Arial" w:hAnsi="Arial"/>
                <w:sz w:val="18"/>
                <w:szCs w:val="18"/>
                <w:color w:val="auto"/>
                <w:w w:val="98"/>
              </w:rPr>
              <w:t>Page 70</w:t>
            </w:r>
          </w:p>
        </w:tc>
        <w:tc>
          <w:tcPr>
            <w:tcW w:w="0" w:type="dxa"/>
            <w:vAlign w:val="bottom"/>
          </w:tcPr>
          <w:p>
            <w:pPr>
              <w:spacing w:after="0"/>
              <w:rPr>
                <w:sz w:val="1"/>
                <w:szCs w:val="1"/>
                <w:color w:val="auto"/>
              </w:rPr>
            </w:pPr>
          </w:p>
        </w:tc>
      </w:tr>
      <w:tr>
        <w:trPr>
          <w:trHeight w:val="405"/>
        </w:trPr>
        <w:tc>
          <w:tcPr>
            <w:tcW w:w="46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2160" w:type="dxa"/>
            <w:vAlign w:val="bottom"/>
            <w:vMerge w:val="restart"/>
          </w:tcPr>
          <w:p>
            <w:pPr>
              <w:jc w:val="center"/>
              <w:spacing w:after="0"/>
              <w:rPr>
                <w:sz w:val="20"/>
                <w:szCs w:val="20"/>
                <w:color w:val="auto"/>
              </w:rPr>
            </w:pPr>
            <w:r>
              <w:rPr>
                <w:rFonts w:ascii="Arial" w:cs="Arial" w:eastAsia="Arial" w:hAnsi="Arial"/>
                <w:sz w:val="18"/>
                <w:szCs w:val="18"/>
                <w:color w:val="auto"/>
                <w:w w:val="99"/>
              </w:rPr>
              <w:t>FOR</w:t>
            </w:r>
          </w:p>
        </w:tc>
        <w:tc>
          <w:tcPr>
            <w:tcW w:w="1540" w:type="dxa"/>
            <w:vAlign w:val="bottom"/>
            <w:vMerge w:val="restart"/>
          </w:tcPr>
          <w:p>
            <w:pPr>
              <w:jc w:val="center"/>
              <w:ind w:left="274"/>
              <w:spacing w:after="0"/>
              <w:rPr>
                <w:sz w:val="20"/>
                <w:szCs w:val="20"/>
                <w:color w:val="auto"/>
              </w:rPr>
            </w:pPr>
            <w:r>
              <w:rPr>
                <w:rFonts w:ascii="Arial" w:cs="Arial" w:eastAsia="Arial" w:hAnsi="Arial"/>
                <w:sz w:val="18"/>
                <w:szCs w:val="18"/>
                <w:color w:val="auto"/>
                <w:w w:val="98"/>
              </w:rPr>
              <w:t>Page 82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16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620" w:lineRule="exact"/>
        <w:rPr>
          <w:sz w:val="20"/>
          <w:szCs w:val="20"/>
          <w:color w:val="auto"/>
        </w:rPr>
      </w:pPr>
    </w:p>
    <w:p>
      <w:pPr>
        <w:sectPr>
          <w:pgSz w:w="11900" w:h="16838" w:orient="portrait"/>
          <w:cols w:equalWidth="0" w:num="2">
            <w:col w:w="6340" w:space="440"/>
            <w:col w:w="4260"/>
          </w:cols>
          <w:pgMar w:left="240" w:top="459" w:right="619" w:bottom="1440" w:gutter="0" w:footer="0" w:header="0"/>
          <w:type w:val="continuous"/>
        </w:sectPr>
      </w:pPr>
    </w:p>
    <w:p>
      <w:pPr>
        <w:ind w:left="380" w:firstLine="426"/>
        <w:spacing w:after="0" w:line="236" w:lineRule="auto"/>
        <w:rPr>
          <w:sz w:val="20"/>
          <w:szCs w:val="20"/>
          <w:color w:val="auto"/>
        </w:rPr>
      </w:pPr>
      <w:r>
        <w:rPr>
          <w:rFonts w:ascii="Arial" w:cs="Arial" w:eastAsia="Arial" w:hAnsi="Arial"/>
          <w:sz w:val="18"/>
          <w:szCs w:val="18"/>
          <w:color w:val="auto"/>
        </w:rPr>
        <w:t>We are a leading global high-performance analog technology company dedicated to solving our customers’ toughest engineering challenges. We enable our customers to interpret the world around us by intelligently bridging the physical and digital with unmatched technologies that sense, measure, power, connect and interpret. Our strategy is to focus on challenges that our customers have in applications that matter the most, helping them to grow and adapt their offerings in complex and evolving markets. Our focus is largely on the business-to-business (B2B) markets of Industrial, Automotive and Communications and their applications, as well as a few selected consumer applications, with the goal of driving sustainable and profitable growth for Analog Devices over the long-term. As a global company, we are also passionately driven to be a leading corporate citizen, creating a better tomorrow for all our stakeholders. We believe we have a responsibility to engineer a more sustainable future and we are increasingly working to develop new solutions that restore and replenish our ecosystems and reduce the environmental impacts of our operations.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00" w:hanging="296"/>
        <w:spacing w:after="0"/>
        <w:tabs>
          <w:tab w:leader="none" w:pos="500" w:val="left"/>
        </w:tabs>
        <w:numPr>
          <w:ilvl w:val="0"/>
          <w:numId w:val="7"/>
        </w:numPr>
        <w:rPr>
          <w:rFonts w:ascii="Arial" w:cs="Arial" w:eastAsia="Arial" w:hAnsi="Arial"/>
          <w:sz w:val="18"/>
          <w:szCs w:val="18"/>
          <w:color w:val="999999"/>
        </w:rPr>
      </w:pPr>
      <w:r>
        <w:rPr>
          <w:rFonts w:ascii="Arial" w:cs="Arial" w:eastAsia="Arial" w:hAnsi="Arial"/>
          <w:sz w:val="14"/>
          <w:szCs w:val="14"/>
          <w:b w:val="1"/>
          <w:bCs w:val="1"/>
          <w:color w:val="052B82"/>
        </w:rPr>
        <w:t>Analog Devices, Inc.</w:t>
      </w:r>
    </w:p>
    <w:p>
      <w:pPr>
        <w:sectPr>
          <w:pgSz w:w="11900" w:h="16838" w:orient="portrait"/>
          <w:cols w:equalWidth="0" w:num="1">
            <w:col w:w="11040"/>
          </w:cols>
          <w:pgMar w:left="240" w:top="459" w:right="61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205740</wp:posOffset>
            </wp:positionV>
            <wp:extent cx="7002145" cy="7762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02145" cy="776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Fiscal 2019 Financial Results and Shareholder Value Creation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Pay for Performance</w:t>
      </w:r>
    </w:p>
    <w:p>
      <w:pPr>
        <w:spacing w:after="0" w:line="126" w:lineRule="exact"/>
        <w:rPr>
          <w:sz w:val="20"/>
          <w:szCs w:val="20"/>
          <w:color w:val="auto"/>
        </w:rPr>
      </w:pPr>
    </w:p>
    <w:p>
      <w:pPr>
        <w:ind w:left="380" w:right="280" w:firstLine="426"/>
        <w:spacing w:after="0" w:line="239" w:lineRule="auto"/>
        <w:rPr>
          <w:sz w:val="20"/>
          <w:szCs w:val="20"/>
          <w:color w:val="auto"/>
        </w:rPr>
      </w:pPr>
      <w:r>
        <w:rPr>
          <w:rFonts w:ascii="Arial" w:cs="Arial" w:eastAsia="Arial" w:hAnsi="Arial"/>
          <w:sz w:val="18"/>
          <w:szCs w:val="18"/>
          <w:color w:val="auto"/>
        </w:rPr>
        <w:t>A significant portion of the total target compensation for our named executive officers, or NEOs, is variable and directly linked to Company performance in the form of variable cash incentive bonus payments and equity awards. This approach provides our executives with an opportunity to earn above peer average compensation if ADI delivers strong results. Conversely, our NEOs’ total compensation is reduced if our business results are below target.</w:t>
      </w:r>
    </w:p>
    <w:p>
      <w:pPr>
        <w:spacing w:after="0" w:line="28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PERFORMANCE AND INCENTIVE PAY MIX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80" w:right="580" w:hanging="194"/>
        <w:spacing w:after="0" w:line="183" w:lineRule="auto"/>
        <w:tabs>
          <w:tab w:leader="none" w:pos="580" w:val="left"/>
        </w:tabs>
        <w:numPr>
          <w:ilvl w:val="0"/>
          <w:numId w:val="8"/>
        </w:numPr>
        <w:rPr>
          <w:rFonts w:ascii="Arial" w:cs="Arial" w:eastAsia="Arial" w:hAnsi="Arial"/>
          <w:sz w:val="24"/>
          <w:szCs w:val="24"/>
          <w:color w:val="auto"/>
          <w:vertAlign w:val="superscript"/>
        </w:rPr>
      </w:pPr>
      <w:r>
        <w:rPr>
          <w:rFonts w:ascii="Arial" w:cs="Arial" w:eastAsia="Arial" w:hAnsi="Arial"/>
          <w:sz w:val="14"/>
          <w:szCs w:val="14"/>
          <w:color w:val="auto"/>
        </w:rPr>
        <w:t>Total Shareholder Return calculation is share price appreciation plus cumulative cash dividend payments, and the effect of reinvesting those dividends into the security, for the three- and five-year periods ended November 2, 2019.</w:t>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9420"/>
        <w:spacing w:after="0"/>
        <w:tabs>
          <w:tab w:leader="none" w:pos="11100" w:val="left"/>
        </w:tabs>
        <w:rPr>
          <w:sz w:val="20"/>
          <w:szCs w:val="20"/>
          <w:color w:val="auto"/>
        </w:rPr>
      </w:pPr>
      <w:r>
        <w:rPr>
          <w:rFonts w:ascii="Arial" w:cs="Arial" w:eastAsia="Arial" w:hAnsi="Arial"/>
          <w:sz w:val="14"/>
          <w:szCs w:val="14"/>
          <w:b w:val="1"/>
          <w:bCs w:val="1"/>
          <w:color w:val="052B82"/>
        </w:rPr>
        <w:t>2020 Proxy Statement</w:t>
      </w:r>
      <w:r>
        <w:rPr>
          <w:sz w:val="20"/>
          <w:szCs w:val="20"/>
          <w:color w:val="auto"/>
        </w:rPr>
        <w:tab/>
      </w:r>
      <w:r>
        <w:rPr>
          <w:rFonts w:ascii="Arial" w:cs="Arial" w:eastAsia="Arial" w:hAnsi="Arial"/>
          <w:sz w:val="17"/>
          <w:szCs w:val="17"/>
          <w:color w:val="999999"/>
        </w:rPr>
        <w:t>3</w:t>
      </w:r>
    </w:p>
    <w:p>
      <w:pPr>
        <w:sectPr>
          <w:pgSz w:w="11900" w:h="16838" w:orient="portrait"/>
          <w:cols w:equalWidth="0" w:num="1">
            <w:col w:w="11220"/>
          </w:cols>
          <w:pgMar w:left="240" w:top="459" w:right="4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205740</wp:posOffset>
            </wp:positionV>
            <wp:extent cx="7002145" cy="46418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02145" cy="464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80" w:right="40" w:firstLine="426"/>
        <w:spacing w:after="0" w:line="237" w:lineRule="auto"/>
        <w:rPr>
          <w:sz w:val="20"/>
          <w:szCs w:val="20"/>
          <w:color w:val="auto"/>
        </w:rPr>
      </w:pPr>
      <w:r>
        <w:rPr>
          <w:rFonts w:ascii="Arial" w:cs="Arial" w:eastAsia="Arial" w:hAnsi="Arial"/>
          <w:sz w:val="18"/>
          <w:szCs w:val="18"/>
          <w:color w:val="auto"/>
        </w:rPr>
        <w:t>The pay mix charts above are based on target compensation consisting of the annual rate of base salary and short-term and long-term incentive targets approved by the Compensation Committee. The pay mix for the “other NEOs” in the chart above excludes the equity award granted to Mr. Pietkiewicz in June 2019, which was in connection with the alignment of the compensation programs of legacy ADI and Linear Technology employees after the Company’s acquisition of Linear Technology Corporation in 2017. If that equity award was taken into account, the percentage of performance-based incentives would increase for Mr. Pietkiewicz. For more information about the components of the performance and incentive pay mix for our NEO compensation, see “Compensation Discussion and Analysis—Components of Executive Compensation.”</w:t>
      </w:r>
    </w:p>
    <w:p>
      <w:pPr>
        <w:spacing w:after="0" w:line="203" w:lineRule="exact"/>
        <w:rPr>
          <w:sz w:val="20"/>
          <w:szCs w:val="20"/>
          <w:color w:val="auto"/>
        </w:rPr>
      </w:pPr>
    </w:p>
    <w:p>
      <w:pPr>
        <w:ind w:left="380" w:firstLine="426"/>
        <w:spacing w:after="0" w:line="246" w:lineRule="auto"/>
        <w:rPr>
          <w:sz w:val="20"/>
          <w:szCs w:val="20"/>
          <w:color w:val="auto"/>
        </w:rPr>
      </w:pPr>
      <w:r>
        <w:rPr>
          <w:rFonts w:ascii="Arial" w:cs="Arial" w:eastAsia="Arial" w:hAnsi="Arial"/>
          <w:sz w:val="18"/>
          <w:szCs w:val="18"/>
          <w:color w:val="auto"/>
        </w:rPr>
        <w:t>Please see the Compensation Discussion and Analysis section beginning on page 40 of this proxy statement for a more detailed description of our executive compensation program, philosophy and design.</w:t>
      </w:r>
    </w:p>
    <w:p>
      <w:pPr>
        <w:spacing w:after="0" w:line="28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Pay and Governance Practices</w:t>
      </w:r>
    </w:p>
    <w:p>
      <w:pPr>
        <w:spacing w:after="0" w:line="12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Our pay and governance practices are designed to align our executives’ interests with our shareholders. For example:</w:t>
      </w:r>
    </w:p>
    <w:p>
      <w:pPr>
        <w:spacing w:after="0" w:line="226" w:lineRule="exact"/>
        <w:rPr>
          <w:sz w:val="20"/>
          <w:szCs w:val="20"/>
          <w:color w:val="auto"/>
        </w:rPr>
      </w:pPr>
    </w:p>
    <w:p>
      <w:pPr>
        <w:ind w:left="400"/>
        <w:spacing w:after="0"/>
        <w:tabs>
          <w:tab w:leader="none" w:pos="5920" w:val="left"/>
        </w:tabs>
        <w:rPr>
          <w:sz w:val="20"/>
          <w:szCs w:val="20"/>
          <w:color w:val="auto"/>
        </w:rPr>
      </w:pPr>
      <w:r>
        <w:rPr>
          <w:rFonts w:ascii="Arial" w:cs="Arial" w:eastAsia="Arial" w:hAnsi="Arial"/>
          <w:sz w:val="14"/>
          <w:szCs w:val="14"/>
          <w:b w:val="1"/>
          <w:bCs w:val="1"/>
          <w:color w:val="191919"/>
        </w:rPr>
        <w:t>WHAT WE DO</w:t>
      </w:r>
      <w:r>
        <w:rPr>
          <w:sz w:val="20"/>
          <w:szCs w:val="20"/>
          <w:color w:val="auto"/>
        </w:rPr>
        <w:tab/>
      </w:r>
      <w:r>
        <w:rPr>
          <w:rFonts w:ascii="Arial" w:cs="Arial" w:eastAsia="Arial" w:hAnsi="Arial"/>
          <w:sz w:val="14"/>
          <w:szCs w:val="14"/>
          <w:b w:val="1"/>
          <w:bCs w:val="1"/>
          <w:color w:val="191919"/>
        </w:rPr>
        <w:t>WHAT WE DO NOT DO</w:t>
      </w:r>
    </w:p>
    <w:p>
      <w:pPr>
        <w:sectPr>
          <w:pgSz w:w="11900" w:h="16838" w:orient="portrait"/>
          <w:cols w:equalWidth="0" w:num="1">
            <w:col w:w="11020"/>
          </w:cols>
          <w:pgMar w:left="240" w:top="459" w:right="639" w:bottom="1440" w:gutter="0" w:footer="0" w:header="0"/>
        </w:sectPr>
      </w:pPr>
    </w:p>
    <w:p>
      <w:pPr>
        <w:spacing w:after="0" w:line="30" w:lineRule="exact"/>
        <w:rPr>
          <w:sz w:val="20"/>
          <w:szCs w:val="20"/>
          <w:color w:val="auto"/>
        </w:rPr>
      </w:pPr>
    </w:p>
    <w:p>
      <w:pPr>
        <w:ind w:left="820" w:right="120" w:hanging="427"/>
        <w:spacing w:after="0" w:line="180" w:lineRule="auto"/>
        <w:tabs>
          <w:tab w:leader="none" w:pos="820" w:val="left"/>
        </w:tabs>
        <w:numPr>
          <w:ilvl w:val="0"/>
          <w:numId w:val="9"/>
        </w:numPr>
        <w:rPr>
          <w:rFonts w:ascii="MS PGothic" w:cs="MS PGothic" w:eastAsia="MS PGothic" w:hAnsi="MS PGothic"/>
          <w:sz w:val="35"/>
          <w:szCs w:val="35"/>
          <w:color w:val="1E408E"/>
          <w:vertAlign w:val="subscript"/>
        </w:rPr>
      </w:pPr>
      <w:r>
        <w:rPr>
          <w:rFonts w:ascii="Arial" w:cs="Arial" w:eastAsia="Arial" w:hAnsi="Arial"/>
          <w:sz w:val="14"/>
          <w:szCs w:val="14"/>
          <w:color w:val="191919"/>
        </w:rPr>
        <w:t>Our cash incentive bonus awards are based solely on our financial performance</w:t>
      </w:r>
    </w:p>
    <w:p>
      <w:pPr>
        <w:spacing w:after="0" w:line="21" w:lineRule="exact"/>
        <w:rPr>
          <w:rFonts w:ascii="MS PGothic" w:cs="MS PGothic" w:eastAsia="MS PGothic" w:hAnsi="MS PGothic"/>
          <w:sz w:val="35"/>
          <w:szCs w:val="35"/>
          <w:color w:val="1E408E"/>
          <w:vertAlign w:val="subscript"/>
        </w:rPr>
      </w:pPr>
    </w:p>
    <w:p>
      <w:pPr>
        <w:ind w:left="820" w:hanging="427"/>
        <w:spacing w:after="0" w:line="185" w:lineRule="auto"/>
        <w:tabs>
          <w:tab w:leader="none" w:pos="820" w:val="left"/>
        </w:tabs>
        <w:numPr>
          <w:ilvl w:val="0"/>
          <w:numId w:val="9"/>
        </w:numPr>
        <w:rPr>
          <w:rFonts w:ascii="MS PGothic" w:cs="MS PGothic" w:eastAsia="MS PGothic" w:hAnsi="MS PGothic"/>
          <w:sz w:val="42"/>
          <w:szCs w:val="42"/>
          <w:color w:val="1E408E"/>
          <w:vertAlign w:val="subscript"/>
        </w:rPr>
      </w:pPr>
      <w:r>
        <w:rPr>
          <w:rFonts w:ascii="Arial" w:cs="Arial" w:eastAsia="Arial" w:hAnsi="Arial"/>
          <w:sz w:val="14"/>
          <w:szCs w:val="14"/>
          <w:color w:val="191919"/>
        </w:rPr>
        <w:t>We have a specific policy regarding the grant dates of stock options, RSUs and other stock-based awards for our directors, executive officers and employees</w:t>
      </w:r>
    </w:p>
    <w:p>
      <w:pPr>
        <w:ind w:left="820" w:hanging="427"/>
        <w:spacing w:after="0" w:line="185" w:lineRule="auto"/>
        <w:tabs>
          <w:tab w:leader="none" w:pos="820" w:val="left"/>
        </w:tabs>
        <w:numPr>
          <w:ilvl w:val="0"/>
          <w:numId w:val="9"/>
        </w:numPr>
        <w:rPr>
          <w:rFonts w:ascii="MS PGothic" w:cs="MS PGothic" w:eastAsia="MS PGothic" w:hAnsi="MS PGothic"/>
          <w:sz w:val="28"/>
          <w:szCs w:val="28"/>
          <w:color w:val="1E408E"/>
          <w:vertAlign w:val="subscript"/>
        </w:rPr>
      </w:pPr>
      <w:r>
        <w:rPr>
          <w:rFonts w:ascii="Arial" w:cs="Arial" w:eastAsia="Arial" w:hAnsi="Arial"/>
          <w:sz w:val="13"/>
          <w:szCs w:val="13"/>
          <w:color w:val="191919"/>
        </w:rPr>
        <w:t>We have stock ownership guidelines for all officers and directors</w:t>
      </w:r>
    </w:p>
    <w:p>
      <w:pPr>
        <w:spacing w:after="0" w:line="210" w:lineRule="exact"/>
        <w:rPr>
          <w:rFonts w:ascii="MS PGothic" w:cs="MS PGothic" w:eastAsia="MS PGothic" w:hAnsi="MS PGothic"/>
          <w:sz w:val="28"/>
          <w:szCs w:val="28"/>
          <w:color w:val="1E408E"/>
          <w:vertAlign w:val="subscript"/>
        </w:rPr>
      </w:pPr>
    </w:p>
    <w:p>
      <w:pPr>
        <w:ind w:left="820" w:hanging="427"/>
        <w:spacing w:after="0" w:line="219" w:lineRule="auto"/>
        <w:tabs>
          <w:tab w:leader="none" w:pos="820" w:val="left"/>
        </w:tabs>
        <w:numPr>
          <w:ilvl w:val="0"/>
          <w:numId w:val="9"/>
        </w:numPr>
        <w:rPr>
          <w:rFonts w:ascii="MS PGothic" w:cs="MS PGothic" w:eastAsia="MS PGothic" w:hAnsi="MS PGothic"/>
          <w:sz w:val="42"/>
          <w:szCs w:val="42"/>
          <w:color w:val="1E408E"/>
          <w:vertAlign w:val="subscript"/>
        </w:rPr>
      </w:pPr>
      <w:r>
        <w:rPr>
          <w:rFonts w:ascii="Arial" w:cs="Arial" w:eastAsia="Arial" w:hAnsi="Arial"/>
          <w:sz w:val="14"/>
          <w:szCs w:val="14"/>
          <w:color w:val="191919"/>
        </w:rPr>
        <w:t>We</w:t>
      </w:r>
      <w:r>
        <w:rPr>
          <w:rFonts w:ascii="Arial" w:cs="Arial" w:eastAsia="Arial" w:hAnsi="Arial"/>
          <w:sz w:val="24"/>
          <w:szCs w:val="24"/>
          <w:color w:val="191919"/>
          <w:vertAlign w:val="subscript"/>
        </w:rPr>
        <w:t>securities</w:t>
      </w:r>
      <w:r>
        <w:rPr>
          <w:rFonts w:ascii="Arial" w:cs="Arial" w:eastAsia="Arial" w:hAnsi="Arial"/>
          <w:sz w:val="14"/>
          <w:szCs w:val="14"/>
          <w:color w:val="191919"/>
        </w:rPr>
        <w:t>prohibit hedging transactions and “short sales” involving ADI</w:t>
      </w:r>
    </w:p>
    <w:p>
      <w:pPr>
        <w:spacing w:after="0" w:line="45" w:lineRule="exact"/>
        <w:rPr>
          <w:rFonts w:ascii="MS PGothic" w:cs="MS PGothic" w:eastAsia="MS PGothic" w:hAnsi="MS PGothic"/>
          <w:sz w:val="42"/>
          <w:szCs w:val="42"/>
          <w:color w:val="1E408E"/>
          <w:vertAlign w:val="subscript"/>
        </w:rPr>
      </w:pPr>
    </w:p>
    <w:p>
      <w:pPr>
        <w:ind w:left="820" w:hanging="427"/>
        <w:spacing w:after="0" w:line="183" w:lineRule="auto"/>
        <w:tabs>
          <w:tab w:leader="none" w:pos="820" w:val="left"/>
        </w:tabs>
        <w:numPr>
          <w:ilvl w:val="0"/>
          <w:numId w:val="9"/>
        </w:numPr>
        <w:rPr>
          <w:rFonts w:ascii="MS PGothic" w:cs="MS PGothic" w:eastAsia="MS PGothic" w:hAnsi="MS PGothic"/>
          <w:sz w:val="47"/>
          <w:szCs w:val="47"/>
          <w:color w:val="1E408E"/>
          <w:vertAlign w:val="subscript"/>
        </w:rPr>
      </w:pPr>
      <w:r>
        <w:rPr>
          <w:rFonts w:ascii="Arial" w:cs="Arial" w:eastAsia="Arial" w:hAnsi="Arial"/>
          <w:sz w:val="15"/>
          <w:szCs w:val="15"/>
          <w:color w:val="191919"/>
        </w:rPr>
        <w:t>We prohibit holding ADI securities in margin accounts</w:t>
      </w:r>
    </w:p>
    <w:p>
      <w:pPr>
        <w:spacing w:after="0" w:line="211" w:lineRule="exact"/>
        <w:rPr>
          <w:rFonts w:ascii="MS PGothic" w:cs="MS PGothic" w:eastAsia="MS PGothic" w:hAnsi="MS PGothic"/>
          <w:sz w:val="47"/>
          <w:szCs w:val="47"/>
          <w:color w:val="1E408E"/>
          <w:vertAlign w:val="subscript"/>
        </w:rPr>
      </w:pPr>
    </w:p>
    <w:p>
      <w:pPr>
        <w:ind w:left="820" w:hanging="427"/>
        <w:spacing w:after="0" w:line="186" w:lineRule="auto"/>
        <w:tabs>
          <w:tab w:leader="none" w:pos="820" w:val="left"/>
        </w:tabs>
        <w:numPr>
          <w:ilvl w:val="0"/>
          <w:numId w:val="9"/>
        </w:numPr>
        <w:rPr>
          <w:rFonts w:ascii="MS PGothic" w:cs="MS PGothic" w:eastAsia="MS PGothic" w:hAnsi="MS PGothic"/>
          <w:sz w:val="25"/>
          <w:szCs w:val="25"/>
          <w:color w:val="1E408E"/>
          <w:vertAlign w:val="subscript"/>
        </w:rPr>
      </w:pPr>
      <w:r>
        <w:rPr>
          <w:rFonts w:ascii="Arial" w:cs="Arial" w:eastAsia="Arial" w:hAnsi="Arial"/>
          <w:sz w:val="13"/>
          <w:szCs w:val="13"/>
          <w:color w:val="191919"/>
        </w:rPr>
        <w:t>We prohibit pledging ADI securities as collateral for a loan</w:t>
      </w:r>
    </w:p>
    <w:p>
      <w:pPr>
        <w:spacing w:after="0" w:line="211" w:lineRule="exact"/>
        <w:rPr>
          <w:rFonts w:ascii="MS PGothic" w:cs="MS PGothic" w:eastAsia="MS PGothic" w:hAnsi="MS PGothic"/>
          <w:sz w:val="25"/>
          <w:szCs w:val="25"/>
          <w:color w:val="1E408E"/>
          <w:vertAlign w:val="subscript"/>
        </w:rPr>
      </w:pPr>
    </w:p>
    <w:p>
      <w:pPr>
        <w:ind w:left="820" w:hanging="427"/>
        <w:spacing w:after="0" w:line="186" w:lineRule="auto"/>
        <w:tabs>
          <w:tab w:leader="none" w:pos="820" w:val="left"/>
        </w:tabs>
        <w:numPr>
          <w:ilvl w:val="0"/>
          <w:numId w:val="9"/>
        </w:numPr>
        <w:rPr>
          <w:rFonts w:ascii="MS PGothic" w:cs="MS PGothic" w:eastAsia="MS PGothic" w:hAnsi="MS PGothic"/>
          <w:sz w:val="25"/>
          <w:szCs w:val="25"/>
          <w:color w:val="1E408E"/>
          <w:vertAlign w:val="subscript"/>
        </w:rPr>
      </w:pPr>
      <w:r>
        <w:rPr>
          <w:rFonts w:ascii="Arial" w:cs="Arial" w:eastAsia="Arial" w:hAnsi="Arial"/>
          <w:sz w:val="13"/>
          <w:szCs w:val="13"/>
          <w:color w:val="191919"/>
        </w:rPr>
        <w:t>Annual “say on pay” vote</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ind w:left="308" w:right="80" w:hanging="308"/>
        <w:spacing w:after="0" w:line="190" w:lineRule="auto"/>
        <w:tabs>
          <w:tab w:leader="none" w:pos="308" w:val="left"/>
        </w:tabs>
        <w:numPr>
          <w:ilvl w:val="0"/>
          <w:numId w:val="10"/>
        </w:numPr>
        <w:rPr>
          <w:rFonts w:ascii="Arial" w:cs="Arial" w:eastAsia="Arial" w:hAnsi="Arial"/>
          <w:sz w:val="42"/>
          <w:szCs w:val="42"/>
          <w:color w:val="191919"/>
          <w:vertAlign w:val="subscript"/>
        </w:rPr>
      </w:pPr>
      <w:r>
        <w:rPr>
          <w:rFonts w:ascii="Arial" w:cs="Arial" w:eastAsia="Arial" w:hAnsi="Arial"/>
          <w:sz w:val="14"/>
          <w:szCs w:val="14"/>
          <w:color w:val="191919"/>
        </w:rPr>
        <w:t>We do not guarantee salary increases or non-performance-based bonuses</w:t>
      </w:r>
    </w:p>
    <w:p>
      <w:pPr>
        <w:spacing w:after="0" w:line="22" w:lineRule="exact"/>
        <w:rPr>
          <w:rFonts w:ascii="Arial" w:cs="Arial" w:eastAsia="Arial" w:hAnsi="Arial"/>
          <w:sz w:val="42"/>
          <w:szCs w:val="42"/>
          <w:color w:val="191919"/>
          <w:vertAlign w:val="subscript"/>
        </w:rPr>
      </w:pPr>
    </w:p>
    <w:p>
      <w:pPr>
        <w:ind w:left="308" w:right="20" w:hanging="308"/>
        <w:spacing w:after="0" w:line="182" w:lineRule="auto"/>
        <w:tabs>
          <w:tab w:leader="none" w:pos="308" w:val="left"/>
        </w:tabs>
        <w:numPr>
          <w:ilvl w:val="0"/>
          <w:numId w:val="10"/>
        </w:numPr>
        <w:rPr>
          <w:rFonts w:ascii="Arial" w:cs="Arial" w:eastAsia="Arial" w:hAnsi="Arial"/>
          <w:sz w:val="31"/>
          <w:szCs w:val="31"/>
          <w:color w:val="191919"/>
          <w:vertAlign w:val="subscript"/>
        </w:rPr>
      </w:pPr>
      <w:r>
        <w:rPr>
          <w:rFonts w:ascii="Arial" w:cs="Arial" w:eastAsia="Arial" w:hAnsi="Arial"/>
          <w:sz w:val="13"/>
          <w:szCs w:val="13"/>
          <w:color w:val="191919"/>
        </w:rPr>
        <w:t>We do not modify our performance targets during the performance period, even in challenging years</w:t>
      </w:r>
    </w:p>
    <w:p>
      <w:pPr>
        <w:ind w:left="308" w:hanging="308"/>
        <w:spacing w:after="0" w:line="183" w:lineRule="auto"/>
        <w:tabs>
          <w:tab w:leader="none" w:pos="308" w:val="left"/>
        </w:tabs>
        <w:numPr>
          <w:ilvl w:val="0"/>
          <w:numId w:val="10"/>
        </w:numPr>
        <w:rPr>
          <w:rFonts w:ascii="Arial" w:cs="Arial" w:eastAsia="Arial" w:hAnsi="Arial"/>
          <w:sz w:val="46"/>
          <w:szCs w:val="46"/>
          <w:color w:val="191919"/>
          <w:vertAlign w:val="subscript"/>
        </w:rPr>
      </w:pPr>
      <w:r>
        <w:rPr>
          <w:rFonts w:ascii="Arial" w:cs="Arial" w:eastAsia="Arial" w:hAnsi="Arial"/>
          <w:sz w:val="15"/>
          <w:szCs w:val="15"/>
          <w:color w:val="191919"/>
        </w:rPr>
        <w:t>We do not provide new tax gross-ups for executive officers</w:t>
      </w:r>
    </w:p>
    <w:p>
      <w:pPr>
        <w:spacing w:after="0" w:line="212" w:lineRule="exact"/>
        <w:rPr>
          <w:rFonts w:ascii="Arial" w:cs="Arial" w:eastAsia="Arial" w:hAnsi="Arial"/>
          <w:sz w:val="46"/>
          <w:szCs w:val="46"/>
          <w:color w:val="191919"/>
          <w:vertAlign w:val="subscript"/>
        </w:rPr>
      </w:pPr>
    </w:p>
    <w:p>
      <w:pPr>
        <w:ind w:left="308" w:right="100" w:hanging="308"/>
        <w:spacing w:after="0" w:line="181" w:lineRule="auto"/>
        <w:tabs>
          <w:tab w:leader="none" w:pos="308" w:val="left"/>
        </w:tabs>
        <w:numPr>
          <w:ilvl w:val="0"/>
          <w:numId w:val="10"/>
        </w:numPr>
        <w:rPr>
          <w:rFonts w:ascii="Arial" w:cs="Arial" w:eastAsia="Arial" w:hAnsi="Arial"/>
          <w:sz w:val="38"/>
          <w:szCs w:val="38"/>
          <w:color w:val="191919"/>
          <w:vertAlign w:val="subscript"/>
        </w:rPr>
      </w:pPr>
      <w:r>
        <w:rPr>
          <w:rFonts w:ascii="Arial" w:cs="Arial" w:eastAsia="Arial" w:hAnsi="Arial"/>
          <w:sz w:val="14"/>
          <w:szCs w:val="14"/>
          <w:color w:val="191919"/>
        </w:rPr>
        <w:t>With the exception of restricted stock awards assumed in connection with the Linear Technology acquisition, we do not pay dividends on unvested equity awards</w:t>
      </w:r>
    </w:p>
    <w:p>
      <w:pPr>
        <w:ind w:left="308" w:hanging="308"/>
        <w:spacing w:after="0" w:line="187" w:lineRule="auto"/>
        <w:tabs>
          <w:tab w:leader="none" w:pos="308" w:val="left"/>
        </w:tabs>
        <w:numPr>
          <w:ilvl w:val="0"/>
          <w:numId w:val="10"/>
        </w:numPr>
        <w:rPr>
          <w:rFonts w:ascii="Arial" w:cs="Arial" w:eastAsia="Arial" w:hAnsi="Arial"/>
          <w:sz w:val="24"/>
          <w:szCs w:val="24"/>
          <w:color w:val="191919"/>
          <w:vertAlign w:val="subscript"/>
        </w:rPr>
      </w:pPr>
      <w:r>
        <w:rPr>
          <w:rFonts w:ascii="Arial" w:cs="Arial" w:eastAsia="Arial" w:hAnsi="Arial"/>
          <w:sz w:val="13"/>
          <w:szCs w:val="13"/>
          <w:color w:val="191919"/>
        </w:rPr>
        <w:t>We do not provide extensive perquisites to our executives</w:t>
      </w:r>
    </w:p>
    <w:p>
      <w:pPr>
        <w:spacing w:after="0" w:line="1010" w:lineRule="exact"/>
        <w:rPr>
          <w:sz w:val="20"/>
          <w:szCs w:val="20"/>
          <w:color w:val="auto"/>
        </w:rPr>
      </w:pPr>
    </w:p>
    <w:p>
      <w:pPr>
        <w:sectPr>
          <w:pgSz w:w="11900" w:h="16838" w:orient="portrait"/>
          <w:cols w:equalWidth="0" w:num="2">
            <w:col w:w="5700" w:space="252"/>
            <w:col w:w="5068"/>
          </w:cols>
          <w:pgMar w:left="240" w:top="459" w:right="6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00" w:hanging="296"/>
        <w:spacing w:after="0"/>
        <w:tabs>
          <w:tab w:leader="none" w:pos="500" w:val="left"/>
        </w:tabs>
        <w:numPr>
          <w:ilvl w:val="0"/>
          <w:numId w:val="11"/>
        </w:numPr>
        <w:rPr>
          <w:rFonts w:ascii="Arial" w:cs="Arial" w:eastAsia="Arial" w:hAnsi="Arial"/>
          <w:sz w:val="18"/>
          <w:szCs w:val="18"/>
          <w:color w:val="999999"/>
        </w:rPr>
      </w:pPr>
      <w:r>
        <w:rPr>
          <w:rFonts w:ascii="Arial" w:cs="Arial" w:eastAsia="Arial" w:hAnsi="Arial"/>
          <w:sz w:val="14"/>
          <w:szCs w:val="14"/>
          <w:b w:val="1"/>
          <w:bCs w:val="1"/>
          <w:color w:val="052B82"/>
        </w:rPr>
        <w:t>Analog Devices, Inc.</w:t>
      </w:r>
    </w:p>
    <w:p>
      <w:pPr>
        <w:sectPr>
          <w:pgSz w:w="11900" w:h="16838" w:orient="portrait"/>
          <w:cols w:equalWidth="0" w:num="1">
            <w:col w:w="11020"/>
          </w:cols>
          <w:pgMar w:left="240" w:top="459" w:right="6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205740</wp:posOffset>
            </wp:positionV>
            <wp:extent cx="7002145" cy="56876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02145" cy="5687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Shareholder Engagement By the Numbers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80" w:right="340" w:firstLine="426"/>
        <w:spacing w:after="0" w:line="239" w:lineRule="auto"/>
        <w:rPr>
          <w:sz w:val="20"/>
          <w:szCs w:val="20"/>
          <w:color w:val="auto"/>
        </w:rPr>
      </w:pPr>
      <w:r>
        <w:rPr>
          <w:rFonts w:ascii="Arial" w:cs="Arial" w:eastAsia="Arial" w:hAnsi="Arial"/>
          <w:sz w:val="18"/>
          <w:szCs w:val="18"/>
          <w:color w:val="auto"/>
        </w:rPr>
        <w:t>In the spirit of continuous improvement, we have reviewed with our Board of Directors the key takeaways from these meetings with our shareholders with the goal of continuing to evolve our corporate governance practices to best meet the needs of the Company and our shareholders. Our dialogue has led to enhancements to our practices and disclosure, which our Board believes is in the best interests of our company and our shareholders. For example we:</w:t>
      </w:r>
    </w:p>
    <w:p>
      <w:pPr>
        <w:spacing w:after="0" w:line="85" w:lineRule="exact"/>
        <w:rPr>
          <w:sz w:val="20"/>
          <w:szCs w:val="20"/>
          <w:color w:val="auto"/>
        </w:rPr>
      </w:pPr>
    </w:p>
    <w:p>
      <w:pPr>
        <w:ind w:left="1320" w:right="920" w:hanging="407"/>
        <w:spacing w:after="0" w:line="271" w:lineRule="auto"/>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Enhanced our disclosure </w:t>
      </w:r>
      <w:r>
        <w:rPr>
          <w:rFonts w:ascii="Arial" w:cs="Arial" w:eastAsia="Arial" w:hAnsi="Arial"/>
          <w:sz w:val="18"/>
          <w:szCs w:val="18"/>
          <w:color w:val="auto"/>
        </w:rPr>
        <w:t>through publishing our first Diversity &amp; Inclusion report, which can be found within our</w:t>
      </w:r>
      <w:r>
        <w:rPr>
          <w:rFonts w:ascii="Arial" w:cs="Arial" w:eastAsia="Arial" w:hAnsi="Arial"/>
          <w:sz w:val="18"/>
          <w:szCs w:val="18"/>
          <w:b w:val="1"/>
          <w:bCs w:val="1"/>
          <w:color w:val="auto"/>
        </w:rPr>
        <w:t xml:space="preserve"> </w:t>
      </w:r>
      <w:r>
        <w:rPr>
          <w:rFonts w:ascii="Arial" w:cs="Arial" w:eastAsia="Arial" w:hAnsi="Arial"/>
          <w:sz w:val="18"/>
          <w:szCs w:val="18"/>
          <w:color w:val="auto"/>
        </w:rPr>
        <w:t>Sustainability Report on our website</w:t>
      </w:r>
    </w:p>
    <w:p>
      <w:pPr>
        <w:spacing w:after="0" w:line="59" w:lineRule="exact"/>
        <w:rPr>
          <w:rFonts w:ascii="Arial" w:cs="Arial" w:eastAsia="Arial" w:hAnsi="Arial"/>
          <w:sz w:val="18"/>
          <w:szCs w:val="18"/>
          <w:color w:val="auto"/>
        </w:rPr>
      </w:pPr>
    </w:p>
    <w:p>
      <w:pPr>
        <w:ind w:left="1320" w:right="420" w:hanging="407"/>
        <w:spacing w:after="0" w:line="271" w:lineRule="auto"/>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Continued to refine our shareholder engagement process </w:t>
      </w:r>
      <w:r>
        <w:rPr>
          <w:rFonts w:ascii="Arial" w:cs="Arial" w:eastAsia="Arial" w:hAnsi="Arial"/>
          <w:sz w:val="18"/>
          <w:szCs w:val="18"/>
          <w:color w:val="auto"/>
        </w:rPr>
        <w:t>to connect our shareholders with key stakeholders within</w:t>
      </w:r>
      <w:r>
        <w:rPr>
          <w:rFonts w:ascii="Arial" w:cs="Arial" w:eastAsia="Arial" w:hAnsi="Arial"/>
          <w:sz w:val="18"/>
          <w:szCs w:val="18"/>
          <w:b w:val="1"/>
          <w:bCs w:val="1"/>
          <w:color w:val="auto"/>
        </w:rPr>
        <w:t xml:space="preserve"> </w:t>
      </w:r>
      <w:r>
        <w:rPr>
          <w:rFonts w:ascii="Arial" w:cs="Arial" w:eastAsia="Arial" w:hAnsi="Arial"/>
          <w:sz w:val="18"/>
          <w:szCs w:val="18"/>
          <w:color w:val="auto"/>
        </w:rPr>
        <w:t>our company around topics of interest, including sustainability reporting and human capital management</w:t>
      </w:r>
    </w:p>
    <w:p>
      <w:pPr>
        <w:spacing w:after="0" w:line="59" w:lineRule="exact"/>
        <w:rPr>
          <w:rFonts w:ascii="Arial" w:cs="Arial" w:eastAsia="Arial" w:hAnsi="Arial"/>
          <w:sz w:val="18"/>
          <w:szCs w:val="18"/>
          <w:color w:val="auto"/>
        </w:rPr>
      </w:pPr>
    </w:p>
    <w:p>
      <w:pPr>
        <w:ind w:left="1320" w:right="400" w:hanging="407"/>
        <w:spacing w:after="0" w:line="271" w:lineRule="auto"/>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Updated our corporate governance disclosure </w:t>
      </w:r>
      <w:r>
        <w:rPr>
          <w:rFonts w:ascii="Arial" w:cs="Arial" w:eastAsia="Arial" w:hAnsi="Arial"/>
          <w:sz w:val="18"/>
          <w:szCs w:val="18"/>
          <w:color w:val="auto"/>
        </w:rPr>
        <w:t>regarding our Board and its practices, including director qualifications</w:t>
      </w:r>
      <w:r>
        <w:rPr>
          <w:rFonts w:ascii="Arial" w:cs="Arial" w:eastAsia="Arial" w:hAnsi="Arial"/>
          <w:sz w:val="18"/>
          <w:szCs w:val="18"/>
          <w:b w:val="1"/>
          <w:bCs w:val="1"/>
          <w:color w:val="auto"/>
        </w:rPr>
        <w:t xml:space="preserve"> </w:t>
      </w:r>
      <w:r>
        <w:rPr>
          <w:rFonts w:ascii="Arial" w:cs="Arial" w:eastAsia="Arial" w:hAnsi="Arial"/>
          <w:sz w:val="18"/>
          <w:szCs w:val="18"/>
          <w:color w:val="auto"/>
        </w:rPr>
        <w:t>and skills, the Board self-evaluation process and the Board’s oversight of risk</w:t>
      </w:r>
    </w:p>
    <w:p>
      <w:pPr>
        <w:spacing w:after="0" w:line="59" w:lineRule="exact"/>
        <w:rPr>
          <w:rFonts w:ascii="Arial" w:cs="Arial" w:eastAsia="Arial" w:hAnsi="Arial"/>
          <w:sz w:val="18"/>
          <w:szCs w:val="18"/>
          <w:color w:val="auto"/>
        </w:rPr>
      </w:pPr>
    </w:p>
    <w:p>
      <w:pPr>
        <w:ind w:left="1320" w:hanging="407"/>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Expanded our CD&amp;A disclosure </w:t>
      </w:r>
      <w:r>
        <w:rPr>
          <w:rFonts w:ascii="Arial" w:cs="Arial" w:eastAsia="Arial" w:hAnsi="Arial"/>
          <w:sz w:val="18"/>
          <w:szCs w:val="18"/>
          <w:color w:val="auto"/>
        </w:rPr>
        <w:t>relating to incentive performance targets</w:t>
      </w:r>
    </w:p>
    <w:p>
      <w:pPr>
        <w:spacing w:after="0" w:line="234" w:lineRule="exact"/>
        <w:rPr>
          <w:sz w:val="20"/>
          <w:szCs w:val="20"/>
          <w:color w:val="auto"/>
        </w:rPr>
      </w:pPr>
    </w:p>
    <w:p>
      <w:pPr>
        <w:ind w:left="380" w:right="360" w:firstLine="426"/>
        <w:spacing w:after="0" w:line="246" w:lineRule="auto"/>
        <w:rPr>
          <w:sz w:val="20"/>
          <w:szCs w:val="20"/>
          <w:color w:val="auto"/>
        </w:rPr>
      </w:pPr>
      <w:r>
        <w:rPr>
          <w:rFonts w:ascii="Arial" w:cs="Arial" w:eastAsia="Arial" w:hAnsi="Arial"/>
          <w:sz w:val="18"/>
          <w:szCs w:val="18"/>
          <w:color w:val="auto"/>
        </w:rPr>
        <w:t>We intend to continue our shareholder outreach efforts on an on-going basis and look forward to continuing to engage with our valued shareholders.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4"/>
          <w:szCs w:val="14"/>
          <w:b w:val="1"/>
          <w:bCs w:val="1"/>
          <w:color w:val="052B82"/>
        </w:rPr>
        <w:t>2020 Proxy Statement</w:t>
      </w:r>
      <w:r>
        <w:rPr>
          <w:sz w:val="20"/>
          <w:szCs w:val="20"/>
          <w:color w:val="auto"/>
        </w:rPr>
        <w:tab/>
      </w:r>
      <w:r>
        <w:rPr>
          <w:rFonts w:ascii="Arial" w:cs="Arial" w:eastAsia="Arial" w:hAnsi="Arial"/>
          <w:sz w:val="17"/>
          <w:szCs w:val="17"/>
          <w:color w:val="999999"/>
        </w:rPr>
        <w:t>5</w:t>
      </w:r>
    </w:p>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2649855"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210" w:type="dxa"/>
        <w:tblCellMar>
          <w:top w:w="0" w:type="dxa"/>
          <w:left w:w="0" w:type="dxa"/>
          <w:bottom w:w="0" w:type="dxa"/>
          <w:right w:w="0" w:type="dxa"/>
        </w:tblCellMar>
      </w:tblPr>
      <w:tr>
        <w:trPr>
          <w:trHeight w:val="408"/>
        </w:trPr>
        <w:tc>
          <w:tcPr>
            <w:tcW w:w="180" w:type="dxa"/>
            <w:vAlign w:val="bottom"/>
            <w:tcBorders>
              <w:top w:val="single" w:sz="8" w:color="auto"/>
              <w:left w:val="single" w:sz="8" w:color="auto"/>
            </w:tcBorders>
          </w:tcPr>
          <w:p>
            <w:pPr>
              <w:spacing w:after="0"/>
              <w:rPr>
                <w:sz w:val="24"/>
                <w:szCs w:val="24"/>
                <w:color w:val="auto"/>
              </w:rPr>
            </w:pPr>
          </w:p>
        </w:tc>
        <w:tc>
          <w:tcPr>
            <w:tcW w:w="28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052B82"/>
              </w:rPr>
              <w:t>BOARD OF DIRECTORS</w:t>
            </w:r>
          </w:p>
        </w:tc>
        <w:tc>
          <w:tcPr>
            <w:tcW w:w="5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9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r>
      <w:tr>
        <w:trPr>
          <w:trHeight w:val="311"/>
        </w:trPr>
        <w:tc>
          <w:tcPr>
            <w:tcW w:w="180" w:type="dxa"/>
            <w:vAlign w:val="bottom"/>
            <w:tcBorders>
              <w:left w:val="single" w:sz="8" w:color="auto"/>
            </w:tcBorders>
          </w:tcPr>
          <w:p>
            <w:pPr>
              <w:spacing w:after="0"/>
              <w:rPr>
                <w:sz w:val="24"/>
                <w:szCs w:val="24"/>
                <w:color w:val="auto"/>
              </w:rPr>
            </w:pPr>
          </w:p>
        </w:tc>
        <w:tc>
          <w:tcPr>
            <w:tcW w:w="2820" w:type="dxa"/>
            <w:vAlign w:val="bottom"/>
          </w:tcPr>
          <w:p>
            <w:pPr>
              <w:spacing w:after="0"/>
              <w:rPr>
                <w:sz w:val="20"/>
                <w:szCs w:val="20"/>
                <w:color w:val="auto"/>
              </w:rPr>
            </w:pPr>
            <w:r>
              <w:rPr>
                <w:rFonts w:ascii="Arial" w:cs="Arial" w:eastAsia="Arial" w:hAnsi="Arial"/>
                <w:sz w:val="18"/>
                <w:szCs w:val="18"/>
                <w:b w:val="1"/>
                <w:bCs w:val="1"/>
                <w:color w:val="auto"/>
              </w:rPr>
              <w:t>Director Nominees</w:t>
            </w: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r>
      <w:tr>
        <w:trPr>
          <w:trHeight w:val="230"/>
        </w:trPr>
        <w:tc>
          <w:tcPr>
            <w:tcW w:w="180" w:type="dxa"/>
            <w:vAlign w:val="bottom"/>
            <w:tcBorders>
              <w:left w:val="single" w:sz="8" w:color="auto"/>
            </w:tcBorders>
          </w:tcPr>
          <w:p>
            <w:pPr>
              <w:spacing w:after="0"/>
              <w:rPr>
                <w:sz w:val="19"/>
                <w:szCs w:val="19"/>
                <w:color w:val="auto"/>
              </w:rPr>
            </w:pPr>
          </w:p>
        </w:tc>
        <w:tc>
          <w:tcPr>
            <w:tcW w:w="2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r>
      <w:tr>
        <w:trPr>
          <w:trHeight w:val="149"/>
        </w:trPr>
        <w:tc>
          <w:tcPr>
            <w:tcW w:w="180" w:type="dxa"/>
            <w:vAlign w:val="bottom"/>
            <w:tcBorders>
              <w:left w:val="single" w:sz="8" w:color="auto"/>
            </w:tcBorders>
          </w:tcPr>
          <w:p>
            <w:pPr>
              <w:spacing w:after="0"/>
              <w:rPr>
                <w:sz w:val="12"/>
                <w:szCs w:val="12"/>
                <w:color w:val="auto"/>
              </w:rPr>
            </w:pPr>
          </w:p>
        </w:tc>
        <w:tc>
          <w:tcPr>
            <w:tcW w:w="2820" w:type="dxa"/>
            <w:vAlign w:val="bottom"/>
            <w:shd w:val="clear" w:color="auto" w:fill="052B82"/>
          </w:tcPr>
          <w:p>
            <w:pPr>
              <w:spacing w:after="0"/>
              <w:rPr>
                <w:sz w:val="12"/>
                <w:szCs w:val="12"/>
                <w:color w:val="auto"/>
              </w:rPr>
            </w:pPr>
          </w:p>
        </w:tc>
        <w:tc>
          <w:tcPr>
            <w:tcW w:w="560" w:type="dxa"/>
            <w:vAlign w:val="bottom"/>
            <w:shd w:val="clear" w:color="auto" w:fill="052B82"/>
          </w:tcPr>
          <w:p>
            <w:pPr>
              <w:spacing w:after="0"/>
              <w:rPr>
                <w:sz w:val="12"/>
                <w:szCs w:val="12"/>
                <w:color w:val="auto"/>
              </w:rPr>
            </w:pPr>
          </w:p>
        </w:tc>
        <w:tc>
          <w:tcPr>
            <w:tcW w:w="740" w:type="dxa"/>
            <w:vAlign w:val="bottom"/>
            <w:shd w:val="clear" w:color="auto" w:fill="052B82"/>
          </w:tcPr>
          <w:p>
            <w:pPr>
              <w:spacing w:after="0"/>
              <w:rPr>
                <w:sz w:val="12"/>
                <w:szCs w:val="12"/>
                <w:color w:val="auto"/>
              </w:rPr>
            </w:pPr>
          </w:p>
        </w:tc>
        <w:tc>
          <w:tcPr>
            <w:tcW w:w="2900" w:type="dxa"/>
            <w:vAlign w:val="bottom"/>
            <w:shd w:val="clear" w:color="auto" w:fill="052B82"/>
          </w:tcPr>
          <w:p>
            <w:pPr>
              <w:spacing w:after="0"/>
              <w:rPr>
                <w:sz w:val="12"/>
                <w:szCs w:val="12"/>
                <w:color w:val="auto"/>
              </w:rPr>
            </w:pPr>
          </w:p>
        </w:tc>
        <w:tc>
          <w:tcPr>
            <w:tcW w:w="440" w:type="dxa"/>
            <w:vAlign w:val="bottom"/>
            <w:shd w:val="clear" w:color="auto" w:fill="052B82"/>
          </w:tcPr>
          <w:p>
            <w:pPr>
              <w:spacing w:after="0"/>
              <w:rPr>
                <w:sz w:val="12"/>
                <w:szCs w:val="12"/>
                <w:color w:val="auto"/>
              </w:rPr>
            </w:pPr>
          </w:p>
        </w:tc>
        <w:tc>
          <w:tcPr>
            <w:tcW w:w="360" w:type="dxa"/>
            <w:vAlign w:val="bottom"/>
            <w:shd w:val="clear" w:color="auto" w:fill="052B82"/>
          </w:tcPr>
          <w:p>
            <w:pPr>
              <w:spacing w:after="0"/>
              <w:rPr>
                <w:sz w:val="12"/>
                <w:szCs w:val="12"/>
                <w:color w:val="auto"/>
              </w:rPr>
            </w:pPr>
          </w:p>
        </w:tc>
        <w:tc>
          <w:tcPr>
            <w:tcW w:w="680" w:type="dxa"/>
            <w:vAlign w:val="bottom"/>
            <w:shd w:val="clear" w:color="auto" w:fill="052B82"/>
          </w:tcPr>
          <w:p>
            <w:pPr>
              <w:spacing w:after="0"/>
              <w:rPr>
                <w:sz w:val="12"/>
                <w:szCs w:val="12"/>
                <w:color w:val="auto"/>
              </w:rPr>
            </w:pPr>
          </w:p>
        </w:tc>
        <w:tc>
          <w:tcPr>
            <w:tcW w:w="1080" w:type="dxa"/>
            <w:vAlign w:val="bottom"/>
            <w:shd w:val="clear" w:color="auto" w:fill="052B82"/>
          </w:tcPr>
          <w:p>
            <w:pPr>
              <w:jc w:val="center"/>
              <w:spacing w:after="0" w:line="149" w:lineRule="exact"/>
              <w:rPr>
                <w:sz w:val="20"/>
                <w:szCs w:val="20"/>
                <w:color w:val="auto"/>
              </w:rPr>
            </w:pPr>
            <w:r>
              <w:rPr>
                <w:rFonts w:ascii="Arial" w:cs="Arial" w:eastAsia="Arial" w:hAnsi="Arial"/>
                <w:sz w:val="14"/>
                <w:szCs w:val="14"/>
                <w:b w:val="1"/>
                <w:bCs w:val="1"/>
                <w:color w:val="FFFFFF"/>
              </w:rPr>
              <w:t>Other Public</w:t>
            </w:r>
          </w:p>
        </w:tc>
        <w:tc>
          <w:tcPr>
            <w:tcW w:w="1060" w:type="dxa"/>
            <w:vAlign w:val="bottom"/>
            <w:shd w:val="clear" w:color="auto" w:fill="052B82"/>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r>
      <w:tr>
        <w:trPr>
          <w:trHeight w:val="162"/>
        </w:trPr>
        <w:tc>
          <w:tcPr>
            <w:tcW w:w="180" w:type="dxa"/>
            <w:vAlign w:val="bottom"/>
            <w:tcBorders>
              <w:left w:val="single" w:sz="8" w:color="auto"/>
            </w:tcBorders>
          </w:tcPr>
          <w:p>
            <w:pPr>
              <w:spacing w:after="0"/>
              <w:rPr>
                <w:sz w:val="14"/>
                <w:szCs w:val="14"/>
                <w:color w:val="auto"/>
              </w:rPr>
            </w:pPr>
          </w:p>
        </w:tc>
        <w:tc>
          <w:tcPr>
            <w:tcW w:w="2820" w:type="dxa"/>
            <w:vAlign w:val="bottom"/>
            <w:shd w:val="clear" w:color="auto" w:fill="052B82"/>
          </w:tcPr>
          <w:p>
            <w:pPr>
              <w:spacing w:after="0"/>
              <w:rPr>
                <w:sz w:val="14"/>
                <w:szCs w:val="14"/>
                <w:color w:val="auto"/>
              </w:rPr>
            </w:pPr>
          </w:p>
        </w:tc>
        <w:tc>
          <w:tcPr>
            <w:tcW w:w="560" w:type="dxa"/>
            <w:vAlign w:val="bottom"/>
            <w:shd w:val="clear" w:color="auto" w:fill="052B82"/>
          </w:tcPr>
          <w:p>
            <w:pPr>
              <w:spacing w:after="0"/>
              <w:rPr>
                <w:sz w:val="14"/>
                <w:szCs w:val="14"/>
                <w:color w:val="auto"/>
              </w:rPr>
            </w:pPr>
          </w:p>
        </w:tc>
        <w:tc>
          <w:tcPr>
            <w:tcW w:w="740" w:type="dxa"/>
            <w:vAlign w:val="bottom"/>
            <w:shd w:val="clear" w:color="auto" w:fill="052B82"/>
          </w:tcPr>
          <w:p>
            <w:pPr>
              <w:ind w:left="100"/>
              <w:spacing w:after="0"/>
              <w:rPr>
                <w:sz w:val="20"/>
                <w:szCs w:val="20"/>
                <w:color w:val="auto"/>
              </w:rPr>
            </w:pPr>
            <w:r>
              <w:rPr>
                <w:rFonts w:ascii="Arial" w:cs="Arial" w:eastAsia="Arial" w:hAnsi="Arial"/>
                <w:sz w:val="14"/>
                <w:szCs w:val="14"/>
                <w:b w:val="1"/>
                <w:bCs w:val="1"/>
                <w:color w:val="FFFFFF"/>
              </w:rPr>
              <w:t>Director</w:t>
            </w:r>
          </w:p>
        </w:tc>
        <w:tc>
          <w:tcPr>
            <w:tcW w:w="2900" w:type="dxa"/>
            <w:vAlign w:val="bottom"/>
            <w:shd w:val="clear" w:color="auto" w:fill="052B82"/>
          </w:tcPr>
          <w:p>
            <w:pPr>
              <w:spacing w:after="0"/>
              <w:rPr>
                <w:sz w:val="14"/>
                <w:szCs w:val="14"/>
                <w:color w:val="auto"/>
              </w:rPr>
            </w:pPr>
          </w:p>
        </w:tc>
        <w:tc>
          <w:tcPr>
            <w:tcW w:w="440" w:type="dxa"/>
            <w:vAlign w:val="bottom"/>
            <w:shd w:val="clear" w:color="auto" w:fill="052B82"/>
          </w:tcPr>
          <w:p>
            <w:pPr>
              <w:spacing w:after="0"/>
              <w:rPr>
                <w:sz w:val="14"/>
                <w:szCs w:val="14"/>
                <w:color w:val="auto"/>
              </w:rPr>
            </w:pPr>
          </w:p>
        </w:tc>
        <w:tc>
          <w:tcPr>
            <w:tcW w:w="1040" w:type="dxa"/>
            <w:vAlign w:val="bottom"/>
            <w:gridSpan w:val="2"/>
            <w:shd w:val="clear" w:color="auto" w:fill="052B82"/>
          </w:tcPr>
          <w:p>
            <w:pPr>
              <w:jc w:val="center"/>
              <w:spacing w:after="0"/>
              <w:rPr>
                <w:sz w:val="20"/>
                <w:szCs w:val="20"/>
                <w:color w:val="auto"/>
              </w:rPr>
            </w:pPr>
            <w:r>
              <w:rPr>
                <w:rFonts w:ascii="Arial" w:cs="Arial" w:eastAsia="Arial" w:hAnsi="Arial"/>
                <w:sz w:val="14"/>
                <w:szCs w:val="14"/>
                <w:b w:val="1"/>
                <w:bCs w:val="1"/>
                <w:color w:val="FFFFFF"/>
              </w:rPr>
              <w:t>Independent</w:t>
            </w:r>
          </w:p>
        </w:tc>
        <w:tc>
          <w:tcPr>
            <w:tcW w:w="108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Company</w:t>
            </w:r>
          </w:p>
        </w:tc>
        <w:tc>
          <w:tcPr>
            <w:tcW w:w="10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Committee</w:t>
            </w:r>
          </w:p>
        </w:tc>
        <w:tc>
          <w:tcPr>
            <w:tcW w:w="220" w:type="dxa"/>
            <w:vAlign w:val="bottom"/>
            <w:tcBorders>
              <w:right w:val="single" w:sz="8" w:color="auto"/>
            </w:tcBorders>
          </w:tcPr>
          <w:p>
            <w:pPr>
              <w:spacing w:after="0"/>
              <w:rPr>
                <w:sz w:val="14"/>
                <w:szCs w:val="14"/>
                <w:color w:val="auto"/>
              </w:rPr>
            </w:pPr>
          </w:p>
        </w:tc>
      </w:tr>
      <w:tr>
        <w:trPr>
          <w:trHeight w:val="175"/>
        </w:trPr>
        <w:tc>
          <w:tcPr>
            <w:tcW w:w="180" w:type="dxa"/>
            <w:vAlign w:val="bottom"/>
            <w:tcBorders>
              <w:left w:val="single" w:sz="8" w:color="auto"/>
            </w:tcBorders>
          </w:tcPr>
          <w:p>
            <w:pPr>
              <w:spacing w:after="0"/>
              <w:rPr>
                <w:sz w:val="15"/>
                <w:szCs w:val="15"/>
                <w:color w:val="auto"/>
              </w:rPr>
            </w:pPr>
          </w:p>
        </w:tc>
        <w:tc>
          <w:tcPr>
            <w:tcW w:w="2820" w:type="dxa"/>
            <w:vAlign w:val="bottom"/>
            <w:shd w:val="clear" w:color="auto" w:fill="052B82"/>
          </w:tcPr>
          <w:p>
            <w:pPr>
              <w:ind w:left="60"/>
              <w:spacing w:after="0"/>
              <w:rPr>
                <w:sz w:val="20"/>
                <w:szCs w:val="20"/>
                <w:color w:val="auto"/>
              </w:rPr>
            </w:pPr>
            <w:r>
              <w:rPr>
                <w:rFonts w:ascii="Arial" w:cs="Arial" w:eastAsia="Arial" w:hAnsi="Arial"/>
                <w:sz w:val="14"/>
                <w:szCs w:val="14"/>
                <w:b w:val="1"/>
                <w:bCs w:val="1"/>
                <w:color w:val="FFFFFF"/>
              </w:rPr>
              <w:t>Name</w:t>
            </w:r>
          </w:p>
        </w:tc>
        <w:tc>
          <w:tcPr>
            <w:tcW w:w="560" w:type="dxa"/>
            <w:vAlign w:val="bottom"/>
            <w:shd w:val="clear" w:color="auto" w:fill="052B82"/>
          </w:tcPr>
          <w:p>
            <w:pPr>
              <w:jc w:val="center"/>
              <w:ind w:left="12"/>
              <w:spacing w:after="0"/>
              <w:rPr>
                <w:sz w:val="20"/>
                <w:szCs w:val="20"/>
                <w:color w:val="auto"/>
              </w:rPr>
            </w:pPr>
            <w:r>
              <w:rPr>
                <w:rFonts w:ascii="Arial" w:cs="Arial" w:eastAsia="Arial" w:hAnsi="Arial"/>
                <w:sz w:val="14"/>
                <w:szCs w:val="14"/>
                <w:b w:val="1"/>
                <w:bCs w:val="1"/>
                <w:color w:val="FFFFFF"/>
                <w:w w:val="98"/>
              </w:rPr>
              <w:t>Age</w:t>
            </w:r>
          </w:p>
        </w:tc>
        <w:tc>
          <w:tcPr>
            <w:tcW w:w="740" w:type="dxa"/>
            <w:vAlign w:val="bottom"/>
            <w:shd w:val="clear" w:color="auto" w:fill="052B82"/>
          </w:tcPr>
          <w:p>
            <w:pPr>
              <w:ind w:left="180"/>
              <w:spacing w:after="0"/>
              <w:rPr>
                <w:sz w:val="20"/>
                <w:szCs w:val="20"/>
                <w:color w:val="auto"/>
              </w:rPr>
            </w:pPr>
            <w:r>
              <w:rPr>
                <w:rFonts w:ascii="Arial" w:cs="Arial" w:eastAsia="Arial" w:hAnsi="Arial"/>
                <w:sz w:val="14"/>
                <w:szCs w:val="14"/>
                <w:b w:val="1"/>
                <w:bCs w:val="1"/>
                <w:color w:val="FFFFFF"/>
              </w:rPr>
              <w:t>Since</w:t>
            </w:r>
          </w:p>
        </w:tc>
        <w:tc>
          <w:tcPr>
            <w:tcW w:w="2900" w:type="dxa"/>
            <w:vAlign w:val="bottom"/>
            <w:shd w:val="clear" w:color="auto" w:fill="052B82"/>
          </w:tcPr>
          <w:p>
            <w:pPr>
              <w:jc w:val="center"/>
              <w:ind w:left="331"/>
              <w:spacing w:after="0"/>
              <w:rPr>
                <w:sz w:val="20"/>
                <w:szCs w:val="20"/>
                <w:color w:val="auto"/>
              </w:rPr>
            </w:pPr>
            <w:r>
              <w:rPr>
                <w:rFonts w:ascii="Arial" w:cs="Arial" w:eastAsia="Arial" w:hAnsi="Arial"/>
                <w:sz w:val="14"/>
                <w:szCs w:val="14"/>
                <w:b w:val="1"/>
                <w:bCs w:val="1"/>
                <w:color w:val="FFFFFF"/>
              </w:rPr>
              <w:t>Principal Occupation</w:t>
            </w:r>
          </w:p>
        </w:tc>
        <w:tc>
          <w:tcPr>
            <w:tcW w:w="440" w:type="dxa"/>
            <w:vAlign w:val="bottom"/>
            <w:shd w:val="clear" w:color="auto" w:fill="052B82"/>
          </w:tcPr>
          <w:p>
            <w:pPr>
              <w:spacing w:after="0"/>
              <w:rPr>
                <w:sz w:val="15"/>
                <w:szCs w:val="15"/>
                <w:color w:val="auto"/>
              </w:rPr>
            </w:pPr>
          </w:p>
        </w:tc>
        <w:tc>
          <w:tcPr>
            <w:tcW w:w="1040" w:type="dxa"/>
            <w:vAlign w:val="bottom"/>
            <w:gridSpan w:val="2"/>
            <w:shd w:val="clear" w:color="auto" w:fill="052B82"/>
          </w:tcPr>
          <w:p>
            <w:pPr>
              <w:jc w:val="center"/>
              <w:spacing w:after="0"/>
              <w:rPr>
                <w:sz w:val="20"/>
                <w:szCs w:val="20"/>
                <w:color w:val="auto"/>
              </w:rPr>
            </w:pPr>
            <w:r>
              <w:rPr>
                <w:rFonts w:ascii="Arial" w:cs="Arial" w:eastAsia="Arial" w:hAnsi="Arial"/>
                <w:sz w:val="14"/>
                <w:szCs w:val="14"/>
                <w:b w:val="1"/>
                <w:bCs w:val="1"/>
                <w:color w:val="FFFFFF"/>
              </w:rPr>
              <w:t>Director</w:t>
            </w:r>
          </w:p>
        </w:tc>
        <w:tc>
          <w:tcPr>
            <w:tcW w:w="108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Board(s)</w:t>
            </w:r>
          </w:p>
        </w:tc>
        <w:tc>
          <w:tcPr>
            <w:tcW w:w="10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Membership</w:t>
            </w:r>
          </w:p>
        </w:tc>
        <w:tc>
          <w:tcPr>
            <w:tcW w:w="220" w:type="dxa"/>
            <w:vAlign w:val="bottom"/>
            <w:tcBorders>
              <w:right w:val="single" w:sz="8" w:color="auto"/>
            </w:tcBorders>
          </w:tcPr>
          <w:p>
            <w:pPr>
              <w:spacing w:after="0"/>
              <w:rPr>
                <w:sz w:val="15"/>
                <w:szCs w:val="15"/>
                <w:color w:val="auto"/>
              </w:rPr>
            </w:pPr>
          </w:p>
        </w:tc>
      </w:tr>
      <w:tr>
        <w:trPr>
          <w:trHeight w:val="202"/>
        </w:trPr>
        <w:tc>
          <w:tcPr>
            <w:tcW w:w="180" w:type="dxa"/>
            <w:vAlign w:val="bottom"/>
            <w:tcBorders>
              <w:left w:val="single" w:sz="8" w:color="auto"/>
            </w:tcBorders>
          </w:tcPr>
          <w:p>
            <w:pPr>
              <w:spacing w:after="0"/>
              <w:rPr>
                <w:sz w:val="17"/>
                <w:szCs w:val="17"/>
                <w:color w:val="auto"/>
              </w:rPr>
            </w:pPr>
          </w:p>
        </w:tc>
        <w:tc>
          <w:tcPr>
            <w:tcW w:w="2820" w:type="dxa"/>
            <w:vAlign w:val="bottom"/>
          </w:tcPr>
          <w:p>
            <w:pPr>
              <w:ind w:left="60"/>
              <w:spacing w:after="0" w:line="201" w:lineRule="exact"/>
              <w:rPr>
                <w:sz w:val="20"/>
                <w:szCs w:val="20"/>
                <w:color w:val="auto"/>
              </w:rPr>
            </w:pPr>
            <w:r>
              <w:rPr>
                <w:rFonts w:ascii="Arial" w:cs="Arial" w:eastAsia="Arial" w:hAnsi="Arial"/>
                <w:sz w:val="18"/>
                <w:szCs w:val="18"/>
                <w:color w:val="auto"/>
              </w:rPr>
              <w:t>Ray Stata</w:t>
            </w:r>
          </w:p>
        </w:tc>
        <w:tc>
          <w:tcPr>
            <w:tcW w:w="560" w:type="dxa"/>
            <w:vAlign w:val="bottom"/>
          </w:tcPr>
          <w:p>
            <w:pPr>
              <w:jc w:val="center"/>
              <w:ind w:left="32"/>
              <w:spacing w:after="0" w:line="201" w:lineRule="exact"/>
              <w:rPr>
                <w:sz w:val="20"/>
                <w:szCs w:val="20"/>
                <w:color w:val="auto"/>
              </w:rPr>
            </w:pPr>
            <w:r>
              <w:rPr>
                <w:rFonts w:ascii="Arial" w:cs="Arial" w:eastAsia="Arial" w:hAnsi="Arial"/>
                <w:sz w:val="18"/>
                <w:szCs w:val="18"/>
                <w:color w:val="auto"/>
                <w:w w:val="99"/>
              </w:rPr>
              <w:t>85</w:t>
            </w:r>
          </w:p>
        </w:tc>
        <w:tc>
          <w:tcPr>
            <w:tcW w:w="740" w:type="dxa"/>
            <w:vAlign w:val="bottom"/>
          </w:tcPr>
          <w:p>
            <w:pPr>
              <w:ind w:left="160"/>
              <w:spacing w:after="0" w:line="201" w:lineRule="exact"/>
              <w:rPr>
                <w:sz w:val="20"/>
                <w:szCs w:val="20"/>
                <w:color w:val="auto"/>
              </w:rPr>
            </w:pPr>
            <w:r>
              <w:rPr>
                <w:rFonts w:ascii="Arial" w:cs="Arial" w:eastAsia="Arial" w:hAnsi="Arial"/>
                <w:sz w:val="18"/>
                <w:szCs w:val="18"/>
                <w:color w:val="auto"/>
              </w:rPr>
              <w:t>1965</w:t>
            </w:r>
          </w:p>
        </w:tc>
        <w:tc>
          <w:tcPr>
            <w:tcW w:w="334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99"/>
              </w:rPr>
              <w:t>Chairman of the Board of Analog</w:t>
            </w:r>
          </w:p>
        </w:tc>
        <w:tc>
          <w:tcPr>
            <w:tcW w:w="360" w:type="dxa"/>
            <w:vAlign w:val="bottom"/>
          </w:tcPr>
          <w:p>
            <w:pPr>
              <w:spacing w:after="0"/>
              <w:rPr>
                <w:sz w:val="17"/>
                <w:szCs w:val="17"/>
                <w:color w:val="auto"/>
              </w:rPr>
            </w:pPr>
          </w:p>
        </w:tc>
        <w:tc>
          <w:tcPr>
            <w:tcW w:w="680" w:type="dxa"/>
            <w:vAlign w:val="bottom"/>
          </w:tcPr>
          <w:p>
            <w:pPr>
              <w:ind w:left="100"/>
              <w:spacing w:after="0" w:line="202" w:lineRule="exact"/>
              <w:rPr>
                <w:sz w:val="20"/>
                <w:szCs w:val="20"/>
                <w:color w:val="auto"/>
              </w:rPr>
            </w:pPr>
            <w:r>
              <w:rPr>
                <w:rFonts w:ascii="Arial" w:cs="Arial" w:eastAsia="Arial" w:hAnsi="Arial"/>
                <w:sz w:val="19"/>
                <w:szCs w:val="19"/>
                <w:color w:val="191919"/>
              </w:rPr>
              <w:t>Ò</w:t>
            </w:r>
          </w:p>
        </w:tc>
        <w:tc>
          <w:tcPr>
            <w:tcW w:w="108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c>
          <w:tcPr>
            <w:tcW w:w="106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c>
          <w:tcPr>
            <w:tcW w:w="220" w:type="dxa"/>
            <w:vAlign w:val="bottom"/>
            <w:tcBorders>
              <w:right w:val="single" w:sz="8" w:color="auto"/>
            </w:tcBorders>
          </w:tcPr>
          <w:p>
            <w:pPr>
              <w:spacing w:after="0"/>
              <w:rPr>
                <w:sz w:val="17"/>
                <w:szCs w:val="17"/>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2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900" w:type="dxa"/>
            <w:vAlign w:val="bottom"/>
          </w:tcPr>
          <w:p>
            <w:pPr>
              <w:jc w:val="center"/>
              <w:ind w:left="351"/>
              <w:spacing w:after="0" w:line="203" w:lineRule="exact"/>
              <w:rPr>
                <w:sz w:val="20"/>
                <w:szCs w:val="20"/>
                <w:color w:val="auto"/>
              </w:rPr>
            </w:pPr>
            <w:r>
              <w:rPr>
                <w:rFonts w:ascii="Arial" w:cs="Arial" w:eastAsia="Arial" w:hAnsi="Arial"/>
                <w:sz w:val="18"/>
                <w:szCs w:val="18"/>
                <w:color w:val="auto"/>
                <w:w w:val="98"/>
              </w:rPr>
              <w:t>Devices, Inc.</w:t>
            </w: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r>
      <w:tr>
        <w:trPr>
          <w:trHeight w:val="256"/>
        </w:trPr>
        <w:tc>
          <w:tcPr>
            <w:tcW w:w="180" w:type="dxa"/>
            <w:vAlign w:val="bottom"/>
            <w:tcBorders>
              <w:left w:val="single" w:sz="8" w:color="auto"/>
            </w:tcBorders>
          </w:tcPr>
          <w:p>
            <w:pPr>
              <w:spacing w:after="0"/>
              <w:rPr>
                <w:sz w:val="22"/>
                <w:szCs w:val="22"/>
                <w:color w:val="auto"/>
              </w:rPr>
            </w:pPr>
          </w:p>
        </w:tc>
        <w:tc>
          <w:tcPr>
            <w:tcW w:w="2820" w:type="dxa"/>
            <w:vAlign w:val="bottom"/>
            <w:shd w:val="clear" w:color="auto" w:fill="E8EDF4"/>
          </w:tcPr>
          <w:p>
            <w:pPr>
              <w:ind w:left="60"/>
              <w:spacing w:after="0"/>
              <w:rPr>
                <w:sz w:val="20"/>
                <w:szCs w:val="20"/>
                <w:color w:val="auto"/>
              </w:rPr>
            </w:pPr>
            <w:r>
              <w:rPr>
                <w:rFonts w:ascii="Arial" w:cs="Arial" w:eastAsia="Arial" w:hAnsi="Arial"/>
                <w:sz w:val="18"/>
                <w:szCs w:val="18"/>
                <w:color w:val="auto"/>
              </w:rPr>
              <w:t>Vincent Roche</w:t>
            </w:r>
          </w:p>
        </w:tc>
        <w:tc>
          <w:tcPr>
            <w:tcW w:w="560" w:type="dxa"/>
            <w:vAlign w:val="bottom"/>
            <w:shd w:val="clear" w:color="auto" w:fill="E8EDF4"/>
          </w:tcPr>
          <w:p>
            <w:pPr>
              <w:jc w:val="center"/>
              <w:ind w:left="32"/>
              <w:spacing w:after="0"/>
              <w:rPr>
                <w:sz w:val="20"/>
                <w:szCs w:val="20"/>
                <w:color w:val="auto"/>
              </w:rPr>
            </w:pPr>
            <w:r>
              <w:rPr>
                <w:rFonts w:ascii="Arial" w:cs="Arial" w:eastAsia="Arial" w:hAnsi="Arial"/>
                <w:sz w:val="18"/>
                <w:szCs w:val="18"/>
                <w:color w:val="auto"/>
                <w:w w:val="99"/>
              </w:rPr>
              <w:t>59</w:t>
            </w:r>
          </w:p>
        </w:tc>
        <w:tc>
          <w:tcPr>
            <w:tcW w:w="740" w:type="dxa"/>
            <w:vAlign w:val="bottom"/>
            <w:shd w:val="clear" w:color="auto" w:fill="E8EDF4"/>
          </w:tcPr>
          <w:p>
            <w:pPr>
              <w:ind w:left="160"/>
              <w:spacing w:after="0"/>
              <w:rPr>
                <w:sz w:val="20"/>
                <w:szCs w:val="20"/>
                <w:color w:val="auto"/>
              </w:rPr>
            </w:pPr>
            <w:r>
              <w:rPr>
                <w:rFonts w:ascii="Arial" w:cs="Arial" w:eastAsia="Arial" w:hAnsi="Arial"/>
                <w:sz w:val="18"/>
                <w:szCs w:val="18"/>
                <w:color w:val="auto"/>
              </w:rPr>
              <w:t>2013</w:t>
            </w:r>
          </w:p>
        </w:tc>
        <w:tc>
          <w:tcPr>
            <w:tcW w:w="3340" w:type="dxa"/>
            <w:vAlign w:val="bottom"/>
            <w:gridSpan w:val="2"/>
            <w:shd w:val="clear" w:color="auto" w:fill="E8EDF4"/>
          </w:tcPr>
          <w:p>
            <w:pPr>
              <w:jc w:val="center"/>
              <w:spacing w:after="0"/>
              <w:rPr>
                <w:sz w:val="20"/>
                <w:szCs w:val="20"/>
                <w:color w:val="auto"/>
              </w:rPr>
            </w:pPr>
            <w:r>
              <w:rPr>
                <w:rFonts w:ascii="Arial" w:cs="Arial" w:eastAsia="Arial" w:hAnsi="Arial"/>
                <w:sz w:val="18"/>
                <w:szCs w:val="18"/>
                <w:color w:val="auto"/>
                <w:w w:val="99"/>
              </w:rPr>
              <w:t>President and Chief Executive Officer</w:t>
            </w:r>
          </w:p>
        </w:tc>
        <w:tc>
          <w:tcPr>
            <w:tcW w:w="360" w:type="dxa"/>
            <w:vAlign w:val="bottom"/>
            <w:shd w:val="clear" w:color="auto" w:fill="E8EDF4"/>
          </w:tcPr>
          <w:p>
            <w:pPr>
              <w:spacing w:after="0"/>
              <w:rPr>
                <w:sz w:val="22"/>
                <w:szCs w:val="22"/>
                <w:color w:val="auto"/>
              </w:rPr>
            </w:pPr>
          </w:p>
        </w:tc>
        <w:tc>
          <w:tcPr>
            <w:tcW w:w="680" w:type="dxa"/>
            <w:vAlign w:val="bottom"/>
            <w:shd w:val="clear" w:color="auto" w:fill="E8EDF4"/>
          </w:tcPr>
          <w:p>
            <w:pPr>
              <w:ind w:left="100"/>
              <w:spacing w:after="0"/>
              <w:rPr>
                <w:sz w:val="20"/>
                <w:szCs w:val="20"/>
                <w:color w:val="auto"/>
              </w:rPr>
            </w:pPr>
            <w:r>
              <w:rPr>
                <w:rFonts w:ascii="Arial" w:cs="Arial" w:eastAsia="Arial" w:hAnsi="Arial"/>
                <w:sz w:val="19"/>
                <w:szCs w:val="19"/>
                <w:color w:val="191919"/>
              </w:rPr>
              <w:t>Ò</w:t>
            </w:r>
          </w:p>
        </w:tc>
        <w:tc>
          <w:tcPr>
            <w:tcW w:w="1080" w:type="dxa"/>
            <w:vAlign w:val="bottom"/>
            <w:shd w:val="clear" w:color="auto" w:fill="E8EDF4"/>
          </w:tcPr>
          <w:p>
            <w:pPr>
              <w:jc w:val="center"/>
              <w:spacing w:after="0"/>
              <w:rPr>
                <w:sz w:val="20"/>
                <w:szCs w:val="20"/>
                <w:color w:val="auto"/>
              </w:rPr>
            </w:pPr>
            <w:r>
              <w:rPr>
                <w:rFonts w:ascii="Arial" w:cs="Arial" w:eastAsia="Arial" w:hAnsi="Arial"/>
                <w:sz w:val="18"/>
                <w:szCs w:val="18"/>
                <w:color w:val="auto"/>
                <w:w w:val="99"/>
              </w:rPr>
              <w:t>1</w:t>
            </w:r>
          </w:p>
        </w:tc>
        <w:tc>
          <w:tcPr>
            <w:tcW w:w="1060" w:type="dxa"/>
            <w:vAlign w:val="bottom"/>
            <w:shd w:val="clear" w:color="auto" w:fill="E8EDF4"/>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Borders>
              <w:right w:val="single" w:sz="8" w:color="auto"/>
            </w:tcBorders>
          </w:tcPr>
          <w:p>
            <w:pPr>
              <w:spacing w:after="0"/>
              <w:rPr>
                <w:sz w:val="22"/>
                <w:szCs w:val="22"/>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2820" w:type="dxa"/>
            <w:vAlign w:val="bottom"/>
            <w:shd w:val="clear" w:color="auto" w:fill="E8EDF4"/>
          </w:tcPr>
          <w:p>
            <w:pPr>
              <w:spacing w:after="0"/>
              <w:rPr>
                <w:sz w:val="17"/>
                <w:szCs w:val="17"/>
                <w:color w:val="auto"/>
              </w:rPr>
            </w:pPr>
          </w:p>
        </w:tc>
        <w:tc>
          <w:tcPr>
            <w:tcW w:w="560" w:type="dxa"/>
            <w:vAlign w:val="bottom"/>
            <w:shd w:val="clear" w:color="auto" w:fill="E8EDF4"/>
          </w:tcPr>
          <w:p>
            <w:pPr>
              <w:spacing w:after="0"/>
              <w:rPr>
                <w:sz w:val="17"/>
                <w:szCs w:val="17"/>
                <w:color w:val="auto"/>
              </w:rPr>
            </w:pPr>
          </w:p>
        </w:tc>
        <w:tc>
          <w:tcPr>
            <w:tcW w:w="740" w:type="dxa"/>
            <w:vAlign w:val="bottom"/>
            <w:shd w:val="clear" w:color="auto" w:fill="E8EDF4"/>
          </w:tcPr>
          <w:p>
            <w:pPr>
              <w:spacing w:after="0"/>
              <w:rPr>
                <w:sz w:val="17"/>
                <w:szCs w:val="17"/>
                <w:color w:val="auto"/>
              </w:rPr>
            </w:pPr>
          </w:p>
        </w:tc>
        <w:tc>
          <w:tcPr>
            <w:tcW w:w="2900" w:type="dxa"/>
            <w:vAlign w:val="bottom"/>
            <w:shd w:val="clear" w:color="auto" w:fill="E8EDF4"/>
          </w:tcPr>
          <w:p>
            <w:pPr>
              <w:jc w:val="center"/>
              <w:ind w:left="331"/>
              <w:spacing w:after="0" w:line="203" w:lineRule="exact"/>
              <w:rPr>
                <w:sz w:val="20"/>
                <w:szCs w:val="20"/>
                <w:color w:val="auto"/>
              </w:rPr>
            </w:pPr>
            <w:r>
              <w:rPr>
                <w:rFonts w:ascii="Arial" w:cs="Arial" w:eastAsia="Arial" w:hAnsi="Arial"/>
                <w:sz w:val="18"/>
                <w:szCs w:val="18"/>
                <w:color w:val="auto"/>
                <w:w w:val="99"/>
              </w:rPr>
              <w:t>of Analog Devices, Inc.</w:t>
            </w:r>
          </w:p>
        </w:tc>
        <w:tc>
          <w:tcPr>
            <w:tcW w:w="440" w:type="dxa"/>
            <w:vAlign w:val="bottom"/>
            <w:shd w:val="clear" w:color="auto" w:fill="E8EDF4"/>
          </w:tcPr>
          <w:p>
            <w:pPr>
              <w:spacing w:after="0"/>
              <w:rPr>
                <w:sz w:val="17"/>
                <w:szCs w:val="17"/>
                <w:color w:val="auto"/>
              </w:rPr>
            </w:pPr>
          </w:p>
        </w:tc>
        <w:tc>
          <w:tcPr>
            <w:tcW w:w="360" w:type="dxa"/>
            <w:vAlign w:val="bottom"/>
            <w:shd w:val="clear" w:color="auto" w:fill="E8EDF4"/>
          </w:tcPr>
          <w:p>
            <w:pPr>
              <w:spacing w:after="0"/>
              <w:rPr>
                <w:sz w:val="17"/>
                <w:szCs w:val="17"/>
                <w:color w:val="auto"/>
              </w:rPr>
            </w:pPr>
          </w:p>
        </w:tc>
        <w:tc>
          <w:tcPr>
            <w:tcW w:w="680" w:type="dxa"/>
            <w:vAlign w:val="bottom"/>
            <w:shd w:val="clear" w:color="auto" w:fill="E8EDF4"/>
          </w:tcPr>
          <w:p>
            <w:pPr>
              <w:spacing w:after="0"/>
              <w:rPr>
                <w:sz w:val="17"/>
                <w:szCs w:val="17"/>
                <w:color w:val="auto"/>
              </w:rPr>
            </w:pPr>
          </w:p>
        </w:tc>
        <w:tc>
          <w:tcPr>
            <w:tcW w:w="1080" w:type="dxa"/>
            <w:vAlign w:val="bottom"/>
            <w:shd w:val="clear" w:color="auto" w:fill="E8EDF4"/>
          </w:tcPr>
          <w:p>
            <w:pPr>
              <w:spacing w:after="0"/>
              <w:rPr>
                <w:sz w:val="17"/>
                <w:szCs w:val="17"/>
                <w:color w:val="auto"/>
              </w:rPr>
            </w:pPr>
          </w:p>
        </w:tc>
        <w:tc>
          <w:tcPr>
            <w:tcW w:w="1060" w:type="dxa"/>
            <w:vAlign w:val="bottom"/>
            <w:shd w:val="clear" w:color="auto" w:fill="E8EDF4"/>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r>
      <w:tr>
        <w:trPr>
          <w:trHeight w:val="256"/>
        </w:trPr>
        <w:tc>
          <w:tcPr>
            <w:tcW w:w="180" w:type="dxa"/>
            <w:vAlign w:val="bottom"/>
            <w:tcBorders>
              <w:left w:val="single" w:sz="8" w:color="auto"/>
            </w:tcBorders>
          </w:tcPr>
          <w:p>
            <w:pPr>
              <w:spacing w:after="0"/>
              <w:rPr>
                <w:sz w:val="22"/>
                <w:szCs w:val="22"/>
                <w:color w:val="auto"/>
              </w:rPr>
            </w:pPr>
          </w:p>
        </w:tc>
        <w:tc>
          <w:tcPr>
            <w:tcW w:w="2820" w:type="dxa"/>
            <w:vAlign w:val="bottom"/>
          </w:tcPr>
          <w:p>
            <w:pPr>
              <w:ind w:left="60"/>
              <w:spacing w:after="0"/>
              <w:rPr>
                <w:sz w:val="20"/>
                <w:szCs w:val="20"/>
                <w:color w:val="auto"/>
              </w:rPr>
            </w:pPr>
            <w:r>
              <w:rPr>
                <w:rFonts w:ascii="Arial" w:cs="Arial" w:eastAsia="Arial" w:hAnsi="Arial"/>
                <w:sz w:val="18"/>
                <w:szCs w:val="18"/>
                <w:color w:val="auto"/>
              </w:rPr>
              <w:t>James A. Champy</w:t>
            </w:r>
          </w:p>
        </w:tc>
        <w:tc>
          <w:tcPr>
            <w:tcW w:w="560" w:type="dxa"/>
            <w:vAlign w:val="bottom"/>
          </w:tcPr>
          <w:p>
            <w:pPr>
              <w:jc w:val="center"/>
              <w:ind w:left="32"/>
              <w:spacing w:after="0"/>
              <w:rPr>
                <w:sz w:val="20"/>
                <w:szCs w:val="20"/>
                <w:color w:val="auto"/>
              </w:rPr>
            </w:pPr>
            <w:r>
              <w:rPr>
                <w:rFonts w:ascii="Arial" w:cs="Arial" w:eastAsia="Arial" w:hAnsi="Arial"/>
                <w:sz w:val="18"/>
                <w:szCs w:val="18"/>
                <w:color w:val="auto"/>
                <w:w w:val="99"/>
              </w:rPr>
              <w:t>77</w:t>
            </w:r>
          </w:p>
        </w:tc>
        <w:tc>
          <w:tcPr>
            <w:tcW w:w="740" w:type="dxa"/>
            <w:vAlign w:val="bottom"/>
          </w:tcPr>
          <w:p>
            <w:pPr>
              <w:ind w:left="160"/>
              <w:spacing w:after="0"/>
              <w:rPr>
                <w:sz w:val="20"/>
                <w:szCs w:val="20"/>
                <w:color w:val="auto"/>
              </w:rPr>
            </w:pPr>
            <w:r>
              <w:rPr>
                <w:rFonts w:ascii="Arial" w:cs="Arial" w:eastAsia="Arial" w:hAnsi="Arial"/>
                <w:sz w:val="18"/>
                <w:szCs w:val="18"/>
                <w:color w:val="auto"/>
              </w:rPr>
              <w:t>2003</w:t>
            </w:r>
          </w:p>
        </w:tc>
        <w:tc>
          <w:tcPr>
            <w:tcW w:w="3340" w:type="dxa"/>
            <w:vAlign w:val="bottom"/>
            <w:gridSpan w:val="2"/>
          </w:tcPr>
          <w:p>
            <w:pPr>
              <w:jc w:val="center"/>
              <w:spacing w:after="0"/>
              <w:rPr>
                <w:sz w:val="20"/>
                <w:szCs w:val="20"/>
                <w:color w:val="auto"/>
              </w:rPr>
            </w:pPr>
            <w:r>
              <w:rPr>
                <w:rFonts w:ascii="Arial" w:cs="Arial" w:eastAsia="Arial" w:hAnsi="Arial"/>
                <w:sz w:val="18"/>
                <w:szCs w:val="18"/>
                <w:color w:val="auto"/>
              </w:rPr>
              <w:t>Former Vice President of the Dell/Perot</w:t>
            </w:r>
          </w:p>
        </w:tc>
        <w:tc>
          <w:tcPr>
            <w:tcW w:w="360" w:type="dxa"/>
            <w:vAlign w:val="bottom"/>
          </w:tcPr>
          <w:p>
            <w:pPr>
              <w:spacing w:after="0"/>
              <w:rPr>
                <w:sz w:val="22"/>
                <w:szCs w:val="22"/>
                <w:color w:val="auto"/>
              </w:rPr>
            </w:pPr>
          </w:p>
        </w:tc>
        <w:tc>
          <w:tcPr>
            <w:tcW w:w="68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80" w:type="dxa"/>
            <w:vAlign w:val="bottom"/>
            <w:tcBorders>
              <w:right w:val="single" w:sz="8" w:color="auto"/>
            </w:tcBorders>
            <w:gridSpan w:val="2"/>
          </w:tcPr>
          <w:p>
            <w:pPr>
              <w:jc w:val="center"/>
              <w:ind w:right="160"/>
              <w:spacing w:after="0"/>
              <w:rPr>
                <w:sz w:val="20"/>
                <w:szCs w:val="20"/>
                <w:color w:val="auto"/>
              </w:rPr>
            </w:pPr>
            <w:r>
              <w:rPr>
                <w:rFonts w:ascii="Arial" w:cs="Arial" w:eastAsia="Arial" w:hAnsi="Arial"/>
                <w:sz w:val="18"/>
                <w:szCs w:val="18"/>
                <w:color w:val="auto"/>
                <w:w w:val="98"/>
              </w:rPr>
              <w:t>NCGC</w:t>
            </w:r>
          </w:p>
        </w:tc>
      </w:tr>
      <w:tr>
        <w:trPr>
          <w:trHeight w:val="203"/>
        </w:trPr>
        <w:tc>
          <w:tcPr>
            <w:tcW w:w="180" w:type="dxa"/>
            <w:vAlign w:val="bottom"/>
            <w:tcBorders>
              <w:left w:val="single" w:sz="8" w:color="auto"/>
            </w:tcBorders>
          </w:tcPr>
          <w:p>
            <w:pPr>
              <w:spacing w:after="0"/>
              <w:rPr>
                <w:sz w:val="17"/>
                <w:szCs w:val="17"/>
                <w:color w:val="auto"/>
              </w:rPr>
            </w:pPr>
          </w:p>
        </w:tc>
        <w:tc>
          <w:tcPr>
            <w:tcW w:w="2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340" w:type="dxa"/>
            <w:vAlign w:val="bottom"/>
            <w:gridSpan w:val="2"/>
          </w:tcPr>
          <w:p>
            <w:pPr>
              <w:jc w:val="center"/>
              <w:spacing w:after="0" w:line="203" w:lineRule="exact"/>
              <w:rPr>
                <w:sz w:val="20"/>
                <w:szCs w:val="20"/>
                <w:color w:val="auto"/>
              </w:rPr>
            </w:pPr>
            <w:r>
              <w:rPr>
                <w:rFonts w:ascii="Arial" w:cs="Arial" w:eastAsia="Arial" w:hAnsi="Arial"/>
                <w:sz w:val="18"/>
                <w:szCs w:val="18"/>
                <w:color w:val="auto"/>
                <w:w w:val="99"/>
              </w:rPr>
              <w:t>Systems business unit of Dell, Inc.</w:t>
            </w: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80" w:type="dxa"/>
            <w:vAlign w:val="bottom"/>
            <w:tcBorders>
              <w:right w:val="single" w:sz="8" w:color="auto"/>
            </w:tcBorders>
            <w:gridSpan w:val="2"/>
          </w:tcPr>
          <w:p>
            <w:pPr>
              <w:jc w:val="center"/>
              <w:ind w:right="160"/>
              <w:spacing w:after="0" w:line="203" w:lineRule="exact"/>
              <w:rPr>
                <w:sz w:val="20"/>
                <w:szCs w:val="20"/>
                <w:color w:val="auto"/>
              </w:rPr>
            </w:pPr>
            <w:r>
              <w:rPr>
                <w:rFonts w:ascii="Arial" w:cs="Arial" w:eastAsia="Arial" w:hAnsi="Arial"/>
                <w:sz w:val="18"/>
                <w:szCs w:val="18"/>
                <w:color w:val="auto"/>
              </w:rPr>
              <w:t>(Chair)</w:t>
            </w:r>
          </w:p>
        </w:tc>
      </w:tr>
      <w:tr>
        <w:trPr>
          <w:trHeight w:val="256"/>
        </w:trPr>
        <w:tc>
          <w:tcPr>
            <w:tcW w:w="180" w:type="dxa"/>
            <w:vAlign w:val="bottom"/>
            <w:tcBorders>
              <w:left w:val="single" w:sz="8" w:color="auto"/>
            </w:tcBorders>
          </w:tcPr>
          <w:p>
            <w:pPr>
              <w:spacing w:after="0"/>
              <w:rPr>
                <w:sz w:val="22"/>
                <w:szCs w:val="22"/>
                <w:color w:val="auto"/>
              </w:rPr>
            </w:pPr>
          </w:p>
        </w:tc>
        <w:tc>
          <w:tcPr>
            <w:tcW w:w="2820" w:type="dxa"/>
            <w:vAlign w:val="bottom"/>
            <w:shd w:val="clear" w:color="auto" w:fill="E8EDF4"/>
          </w:tcPr>
          <w:p>
            <w:pPr>
              <w:ind w:left="60"/>
              <w:spacing w:after="0"/>
              <w:rPr>
                <w:sz w:val="20"/>
                <w:szCs w:val="20"/>
                <w:color w:val="auto"/>
              </w:rPr>
            </w:pPr>
            <w:r>
              <w:rPr>
                <w:rFonts w:ascii="Arial" w:cs="Arial" w:eastAsia="Arial" w:hAnsi="Arial"/>
                <w:sz w:val="18"/>
                <w:szCs w:val="18"/>
                <w:color w:val="auto"/>
              </w:rPr>
              <w:t>Anantha P. Chandrakasan</w:t>
            </w:r>
          </w:p>
        </w:tc>
        <w:tc>
          <w:tcPr>
            <w:tcW w:w="560" w:type="dxa"/>
            <w:vAlign w:val="bottom"/>
            <w:shd w:val="clear" w:color="auto" w:fill="E8EDF4"/>
          </w:tcPr>
          <w:p>
            <w:pPr>
              <w:jc w:val="center"/>
              <w:ind w:left="32"/>
              <w:spacing w:after="0"/>
              <w:rPr>
                <w:sz w:val="20"/>
                <w:szCs w:val="20"/>
                <w:color w:val="auto"/>
              </w:rPr>
            </w:pPr>
            <w:r>
              <w:rPr>
                <w:rFonts w:ascii="Arial" w:cs="Arial" w:eastAsia="Arial" w:hAnsi="Arial"/>
                <w:sz w:val="18"/>
                <w:szCs w:val="18"/>
                <w:color w:val="auto"/>
                <w:w w:val="99"/>
              </w:rPr>
              <w:t>51</w:t>
            </w:r>
          </w:p>
        </w:tc>
        <w:tc>
          <w:tcPr>
            <w:tcW w:w="740" w:type="dxa"/>
            <w:vAlign w:val="bottom"/>
            <w:shd w:val="clear" w:color="auto" w:fill="E8EDF4"/>
          </w:tcPr>
          <w:p>
            <w:pPr>
              <w:ind w:left="160"/>
              <w:spacing w:after="0"/>
              <w:rPr>
                <w:sz w:val="20"/>
                <w:szCs w:val="20"/>
                <w:color w:val="auto"/>
              </w:rPr>
            </w:pPr>
            <w:r>
              <w:rPr>
                <w:rFonts w:ascii="Arial" w:cs="Arial" w:eastAsia="Arial" w:hAnsi="Arial"/>
                <w:sz w:val="18"/>
                <w:szCs w:val="18"/>
                <w:color w:val="auto"/>
              </w:rPr>
              <w:t>2019</w:t>
            </w:r>
          </w:p>
        </w:tc>
        <w:tc>
          <w:tcPr>
            <w:tcW w:w="3340" w:type="dxa"/>
            <w:vAlign w:val="bottom"/>
            <w:gridSpan w:val="2"/>
            <w:shd w:val="clear" w:color="auto" w:fill="E8EDF4"/>
          </w:tcPr>
          <w:p>
            <w:pPr>
              <w:jc w:val="center"/>
              <w:spacing w:after="0"/>
              <w:rPr>
                <w:sz w:val="20"/>
                <w:szCs w:val="20"/>
                <w:color w:val="auto"/>
              </w:rPr>
            </w:pPr>
            <w:r>
              <w:rPr>
                <w:rFonts w:ascii="Arial" w:cs="Arial" w:eastAsia="Arial" w:hAnsi="Arial"/>
                <w:sz w:val="18"/>
                <w:szCs w:val="18"/>
                <w:color w:val="auto"/>
              </w:rPr>
              <w:t>Dean of MIT’s School of Engineering</w:t>
            </w:r>
          </w:p>
        </w:tc>
        <w:tc>
          <w:tcPr>
            <w:tcW w:w="360" w:type="dxa"/>
            <w:vAlign w:val="bottom"/>
            <w:shd w:val="clear" w:color="auto" w:fill="E8EDF4"/>
          </w:tcPr>
          <w:p>
            <w:pPr>
              <w:spacing w:after="0"/>
              <w:rPr>
                <w:sz w:val="22"/>
                <w:szCs w:val="22"/>
                <w:color w:val="auto"/>
              </w:rPr>
            </w:pPr>
          </w:p>
        </w:tc>
        <w:tc>
          <w:tcPr>
            <w:tcW w:w="680" w:type="dxa"/>
            <w:vAlign w:val="bottom"/>
            <w:shd w:val="clear" w:color="auto" w:fill="E8EDF4"/>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1080" w:type="dxa"/>
            <w:vAlign w:val="bottom"/>
            <w:shd w:val="clear" w:color="auto" w:fill="E8EDF4"/>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E8EDF4"/>
          </w:tcPr>
          <w:p>
            <w:pPr>
              <w:jc w:val="center"/>
              <w:spacing w:after="0"/>
              <w:rPr>
                <w:sz w:val="20"/>
                <w:szCs w:val="20"/>
                <w:color w:val="auto"/>
              </w:rPr>
            </w:pPr>
            <w:r>
              <w:rPr>
                <w:rFonts w:ascii="Arial" w:cs="Arial" w:eastAsia="Arial" w:hAnsi="Arial"/>
                <w:sz w:val="18"/>
                <w:szCs w:val="18"/>
                <w:color w:val="auto"/>
                <w:w w:val="98"/>
              </w:rPr>
              <w:t>NCGC</w:t>
            </w:r>
          </w:p>
        </w:tc>
        <w:tc>
          <w:tcPr>
            <w:tcW w:w="220" w:type="dxa"/>
            <w:vAlign w:val="bottom"/>
            <w:tcBorders>
              <w:right w:val="single" w:sz="8" w:color="auto"/>
            </w:tcBorders>
          </w:tcPr>
          <w:p>
            <w:pPr>
              <w:spacing w:after="0"/>
              <w:rPr>
                <w:sz w:val="22"/>
                <w:szCs w:val="22"/>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2820" w:type="dxa"/>
            <w:vAlign w:val="bottom"/>
            <w:shd w:val="clear" w:color="auto" w:fill="E8EDF4"/>
          </w:tcPr>
          <w:p>
            <w:pPr>
              <w:spacing w:after="0"/>
              <w:rPr>
                <w:sz w:val="17"/>
                <w:szCs w:val="17"/>
                <w:color w:val="auto"/>
              </w:rPr>
            </w:pPr>
          </w:p>
        </w:tc>
        <w:tc>
          <w:tcPr>
            <w:tcW w:w="560" w:type="dxa"/>
            <w:vAlign w:val="bottom"/>
            <w:shd w:val="clear" w:color="auto" w:fill="E8EDF4"/>
          </w:tcPr>
          <w:p>
            <w:pPr>
              <w:spacing w:after="0"/>
              <w:rPr>
                <w:sz w:val="17"/>
                <w:szCs w:val="17"/>
                <w:color w:val="auto"/>
              </w:rPr>
            </w:pPr>
          </w:p>
        </w:tc>
        <w:tc>
          <w:tcPr>
            <w:tcW w:w="740" w:type="dxa"/>
            <w:vAlign w:val="bottom"/>
            <w:shd w:val="clear" w:color="auto" w:fill="E8EDF4"/>
          </w:tcPr>
          <w:p>
            <w:pPr>
              <w:spacing w:after="0"/>
              <w:rPr>
                <w:sz w:val="17"/>
                <w:szCs w:val="17"/>
                <w:color w:val="auto"/>
              </w:rPr>
            </w:pPr>
          </w:p>
        </w:tc>
        <w:tc>
          <w:tcPr>
            <w:tcW w:w="3340" w:type="dxa"/>
            <w:vAlign w:val="bottom"/>
            <w:gridSpan w:val="2"/>
            <w:shd w:val="clear" w:color="auto" w:fill="E8EDF4"/>
          </w:tcPr>
          <w:p>
            <w:pPr>
              <w:jc w:val="center"/>
              <w:spacing w:after="0" w:line="202" w:lineRule="exact"/>
              <w:rPr>
                <w:sz w:val="20"/>
                <w:szCs w:val="20"/>
                <w:color w:val="auto"/>
              </w:rPr>
            </w:pPr>
            <w:r>
              <w:rPr>
                <w:rFonts w:ascii="Arial" w:cs="Arial" w:eastAsia="Arial" w:hAnsi="Arial"/>
                <w:sz w:val="18"/>
                <w:szCs w:val="18"/>
                <w:color w:val="auto"/>
                <w:w w:val="99"/>
              </w:rPr>
              <w:t>and Vannevar Bush Professor of</w:t>
            </w:r>
          </w:p>
        </w:tc>
        <w:tc>
          <w:tcPr>
            <w:tcW w:w="360" w:type="dxa"/>
            <w:vAlign w:val="bottom"/>
            <w:shd w:val="clear" w:color="auto" w:fill="E8EDF4"/>
          </w:tcPr>
          <w:p>
            <w:pPr>
              <w:spacing w:after="0"/>
              <w:rPr>
                <w:sz w:val="17"/>
                <w:szCs w:val="17"/>
                <w:color w:val="auto"/>
              </w:rPr>
            </w:pPr>
          </w:p>
        </w:tc>
        <w:tc>
          <w:tcPr>
            <w:tcW w:w="680" w:type="dxa"/>
            <w:vAlign w:val="bottom"/>
            <w:shd w:val="clear" w:color="auto" w:fill="E8EDF4"/>
          </w:tcPr>
          <w:p>
            <w:pPr>
              <w:spacing w:after="0"/>
              <w:rPr>
                <w:sz w:val="17"/>
                <w:szCs w:val="17"/>
                <w:color w:val="auto"/>
              </w:rPr>
            </w:pPr>
          </w:p>
        </w:tc>
        <w:tc>
          <w:tcPr>
            <w:tcW w:w="1080" w:type="dxa"/>
            <w:vAlign w:val="bottom"/>
            <w:shd w:val="clear" w:color="auto" w:fill="E8EDF4"/>
          </w:tcPr>
          <w:p>
            <w:pPr>
              <w:spacing w:after="0"/>
              <w:rPr>
                <w:sz w:val="17"/>
                <w:szCs w:val="17"/>
                <w:color w:val="auto"/>
              </w:rPr>
            </w:pPr>
          </w:p>
        </w:tc>
        <w:tc>
          <w:tcPr>
            <w:tcW w:w="1060" w:type="dxa"/>
            <w:vAlign w:val="bottom"/>
            <w:shd w:val="clear" w:color="auto" w:fill="E8EDF4"/>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2820" w:type="dxa"/>
            <w:vAlign w:val="bottom"/>
            <w:shd w:val="clear" w:color="auto" w:fill="E8EDF4"/>
          </w:tcPr>
          <w:p>
            <w:pPr>
              <w:spacing w:after="0"/>
              <w:rPr>
                <w:sz w:val="17"/>
                <w:szCs w:val="17"/>
                <w:color w:val="auto"/>
              </w:rPr>
            </w:pPr>
          </w:p>
        </w:tc>
        <w:tc>
          <w:tcPr>
            <w:tcW w:w="560" w:type="dxa"/>
            <w:vAlign w:val="bottom"/>
            <w:shd w:val="clear" w:color="auto" w:fill="E8EDF4"/>
          </w:tcPr>
          <w:p>
            <w:pPr>
              <w:spacing w:after="0"/>
              <w:rPr>
                <w:sz w:val="17"/>
                <w:szCs w:val="17"/>
                <w:color w:val="auto"/>
              </w:rPr>
            </w:pPr>
          </w:p>
        </w:tc>
        <w:tc>
          <w:tcPr>
            <w:tcW w:w="740" w:type="dxa"/>
            <w:vAlign w:val="bottom"/>
            <w:shd w:val="clear" w:color="auto" w:fill="E8EDF4"/>
          </w:tcPr>
          <w:p>
            <w:pPr>
              <w:spacing w:after="0"/>
              <w:rPr>
                <w:sz w:val="17"/>
                <w:szCs w:val="17"/>
                <w:color w:val="auto"/>
              </w:rPr>
            </w:pPr>
          </w:p>
        </w:tc>
        <w:tc>
          <w:tcPr>
            <w:tcW w:w="3340" w:type="dxa"/>
            <w:vAlign w:val="bottom"/>
            <w:gridSpan w:val="2"/>
            <w:shd w:val="clear" w:color="auto" w:fill="E8EDF4"/>
          </w:tcPr>
          <w:p>
            <w:pPr>
              <w:jc w:val="center"/>
              <w:spacing w:after="0" w:line="202" w:lineRule="exact"/>
              <w:rPr>
                <w:sz w:val="20"/>
                <w:szCs w:val="20"/>
                <w:color w:val="auto"/>
              </w:rPr>
            </w:pPr>
            <w:r>
              <w:rPr>
                <w:rFonts w:ascii="Arial" w:cs="Arial" w:eastAsia="Arial" w:hAnsi="Arial"/>
                <w:sz w:val="18"/>
                <w:szCs w:val="18"/>
                <w:color w:val="auto"/>
              </w:rPr>
              <w:t>Electrical Engineering and Computer</w:t>
            </w:r>
          </w:p>
        </w:tc>
        <w:tc>
          <w:tcPr>
            <w:tcW w:w="360" w:type="dxa"/>
            <w:vAlign w:val="bottom"/>
            <w:shd w:val="clear" w:color="auto" w:fill="E8EDF4"/>
          </w:tcPr>
          <w:p>
            <w:pPr>
              <w:spacing w:after="0"/>
              <w:rPr>
                <w:sz w:val="17"/>
                <w:szCs w:val="17"/>
                <w:color w:val="auto"/>
              </w:rPr>
            </w:pPr>
          </w:p>
        </w:tc>
        <w:tc>
          <w:tcPr>
            <w:tcW w:w="680" w:type="dxa"/>
            <w:vAlign w:val="bottom"/>
            <w:shd w:val="clear" w:color="auto" w:fill="E8EDF4"/>
          </w:tcPr>
          <w:p>
            <w:pPr>
              <w:spacing w:after="0"/>
              <w:rPr>
                <w:sz w:val="17"/>
                <w:szCs w:val="17"/>
                <w:color w:val="auto"/>
              </w:rPr>
            </w:pPr>
          </w:p>
        </w:tc>
        <w:tc>
          <w:tcPr>
            <w:tcW w:w="1080" w:type="dxa"/>
            <w:vAlign w:val="bottom"/>
            <w:shd w:val="clear" w:color="auto" w:fill="E8EDF4"/>
          </w:tcPr>
          <w:p>
            <w:pPr>
              <w:spacing w:after="0"/>
              <w:rPr>
                <w:sz w:val="17"/>
                <w:szCs w:val="17"/>
                <w:color w:val="auto"/>
              </w:rPr>
            </w:pPr>
          </w:p>
        </w:tc>
        <w:tc>
          <w:tcPr>
            <w:tcW w:w="1060" w:type="dxa"/>
            <w:vAlign w:val="bottom"/>
            <w:shd w:val="clear" w:color="auto" w:fill="E8EDF4"/>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2820" w:type="dxa"/>
            <w:vAlign w:val="bottom"/>
            <w:shd w:val="clear" w:color="auto" w:fill="E8EDF4"/>
          </w:tcPr>
          <w:p>
            <w:pPr>
              <w:spacing w:after="0"/>
              <w:rPr>
                <w:sz w:val="17"/>
                <w:szCs w:val="17"/>
                <w:color w:val="auto"/>
              </w:rPr>
            </w:pPr>
          </w:p>
        </w:tc>
        <w:tc>
          <w:tcPr>
            <w:tcW w:w="560" w:type="dxa"/>
            <w:vAlign w:val="bottom"/>
            <w:shd w:val="clear" w:color="auto" w:fill="E8EDF4"/>
          </w:tcPr>
          <w:p>
            <w:pPr>
              <w:spacing w:after="0"/>
              <w:rPr>
                <w:sz w:val="17"/>
                <w:szCs w:val="17"/>
                <w:color w:val="auto"/>
              </w:rPr>
            </w:pPr>
          </w:p>
        </w:tc>
        <w:tc>
          <w:tcPr>
            <w:tcW w:w="740" w:type="dxa"/>
            <w:vAlign w:val="bottom"/>
            <w:shd w:val="clear" w:color="auto" w:fill="E8EDF4"/>
          </w:tcPr>
          <w:p>
            <w:pPr>
              <w:spacing w:after="0"/>
              <w:rPr>
                <w:sz w:val="17"/>
                <w:szCs w:val="17"/>
                <w:color w:val="auto"/>
              </w:rPr>
            </w:pPr>
          </w:p>
        </w:tc>
        <w:tc>
          <w:tcPr>
            <w:tcW w:w="2900" w:type="dxa"/>
            <w:vAlign w:val="bottom"/>
            <w:shd w:val="clear" w:color="auto" w:fill="E8EDF4"/>
          </w:tcPr>
          <w:p>
            <w:pPr>
              <w:jc w:val="center"/>
              <w:ind w:left="331"/>
              <w:spacing w:after="0" w:line="203" w:lineRule="exact"/>
              <w:rPr>
                <w:sz w:val="20"/>
                <w:szCs w:val="20"/>
                <w:color w:val="auto"/>
              </w:rPr>
            </w:pPr>
            <w:r>
              <w:rPr>
                <w:rFonts w:ascii="Arial" w:cs="Arial" w:eastAsia="Arial" w:hAnsi="Arial"/>
                <w:sz w:val="18"/>
                <w:szCs w:val="18"/>
                <w:color w:val="auto"/>
                <w:w w:val="99"/>
              </w:rPr>
              <w:t>Science</w:t>
            </w:r>
          </w:p>
        </w:tc>
        <w:tc>
          <w:tcPr>
            <w:tcW w:w="440" w:type="dxa"/>
            <w:vAlign w:val="bottom"/>
            <w:shd w:val="clear" w:color="auto" w:fill="E8EDF4"/>
          </w:tcPr>
          <w:p>
            <w:pPr>
              <w:spacing w:after="0"/>
              <w:rPr>
                <w:sz w:val="17"/>
                <w:szCs w:val="17"/>
                <w:color w:val="auto"/>
              </w:rPr>
            </w:pPr>
          </w:p>
        </w:tc>
        <w:tc>
          <w:tcPr>
            <w:tcW w:w="360" w:type="dxa"/>
            <w:vAlign w:val="bottom"/>
            <w:shd w:val="clear" w:color="auto" w:fill="E8EDF4"/>
          </w:tcPr>
          <w:p>
            <w:pPr>
              <w:spacing w:after="0"/>
              <w:rPr>
                <w:sz w:val="17"/>
                <w:szCs w:val="17"/>
                <w:color w:val="auto"/>
              </w:rPr>
            </w:pPr>
          </w:p>
        </w:tc>
        <w:tc>
          <w:tcPr>
            <w:tcW w:w="680" w:type="dxa"/>
            <w:vAlign w:val="bottom"/>
            <w:shd w:val="clear" w:color="auto" w:fill="E8EDF4"/>
          </w:tcPr>
          <w:p>
            <w:pPr>
              <w:spacing w:after="0"/>
              <w:rPr>
                <w:sz w:val="17"/>
                <w:szCs w:val="17"/>
                <w:color w:val="auto"/>
              </w:rPr>
            </w:pPr>
          </w:p>
        </w:tc>
        <w:tc>
          <w:tcPr>
            <w:tcW w:w="1080" w:type="dxa"/>
            <w:vAlign w:val="bottom"/>
            <w:shd w:val="clear" w:color="auto" w:fill="E8EDF4"/>
          </w:tcPr>
          <w:p>
            <w:pPr>
              <w:spacing w:after="0"/>
              <w:rPr>
                <w:sz w:val="17"/>
                <w:szCs w:val="17"/>
                <w:color w:val="auto"/>
              </w:rPr>
            </w:pPr>
          </w:p>
        </w:tc>
        <w:tc>
          <w:tcPr>
            <w:tcW w:w="1060" w:type="dxa"/>
            <w:vAlign w:val="bottom"/>
            <w:shd w:val="clear" w:color="auto" w:fill="E8EDF4"/>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r>
      <w:tr>
        <w:trPr>
          <w:trHeight w:val="270"/>
        </w:trPr>
        <w:tc>
          <w:tcPr>
            <w:tcW w:w="180" w:type="dxa"/>
            <w:vAlign w:val="bottom"/>
            <w:tcBorders>
              <w:left w:val="single" w:sz="8" w:color="auto"/>
            </w:tcBorders>
          </w:tcPr>
          <w:p>
            <w:pPr>
              <w:spacing w:after="0"/>
              <w:rPr>
                <w:sz w:val="23"/>
                <w:szCs w:val="23"/>
                <w:color w:val="auto"/>
              </w:rPr>
            </w:pPr>
          </w:p>
        </w:tc>
        <w:tc>
          <w:tcPr>
            <w:tcW w:w="2820" w:type="dxa"/>
            <w:vAlign w:val="bottom"/>
          </w:tcPr>
          <w:p>
            <w:pPr>
              <w:ind w:left="60"/>
              <w:spacing w:after="0"/>
              <w:rPr>
                <w:sz w:val="20"/>
                <w:szCs w:val="20"/>
                <w:color w:val="auto"/>
              </w:rPr>
            </w:pPr>
            <w:r>
              <w:rPr>
                <w:rFonts w:ascii="Arial" w:cs="Arial" w:eastAsia="Arial" w:hAnsi="Arial"/>
                <w:sz w:val="18"/>
                <w:szCs w:val="18"/>
                <w:color w:val="auto"/>
              </w:rPr>
              <w:t>Bruce R. Evans</w:t>
            </w:r>
          </w:p>
        </w:tc>
        <w:tc>
          <w:tcPr>
            <w:tcW w:w="560" w:type="dxa"/>
            <w:vAlign w:val="bottom"/>
          </w:tcPr>
          <w:p>
            <w:pPr>
              <w:jc w:val="center"/>
              <w:ind w:left="32"/>
              <w:spacing w:after="0"/>
              <w:rPr>
                <w:sz w:val="20"/>
                <w:szCs w:val="20"/>
                <w:color w:val="auto"/>
              </w:rPr>
            </w:pPr>
            <w:r>
              <w:rPr>
                <w:rFonts w:ascii="Arial" w:cs="Arial" w:eastAsia="Arial" w:hAnsi="Arial"/>
                <w:sz w:val="18"/>
                <w:szCs w:val="18"/>
                <w:color w:val="auto"/>
                <w:w w:val="99"/>
              </w:rPr>
              <w:t>60</w:t>
            </w:r>
          </w:p>
        </w:tc>
        <w:tc>
          <w:tcPr>
            <w:tcW w:w="740" w:type="dxa"/>
            <w:vAlign w:val="bottom"/>
          </w:tcPr>
          <w:p>
            <w:pPr>
              <w:ind w:left="160"/>
              <w:spacing w:after="0"/>
              <w:rPr>
                <w:sz w:val="20"/>
                <w:szCs w:val="20"/>
                <w:color w:val="auto"/>
              </w:rPr>
            </w:pPr>
            <w:r>
              <w:rPr>
                <w:rFonts w:ascii="Arial" w:cs="Arial" w:eastAsia="Arial" w:hAnsi="Arial"/>
                <w:sz w:val="18"/>
                <w:szCs w:val="18"/>
                <w:color w:val="auto"/>
              </w:rPr>
              <w:t>2015</w:t>
            </w:r>
          </w:p>
        </w:tc>
        <w:tc>
          <w:tcPr>
            <w:tcW w:w="3340" w:type="dxa"/>
            <w:vAlign w:val="bottom"/>
            <w:gridSpan w:val="2"/>
          </w:tcPr>
          <w:p>
            <w:pPr>
              <w:jc w:val="center"/>
              <w:spacing w:after="0"/>
              <w:rPr>
                <w:sz w:val="20"/>
                <w:szCs w:val="20"/>
                <w:color w:val="auto"/>
              </w:rPr>
            </w:pPr>
            <w:r>
              <w:rPr>
                <w:rFonts w:ascii="Arial" w:cs="Arial" w:eastAsia="Arial" w:hAnsi="Arial"/>
                <w:sz w:val="18"/>
                <w:szCs w:val="18"/>
                <w:color w:val="auto"/>
                <w:w w:val="99"/>
              </w:rPr>
              <w:t>Senior Advisor of Summit Partners</w:t>
            </w:r>
          </w:p>
        </w:tc>
        <w:tc>
          <w:tcPr>
            <w:tcW w:w="360" w:type="dxa"/>
            <w:vAlign w:val="bottom"/>
          </w:tcPr>
          <w:p>
            <w:pPr>
              <w:spacing w:after="0"/>
              <w:rPr>
                <w:sz w:val="23"/>
                <w:szCs w:val="23"/>
                <w:color w:val="auto"/>
              </w:rPr>
            </w:pPr>
          </w:p>
        </w:tc>
        <w:tc>
          <w:tcPr>
            <w:tcW w:w="68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280" w:type="dxa"/>
            <w:vAlign w:val="bottom"/>
            <w:tcBorders>
              <w:right w:val="single" w:sz="8" w:color="auto"/>
            </w:tcBorders>
            <w:gridSpan w:val="2"/>
          </w:tcPr>
          <w:p>
            <w:pPr>
              <w:jc w:val="center"/>
              <w:ind w:right="160"/>
              <w:spacing w:after="0"/>
              <w:rPr>
                <w:sz w:val="20"/>
                <w:szCs w:val="20"/>
                <w:color w:val="auto"/>
              </w:rPr>
            </w:pPr>
            <w:r>
              <w:rPr>
                <w:rFonts w:ascii="Arial" w:cs="Arial" w:eastAsia="Arial" w:hAnsi="Arial"/>
                <w:sz w:val="18"/>
                <w:szCs w:val="18"/>
                <w:color w:val="auto"/>
                <w:w w:val="95"/>
              </w:rPr>
              <w:t>AC</w:t>
            </w:r>
          </w:p>
        </w:tc>
      </w:tr>
      <w:tr>
        <w:trPr>
          <w:trHeight w:val="256"/>
        </w:trPr>
        <w:tc>
          <w:tcPr>
            <w:tcW w:w="180" w:type="dxa"/>
            <w:vAlign w:val="bottom"/>
            <w:tcBorders>
              <w:left w:val="single" w:sz="8" w:color="auto"/>
            </w:tcBorders>
          </w:tcPr>
          <w:p>
            <w:pPr>
              <w:spacing w:after="0"/>
              <w:rPr>
                <w:sz w:val="22"/>
                <w:szCs w:val="22"/>
                <w:color w:val="auto"/>
              </w:rPr>
            </w:pPr>
          </w:p>
        </w:tc>
        <w:tc>
          <w:tcPr>
            <w:tcW w:w="2820" w:type="dxa"/>
            <w:vAlign w:val="bottom"/>
            <w:shd w:val="clear" w:color="auto" w:fill="E8EDF4"/>
          </w:tcPr>
          <w:p>
            <w:pPr>
              <w:ind w:left="60"/>
              <w:spacing w:after="0"/>
              <w:rPr>
                <w:sz w:val="20"/>
                <w:szCs w:val="20"/>
                <w:color w:val="auto"/>
              </w:rPr>
            </w:pPr>
            <w:r>
              <w:rPr>
                <w:rFonts w:ascii="Arial" w:cs="Arial" w:eastAsia="Arial" w:hAnsi="Arial"/>
                <w:sz w:val="18"/>
                <w:szCs w:val="18"/>
                <w:color w:val="auto"/>
              </w:rPr>
              <w:t>Edward H. Frank</w:t>
            </w:r>
          </w:p>
        </w:tc>
        <w:tc>
          <w:tcPr>
            <w:tcW w:w="560" w:type="dxa"/>
            <w:vAlign w:val="bottom"/>
            <w:shd w:val="clear" w:color="auto" w:fill="E8EDF4"/>
          </w:tcPr>
          <w:p>
            <w:pPr>
              <w:jc w:val="center"/>
              <w:ind w:left="32"/>
              <w:spacing w:after="0"/>
              <w:rPr>
                <w:sz w:val="20"/>
                <w:szCs w:val="20"/>
                <w:color w:val="auto"/>
              </w:rPr>
            </w:pPr>
            <w:r>
              <w:rPr>
                <w:rFonts w:ascii="Arial" w:cs="Arial" w:eastAsia="Arial" w:hAnsi="Arial"/>
                <w:sz w:val="18"/>
                <w:szCs w:val="18"/>
                <w:color w:val="auto"/>
                <w:w w:val="99"/>
              </w:rPr>
              <w:t>63</w:t>
            </w:r>
          </w:p>
        </w:tc>
        <w:tc>
          <w:tcPr>
            <w:tcW w:w="740" w:type="dxa"/>
            <w:vAlign w:val="bottom"/>
            <w:shd w:val="clear" w:color="auto" w:fill="E8EDF4"/>
          </w:tcPr>
          <w:p>
            <w:pPr>
              <w:ind w:left="160"/>
              <w:spacing w:after="0"/>
              <w:rPr>
                <w:sz w:val="20"/>
                <w:szCs w:val="20"/>
                <w:color w:val="auto"/>
              </w:rPr>
            </w:pPr>
            <w:r>
              <w:rPr>
                <w:rFonts w:ascii="Arial" w:cs="Arial" w:eastAsia="Arial" w:hAnsi="Arial"/>
                <w:sz w:val="18"/>
                <w:szCs w:val="18"/>
                <w:color w:val="auto"/>
              </w:rPr>
              <w:t>2014</w:t>
            </w:r>
          </w:p>
        </w:tc>
        <w:tc>
          <w:tcPr>
            <w:tcW w:w="3340" w:type="dxa"/>
            <w:vAlign w:val="bottom"/>
            <w:gridSpan w:val="2"/>
            <w:shd w:val="clear" w:color="auto" w:fill="E8EDF4"/>
          </w:tcPr>
          <w:p>
            <w:pPr>
              <w:jc w:val="center"/>
              <w:spacing w:after="0"/>
              <w:rPr>
                <w:sz w:val="20"/>
                <w:szCs w:val="20"/>
                <w:color w:val="auto"/>
              </w:rPr>
            </w:pPr>
            <w:r>
              <w:rPr>
                <w:rFonts w:ascii="Arial" w:cs="Arial" w:eastAsia="Arial" w:hAnsi="Arial"/>
                <w:sz w:val="18"/>
                <w:szCs w:val="18"/>
                <w:color w:val="auto"/>
                <w:w w:val="99"/>
              </w:rPr>
              <w:t>Co-Founder and Former CEO of Cloud</w:t>
            </w:r>
          </w:p>
        </w:tc>
        <w:tc>
          <w:tcPr>
            <w:tcW w:w="360" w:type="dxa"/>
            <w:vAlign w:val="bottom"/>
            <w:shd w:val="clear" w:color="auto" w:fill="E8EDF4"/>
          </w:tcPr>
          <w:p>
            <w:pPr>
              <w:spacing w:after="0"/>
              <w:rPr>
                <w:sz w:val="22"/>
                <w:szCs w:val="22"/>
                <w:color w:val="auto"/>
              </w:rPr>
            </w:pPr>
          </w:p>
        </w:tc>
        <w:tc>
          <w:tcPr>
            <w:tcW w:w="680" w:type="dxa"/>
            <w:vAlign w:val="bottom"/>
            <w:shd w:val="clear" w:color="auto" w:fill="E8EDF4"/>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1080" w:type="dxa"/>
            <w:vAlign w:val="bottom"/>
            <w:shd w:val="clear" w:color="auto" w:fill="E8EDF4"/>
          </w:tcPr>
          <w:p>
            <w:pPr>
              <w:jc w:val="center"/>
              <w:spacing w:after="0"/>
              <w:rPr>
                <w:sz w:val="20"/>
                <w:szCs w:val="20"/>
                <w:color w:val="auto"/>
              </w:rPr>
            </w:pPr>
            <w:r>
              <w:rPr>
                <w:rFonts w:ascii="Arial" w:cs="Arial" w:eastAsia="Arial" w:hAnsi="Arial"/>
                <w:sz w:val="18"/>
                <w:szCs w:val="18"/>
                <w:color w:val="auto"/>
                <w:w w:val="99"/>
              </w:rPr>
              <w:t>3</w:t>
            </w:r>
          </w:p>
        </w:tc>
        <w:tc>
          <w:tcPr>
            <w:tcW w:w="1060" w:type="dxa"/>
            <w:vAlign w:val="bottom"/>
            <w:shd w:val="clear" w:color="auto" w:fill="E8EDF4"/>
          </w:tcPr>
          <w:p>
            <w:pPr>
              <w:jc w:val="center"/>
              <w:spacing w:after="0"/>
              <w:rPr>
                <w:sz w:val="20"/>
                <w:szCs w:val="20"/>
                <w:color w:val="auto"/>
              </w:rPr>
            </w:pPr>
            <w:r>
              <w:rPr>
                <w:rFonts w:ascii="Arial" w:cs="Arial" w:eastAsia="Arial" w:hAnsi="Arial"/>
                <w:sz w:val="18"/>
                <w:szCs w:val="18"/>
                <w:color w:val="auto"/>
                <w:w w:val="99"/>
              </w:rPr>
              <w:t>CC</w:t>
            </w:r>
          </w:p>
        </w:tc>
        <w:tc>
          <w:tcPr>
            <w:tcW w:w="220" w:type="dxa"/>
            <w:vAlign w:val="bottom"/>
            <w:tcBorders>
              <w:right w:val="single" w:sz="8" w:color="auto"/>
            </w:tcBorders>
          </w:tcPr>
          <w:p>
            <w:pPr>
              <w:spacing w:after="0"/>
              <w:rPr>
                <w:sz w:val="22"/>
                <w:szCs w:val="22"/>
                <w:color w:val="auto"/>
              </w:rPr>
            </w:pPr>
          </w:p>
        </w:tc>
      </w:tr>
      <w:tr>
        <w:trPr>
          <w:trHeight w:val="217"/>
        </w:trPr>
        <w:tc>
          <w:tcPr>
            <w:tcW w:w="180" w:type="dxa"/>
            <w:vAlign w:val="bottom"/>
            <w:tcBorders>
              <w:left w:val="single" w:sz="8" w:color="auto"/>
            </w:tcBorders>
          </w:tcPr>
          <w:p>
            <w:pPr>
              <w:spacing w:after="0"/>
              <w:rPr>
                <w:sz w:val="18"/>
                <w:szCs w:val="18"/>
                <w:color w:val="auto"/>
              </w:rPr>
            </w:pPr>
          </w:p>
        </w:tc>
        <w:tc>
          <w:tcPr>
            <w:tcW w:w="2820" w:type="dxa"/>
            <w:vAlign w:val="bottom"/>
            <w:shd w:val="clear" w:color="auto" w:fill="E8EDF4"/>
          </w:tcPr>
          <w:p>
            <w:pPr>
              <w:spacing w:after="0"/>
              <w:rPr>
                <w:sz w:val="18"/>
                <w:szCs w:val="18"/>
                <w:color w:val="auto"/>
              </w:rPr>
            </w:pPr>
          </w:p>
        </w:tc>
        <w:tc>
          <w:tcPr>
            <w:tcW w:w="560" w:type="dxa"/>
            <w:vAlign w:val="bottom"/>
            <w:shd w:val="clear" w:color="auto" w:fill="E8EDF4"/>
          </w:tcPr>
          <w:p>
            <w:pPr>
              <w:spacing w:after="0"/>
              <w:rPr>
                <w:sz w:val="18"/>
                <w:szCs w:val="18"/>
                <w:color w:val="auto"/>
              </w:rPr>
            </w:pPr>
          </w:p>
        </w:tc>
        <w:tc>
          <w:tcPr>
            <w:tcW w:w="740" w:type="dxa"/>
            <w:vAlign w:val="bottom"/>
            <w:shd w:val="clear" w:color="auto" w:fill="E8EDF4"/>
          </w:tcPr>
          <w:p>
            <w:pPr>
              <w:spacing w:after="0"/>
              <w:rPr>
                <w:sz w:val="18"/>
                <w:szCs w:val="18"/>
                <w:color w:val="auto"/>
              </w:rPr>
            </w:pPr>
          </w:p>
        </w:tc>
        <w:tc>
          <w:tcPr>
            <w:tcW w:w="2900" w:type="dxa"/>
            <w:vAlign w:val="bottom"/>
            <w:shd w:val="clear" w:color="auto" w:fill="E8EDF4"/>
          </w:tcPr>
          <w:p>
            <w:pPr>
              <w:jc w:val="center"/>
              <w:ind w:left="351"/>
              <w:spacing w:after="0"/>
              <w:rPr>
                <w:sz w:val="20"/>
                <w:szCs w:val="20"/>
                <w:color w:val="auto"/>
              </w:rPr>
            </w:pPr>
            <w:r>
              <w:rPr>
                <w:rFonts w:ascii="Arial" w:cs="Arial" w:eastAsia="Arial" w:hAnsi="Arial"/>
                <w:sz w:val="18"/>
                <w:szCs w:val="18"/>
                <w:color w:val="auto"/>
                <w:w w:val="99"/>
              </w:rPr>
              <w:t>Parity</w:t>
            </w:r>
          </w:p>
        </w:tc>
        <w:tc>
          <w:tcPr>
            <w:tcW w:w="440" w:type="dxa"/>
            <w:vAlign w:val="bottom"/>
            <w:shd w:val="clear" w:color="auto" w:fill="E8EDF4"/>
          </w:tcPr>
          <w:p>
            <w:pPr>
              <w:spacing w:after="0"/>
              <w:rPr>
                <w:sz w:val="18"/>
                <w:szCs w:val="18"/>
                <w:color w:val="auto"/>
              </w:rPr>
            </w:pPr>
          </w:p>
        </w:tc>
        <w:tc>
          <w:tcPr>
            <w:tcW w:w="360" w:type="dxa"/>
            <w:vAlign w:val="bottom"/>
            <w:shd w:val="clear" w:color="auto" w:fill="E8EDF4"/>
          </w:tcPr>
          <w:p>
            <w:pPr>
              <w:spacing w:after="0"/>
              <w:rPr>
                <w:sz w:val="18"/>
                <w:szCs w:val="18"/>
                <w:color w:val="auto"/>
              </w:rPr>
            </w:pPr>
          </w:p>
        </w:tc>
        <w:tc>
          <w:tcPr>
            <w:tcW w:w="680" w:type="dxa"/>
            <w:vAlign w:val="bottom"/>
            <w:shd w:val="clear" w:color="auto" w:fill="E8EDF4"/>
          </w:tcPr>
          <w:p>
            <w:pPr>
              <w:spacing w:after="0"/>
              <w:rPr>
                <w:sz w:val="18"/>
                <w:szCs w:val="18"/>
                <w:color w:val="auto"/>
              </w:rPr>
            </w:pPr>
          </w:p>
        </w:tc>
        <w:tc>
          <w:tcPr>
            <w:tcW w:w="1080" w:type="dxa"/>
            <w:vAlign w:val="bottom"/>
            <w:shd w:val="clear" w:color="auto" w:fill="E8EDF4"/>
          </w:tcPr>
          <w:p>
            <w:pPr>
              <w:spacing w:after="0"/>
              <w:rPr>
                <w:sz w:val="18"/>
                <w:szCs w:val="18"/>
                <w:color w:val="auto"/>
              </w:rPr>
            </w:pPr>
          </w:p>
        </w:tc>
        <w:tc>
          <w:tcPr>
            <w:tcW w:w="1060" w:type="dxa"/>
            <w:vAlign w:val="bottom"/>
            <w:shd w:val="clear" w:color="auto" w:fill="E8EDF4"/>
          </w:tcPr>
          <w:p>
            <w:pPr>
              <w:jc w:val="center"/>
              <w:spacing w:after="0"/>
              <w:rPr>
                <w:sz w:val="20"/>
                <w:szCs w:val="20"/>
                <w:color w:val="auto"/>
              </w:rPr>
            </w:pPr>
            <w:r>
              <w:rPr>
                <w:rFonts w:ascii="Arial" w:cs="Arial" w:eastAsia="Arial" w:hAnsi="Arial"/>
                <w:sz w:val="18"/>
                <w:szCs w:val="18"/>
                <w:color w:val="auto"/>
              </w:rPr>
              <w:t>(Chair)</w:t>
            </w:r>
          </w:p>
        </w:tc>
        <w:tc>
          <w:tcPr>
            <w:tcW w:w="220" w:type="dxa"/>
            <w:vAlign w:val="bottom"/>
            <w:tcBorders>
              <w:right w:val="single" w:sz="8" w:color="auto"/>
            </w:tcBorders>
          </w:tcPr>
          <w:p>
            <w:pPr>
              <w:spacing w:after="0"/>
              <w:rPr>
                <w:sz w:val="18"/>
                <w:szCs w:val="18"/>
                <w:color w:val="auto"/>
              </w:rPr>
            </w:pPr>
          </w:p>
        </w:tc>
      </w:tr>
      <w:tr>
        <w:trPr>
          <w:trHeight w:val="256"/>
        </w:trPr>
        <w:tc>
          <w:tcPr>
            <w:tcW w:w="180" w:type="dxa"/>
            <w:vAlign w:val="bottom"/>
            <w:tcBorders>
              <w:left w:val="single" w:sz="8" w:color="auto"/>
            </w:tcBorders>
          </w:tcPr>
          <w:p>
            <w:pPr>
              <w:spacing w:after="0"/>
              <w:rPr>
                <w:sz w:val="22"/>
                <w:szCs w:val="22"/>
                <w:color w:val="auto"/>
              </w:rPr>
            </w:pPr>
          </w:p>
        </w:tc>
        <w:tc>
          <w:tcPr>
            <w:tcW w:w="2820" w:type="dxa"/>
            <w:vAlign w:val="bottom"/>
          </w:tcPr>
          <w:p>
            <w:pPr>
              <w:ind w:left="60"/>
              <w:spacing w:after="0"/>
              <w:rPr>
                <w:sz w:val="20"/>
                <w:szCs w:val="20"/>
                <w:color w:val="auto"/>
              </w:rPr>
            </w:pPr>
            <w:r>
              <w:rPr>
                <w:rFonts w:ascii="Arial" w:cs="Arial" w:eastAsia="Arial" w:hAnsi="Arial"/>
                <w:sz w:val="18"/>
                <w:szCs w:val="18"/>
                <w:color w:val="auto"/>
              </w:rPr>
              <w:t>Karen M. Golz</w:t>
            </w:r>
          </w:p>
        </w:tc>
        <w:tc>
          <w:tcPr>
            <w:tcW w:w="560" w:type="dxa"/>
            <w:vAlign w:val="bottom"/>
          </w:tcPr>
          <w:p>
            <w:pPr>
              <w:jc w:val="center"/>
              <w:ind w:left="32"/>
              <w:spacing w:after="0"/>
              <w:rPr>
                <w:sz w:val="20"/>
                <w:szCs w:val="20"/>
                <w:color w:val="auto"/>
              </w:rPr>
            </w:pPr>
            <w:r>
              <w:rPr>
                <w:rFonts w:ascii="Arial" w:cs="Arial" w:eastAsia="Arial" w:hAnsi="Arial"/>
                <w:sz w:val="18"/>
                <w:szCs w:val="18"/>
                <w:color w:val="auto"/>
                <w:w w:val="99"/>
              </w:rPr>
              <w:t>65</w:t>
            </w:r>
          </w:p>
        </w:tc>
        <w:tc>
          <w:tcPr>
            <w:tcW w:w="740" w:type="dxa"/>
            <w:vAlign w:val="bottom"/>
          </w:tcPr>
          <w:p>
            <w:pPr>
              <w:ind w:left="160"/>
              <w:spacing w:after="0"/>
              <w:rPr>
                <w:sz w:val="20"/>
                <w:szCs w:val="20"/>
                <w:color w:val="auto"/>
              </w:rPr>
            </w:pPr>
            <w:r>
              <w:rPr>
                <w:rFonts w:ascii="Arial" w:cs="Arial" w:eastAsia="Arial" w:hAnsi="Arial"/>
                <w:sz w:val="18"/>
                <w:szCs w:val="18"/>
                <w:color w:val="auto"/>
              </w:rPr>
              <w:t>2018</w:t>
            </w:r>
          </w:p>
        </w:tc>
        <w:tc>
          <w:tcPr>
            <w:tcW w:w="3340" w:type="dxa"/>
            <w:vAlign w:val="bottom"/>
            <w:gridSpan w:val="2"/>
          </w:tcPr>
          <w:p>
            <w:pPr>
              <w:jc w:val="center"/>
              <w:spacing w:after="0"/>
              <w:rPr>
                <w:sz w:val="20"/>
                <w:szCs w:val="20"/>
                <w:color w:val="auto"/>
              </w:rPr>
            </w:pPr>
            <w:r>
              <w:rPr>
                <w:rFonts w:ascii="Arial" w:cs="Arial" w:eastAsia="Arial" w:hAnsi="Arial"/>
                <w:sz w:val="18"/>
                <w:szCs w:val="18"/>
                <w:color w:val="auto"/>
                <w:w w:val="99"/>
              </w:rPr>
              <w:t>Former Global Vice Chair of Ernst &amp;</w:t>
            </w:r>
          </w:p>
        </w:tc>
        <w:tc>
          <w:tcPr>
            <w:tcW w:w="360" w:type="dxa"/>
            <w:vAlign w:val="bottom"/>
          </w:tcPr>
          <w:p>
            <w:pPr>
              <w:spacing w:after="0"/>
              <w:rPr>
                <w:sz w:val="22"/>
                <w:szCs w:val="22"/>
                <w:color w:val="auto"/>
              </w:rPr>
            </w:pPr>
          </w:p>
        </w:tc>
        <w:tc>
          <w:tcPr>
            <w:tcW w:w="68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80" w:type="dxa"/>
            <w:vAlign w:val="bottom"/>
            <w:tcBorders>
              <w:right w:val="single" w:sz="8" w:color="auto"/>
            </w:tcBorders>
            <w:gridSpan w:val="2"/>
          </w:tcPr>
          <w:p>
            <w:pPr>
              <w:jc w:val="center"/>
              <w:ind w:right="160"/>
              <w:spacing w:after="0"/>
              <w:rPr>
                <w:sz w:val="20"/>
                <w:szCs w:val="20"/>
                <w:color w:val="auto"/>
              </w:rPr>
            </w:pPr>
            <w:r>
              <w:rPr>
                <w:rFonts w:ascii="Arial" w:cs="Arial" w:eastAsia="Arial" w:hAnsi="Arial"/>
                <w:sz w:val="18"/>
                <w:szCs w:val="18"/>
                <w:color w:val="auto"/>
                <w:w w:val="95"/>
              </w:rPr>
              <w:t>AC</w:t>
            </w:r>
          </w:p>
        </w:tc>
      </w:tr>
      <w:tr>
        <w:trPr>
          <w:trHeight w:val="203"/>
        </w:trPr>
        <w:tc>
          <w:tcPr>
            <w:tcW w:w="180" w:type="dxa"/>
            <w:vAlign w:val="bottom"/>
            <w:tcBorders>
              <w:left w:val="single" w:sz="8" w:color="auto"/>
            </w:tcBorders>
          </w:tcPr>
          <w:p>
            <w:pPr>
              <w:spacing w:after="0"/>
              <w:rPr>
                <w:sz w:val="17"/>
                <w:szCs w:val="17"/>
                <w:color w:val="auto"/>
              </w:rPr>
            </w:pPr>
          </w:p>
        </w:tc>
        <w:tc>
          <w:tcPr>
            <w:tcW w:w="2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900" w:type="dxa"/>
            <w:vAlign w:val="bottom"/>
          </w:tcPr>
          <w:p>
            <w:pPr>
              <w:jc w:val="center"/>
              <w:ind w:left="351"/>
              <w:spacing w:after="0" w:line="203" w:lineRule="exact"/>
              <w:rPr>
                <w:sz w:val="20"/>
                <w:szCs w:val="20"/>
                <w:color w:val="auto"/>
              </w:rPr>
            </w:pPr>
            <w:r>
              <w:rPr>
                <w:rFonts w:ascii="Arial" w:cs="Arial" w:eastAsia="Arial" w:hAnsi="Arial"/>
                <w:sz w:val="18"/>
                <w:szCs w:val="18"/>
                <w:color w:val="auto"/>
                <w:w w:val="95"/>
              </w:rPr>
              <w:t>Young</w:t>
            </w: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r>
      <w:tr>
        <w:trPr>
          <w:trHeight w:val="256"/>
        </w:trPr>
        <w:tc>
          <w:tcPr>
            <w:tcW w:w="180" w:type="dxa"/>
            <w:vAlign w:val="bottom"/>
            <w:tcBorders>
              <w:left w:val="single" w:sz="8" w:color="auto"/>
            </w:tcBorders>
          </w:tcPr>
          <w:p>
            <w:pPr>
              <w:spacing w:after="0"/>
              <w:rPr>
                <w:sz w:val="22"/>
                <w:szCs w:val="22"/>
                <w:color w:val="auto"/>
              </w:rPr>
            </w:pPr>
          </w:p>
        </w:tc>
        <w:tc>
          <w:tcPr>
            <w:tcW w:w="2820" w:type="dxa"/>
            <w:vAlign w:val="bottom"/>
            <w:shd w:val="clear" w:color="auto" w:fill="E8EDF4"/>
          </w:tcPr>
          <w:p>
            <w:pPr>
              <w:ind w:left="60"/>
              <w:spacing w:after="0"/>
              <w:rPr>
                <w:sz w:val="20"/>
                <w:szCs w:val="20"/>
                <w:color w:val="auto"/>
              </w:rPr>
            </w:pPr>
            <w:r>
              <w:rPr>
                <w:rFonts w:ascii="Arial" w:cs="Arial" w:eastAsia="Arial" w:hAnsi="Arial"/>
                <w:sz w:val="18"/>
                <w:szCs w:val="18"/>
                <w:color w:val="auto"/>
              </w:rPr>
              <w:t>Mark M. Little</w:t>
            </w:r>
          </w:p>
        </w:tc>
        <w:tc>
          <w:tcPr>
            <w:tcW w:w="560" w:type="dxa"/>
            <w:vAlign w:val="bottom"/>
            <w:shd w:val="clear" w:color="auto" w:fill="E8EDF4"/>
          </w:tcPr>
          <w:p>
            <w:pPr>
              <w:jc w:val="center"/>
              <w:ind w:left="32"/>
              <w:spacing w:after="0"/>
              <w:rPr>
                <w:sz w:val="20"/>
                <w:szCs w:val="20"/>
                <w:color w:val="auto"/>
              </w:rPr>
            </w:pPr>
            <w:r>
              <w:rPr>
                <w:rFonts w:ascii="Arial" w:cs="Arial" w:eastAsia="Arial" w:hAnsi="Arial"/>
                <w:sz w:val="18"/>
                <w:szCs w:val="18"/>
                <w:color w:val="auto"/>
                <w:w w:val="99"/>
              </w:rPr>
              <w:t>67</w:t>
            </w:r>
          </w:p>
        </w:tc>
        <w:tc>
          <w:tcPr>
            <w:tcW w:w="740" w:type="dxa"/>
            <w:vAlign w:val="bottom"/>
            <w:shd w:val="clear" w:color="auto" w:fill="E8EDF4"/>
          </w:tcPr>
          <w:p>
            <w:pPr>
              <w:ind w:left="160"/>
              <w:spacing w:after="0"/>
              <w:rPr>
                <w:sz w:val="20"/>
                <w:szCs w:val="20"/>
                <w:color w:val="auto"/>
              </w:rPr>
            </w:pPr>
            <w:r>
              <w:rPr>
                <w:rFonts w:ascii="Arial" w:cs="Arial" w:eastAsia="Arial" w:hAnsi="Arial"/>
                <w:sz w:val="18"/>
                <w:szCs w:val="18"/>
                <w:color w:val="auto"/>
              </w:rPr>
              <w:t>2017</w:t>
            </w:r>
          </w:p>
        </w:tc>
        <w:tc>
          <w:tcPr>
            <w:tcW w:w="3340" w:type="dxa"/>
            <w:vAlign w:val="bottom"/>
            <w:gridSpan w:val="2"/>
            <w:shd w:val="clear" w:color="auto" w:fill="E8EDF4"/>
          </w:tcPr>
          <w:p>
            <w:pPr>
              <w:jc w:val="center"/>
              <w:spacing w:after="0"/>
              <w:rPr>
                <w:sz w:val="20"/>
                <w:szCs w:val="20"/>
                <w:color w:val="auto"/>
              </w:rPr>
            </w:pPr>
            <w:r>
              <w:rPr>
                <w:rFonts w:ascii="Arial" w:cs="Arial" w:eastAsia="Arial" w:hAnsi="Arial"/>
                <w:sz w:val="18"/>
                <w:szCs w:val="18"/>
                <w:color w:val="auto"/>
                <w:w w:val="99"/>
              </w:rPr>
              <w:t>Former SVP, GE Global Research &amp;</w:t>
            </w:r>
          </w:p>
        </w:tc>
        <w:tc>
          <w:tcPr>
            <w:tcW w:w="360" w:type="dxa"/>
            <w:vAlign w:val="bottom"/>
            <w:shd w:val="clear" w:color="auto" w:fill="E8EDF4"/>
          </w:tcPr>
          <w:p>
            <w:pPr>
              <w:spacing w:after="0"/>
              <w:rPr>
                <w:sz w:val="22"/>
                <w:szCs w:val="22"/>
                <w:color w:val="auto"/>
              </w:rPr>
            </w:pPr>
          </w:p>
        </w:tc>
        <w:tc>
          <w:tcPr>
            <w:tcW w:w="680" w:type="dxa"/>
            <w:vAlign w:val="bottom"/>
            <w:shd w:val="clear" w:color="auto" w:fill="E8EDF4"/>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1080" w:type="dxa"/>
            <w:vAlign w:val="bottom"/>
            <w:shd w:val="clear" w:color="auto" w:fill="E8EDF4"/>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E8EDF4"/>
          </w:tcPr>
          <w:p>
            <w:pPr>
              <w:jc w:val="center"/>
              <w:spacing w:after="0"/>
              <w:rPr>
                <w:sz w:val="20"/>
                <w:szCs w:val="20"/>
                <w:color w:val="auto"/>
              </w:rPr>
            </w:pPr>
            <w:r>
              <w:rPr>
                <w:rFonts w:ascii="Arial" w:cs="Arial" w:eastAsia="Arial" w:hAnsi="Arial"/>
                <w:sz w:val="18"/>
                <w:szCs w:val="18"/>
                <w:color w:val="auto"/>
                <w:w w:val="99"/>
              </w:rPr>
              <w:t>CC</w:t>
            </w:r>
          </w:p>
        </w:tc>
        <w:tc>
          <w:tcPr>
            <w:tcW w:w="220" w:type="dxa"/>
            <w:vAlign w:val="bottom"/>
            <w:tcBorders>
              <w:right w:val="single" w:sz="8" w:color="auto"/>
            </w:tcBorders>
          </w:tcPr>
          <w:p>
            <w:pPr>
              <w:spacing w:after="0"/>
              <w:rPr>
                <w:sz w:val="22"/>
                <w:szCs w:val="22"/>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2820" w:type="dxa"/>
            <w:vAlign w:val="bottom"/>
            <w:shd w:val="clear" w:color="auto" w:fill="E8EDF4"/>
          </w:tcPr>
          <w:p>
            <w:pPr>
              <w:spacing w:after="0"/>
              <w:rPr>
                <w:sz w:val="17"/>
                <w:szCs w:val="17"/>
                <w:color w:val="auto"/>
              </w:rPr>
            </w:pPr>
          </w:p>
        </w:tc>
        <w:tc>
          <w:tcPr>
            <w:tcW w:w="560" w:type="dxa"/>
            <w:vAlign w:val="bottom"/>
            <w:shd w:val="clear" w:color="auto" w:fill="E8EDF4"/>
          </w:tcPr>
          <w:p>
            <w:pPr>
              <w:spacing w:after="0"/>
              <w:rPr>
                <w:sz w:val="17"/>
                <w:szCs w:val="17"/>
                <w:color w:val="auto"/>
              </w:rPr>
            </w:pPr>
          </w:p>
        </w:tc>
        <w:tc>
          <w:tcPr>
            <w:tcW w:w="740" w:type="dxa"/>
            <w:vAlign w:val="bottom"/>
            <w:shd w:val="clear" w:color="auto" w:fill="E8EDF4"/>
          </w:tcPr>
          <w:p>
            <w:pPr>
              <w:spacing w:after="0"/>
              <w:rPr>
                <w:sz w:val="17"/>
                <w:szCs w:val="17"/>
                <w:color w:val="auto"/>
              </w:rPr>
            </w:pPr>
          </w:p>
        </w:tc>
        <w:tc>
          <w:tcPr>
            <w:tcW w:w="3340" w:type="dxa"/>
            <w:vAlign w:val="bottom"/>
            <w:gridSpan w:val="2"/>
            <w:shd w:val="clear" w:color="auto" w:fill="E8EDF4"/>
          </w:tcPr>
          <w:p>
            <w:pPr>
              <w:jc w:val="center"/>
              <w:spacing w:after="0" w:line="202" w:lineRule="exact"/>
              <w:rPr>
                <w:sz w:val="20"/>
                <w:szCs w:val="20"/>
                <w:color w:val="auto"/>
              </w:rPr>
            </w:pPr>
            <w:r>
              <w:rPr>
                <w:rFonts w:ascii="Arial" w:cs="Arial" w:eastAsia="Arial" w:hAnsi="Arial"/>
                <w:sz w:val="18"/>
                <w:szCs w:val="18"/>
                <w:color w:val="auto"/>
                <w:w w:val="99"/>
              </w:rPr>
              <w:t>Chief Technology Officer of General</w:t>
            </w:r>
          </w:p>
        </w:tc>
        <w:tc>
          <w:tcPr>
            <w:tcW w:w="360" w:type="dxa"/>
            <w:vAlign w:val="bottom"/>
            <w:shd w:val="clear" w:color="auto" w:fill="E8EDF4"/>
          </w:tcPr>
          <w:p>
            <w:pPr>
              <w:spacing w:after="0"/>
              <w:rPr>
                <w:sz w:val="17"/>
                <w:szCs w:val="17"/>
                <w:color w:val="auto"/>
              </w:rPr>
            </w:pPr>
          </w:p>
        </w:tc>
        <w:tc>
          <w:tcPr>
            <w:tcW w:w="680" w:type="dxa"/>
            <w:vAlign w:val="bottom"/>
            <w:shd w:val="clear" w:color="auto" w:fill="E8EDF4"/>
          </w:tcPr>
          <w:p>
            <w:pPr>
              <w:spacing w:after="0"/>
              <w:rPr>
                <w:sz w:val="17"/>
                <w:szCs w:val="17"/>
                <w:color w:val="auto"/>
              </w:rPr>
            </w:pPr>
          </w:p>
        </w:tc>
        <w:tc>
          <w:tcPr>
            <w:tcW w:w="1080" w:type="dxa"/>
            <w:vAlign w:val="bottom"/>
            <w:shd w:val="clear" w:color="auto" w:fill="E8EDF4"/>
          </w:tcPr>
          <w:p>
            <w:pPr>
              <w:spacing w:after="0"/>
              <w:rPr>
                <w:sz w:val="17"/>
                <w:szCs w:val="17"/>
                <w:color w:val="auto"/>
              </w:rPr>
            </w:pPr>
          </w:p>
        </w:tc>
        <w:tc>
          <w:tcPr>
            <w:tcW w:w="1060" w:type="dxa"/>
            <w:vAlign w:val="bottom"/>
            <w:shd w:val="clear" w:color="auto" w:fill="E8EDF4"/>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2820" w:type="dxa"/>
            <w:vAlign w:val="bottom"/>
            <w:shd w:val="clear" w:color="auto" w:fill="E8EDF4"/>
          </w:tcPr>
          <w:p>
            <w:pPr>
              <w:spacing w:after="0"/>
              <w:rPr>
                <w:sz w:val="17"/>
                <w:szCs w:val="17"/>
                <w:color w:val="auto"/>
              </w:rPr>
            </w:pPr>
          </w:p>
        </w:tc>
        <w:tc>
          <w:tcPr>
            <w:tcW w:w="560" w:type="dxa"/>
            <w:vAlign w:val="bottom"/>
            <w:shd w:val="clear" w:color="auto" w:fill="E8EDF4"/>
          </w:tcPr>
          <w:p>
            <w:pPr>
              <w:spacing w:after="0"/>
              <w:rPr>
                <w:sz w:val="17"/>
                <w:szCs w:val="17"/>
                <w:color w:val="auto"/>
              </w:rPr>
            </w:pPr>
          </w:p>
        </w:tc>
        <w:tc>
          <w:tcPr>
            <w:tcW w:w="740" w:type="dxa"/>
            <w:vAlign w:val="bottom"/>
            <w:shd w:val="clear" w:color="auto" w:fill="E8EDF4"/>
          </w:tcPr>
          <w:p>
            <w:pPr>
              <w:spacing w:after="0"/>
              <w:rPr>
                <w:sz w:val="17"/>
                <w:szCs w:val="17"/>
                <w:color w:val="auto"/>
              </w:rPr>
            </w:pPr>
          </w:p>
        </w:tc>
        <w:tc>
          <w:tcPr>
            <w:tcW w:w="2900" w:type="dxa"/>
            <w:vAlign w:val="bottom"/>
            <w:shd w:val="clear" w:color="auto" w:fill="E8EDF4"/>
          </w:tcPr>
          <w:p>
            <w:pPr>
              <w:jc w:val="center"/>
              <w:ind w:left="351"/>
              <w:spacing w:after="0" w:line="203" w:lineRule="exact"/>
              <w:rPr>
                <w:sz w:val="20"/>
                <w:szCs w:val="20"/>
                <w:color w:val="auto"/>
              </w:rPr>
            </w:pPr>
            <w:r>
              <w:rPr>
                <w:rFonts w:ascii="Arial" w:cs="Arial" w:eastAsia="Arial" w:hAnsi="Arial"/>
                <w:sz w:val="18"/>
                <w:szCs w:val="18"/>
                <w:color w:val="auto"/>
              </w:rPr>
              <w:t>Electric Company</w:t>
            </w:r>
          </w:p>
        </w:tc>
        <w:tc>
          <w:tcPr>
            <w:tcW w:w="440" w:type="dxa"/>
            <w:vAlign w:val="bottom"/>
            <w:shd w:val="clear" w:color="auto" w:fill="E8EDF4"/>
          </w:tcPr>
          <w:p>
            <w:pPr>
              <w:spacing w:after="0"/>
              <w:rPr>
                <w:sz w:val="17"/>
                <w:szCs w:val="17"/>
                <w:color w:val="auto"/>
              </w:rPr>
            </w:pPr>
          </w:p>
        </w:tc>
        <w:tc>
          <w:tcPr>
            <w:tcW w:w="360" w:type="dxa"/>
            <w:vAlign w:val="bottom"/>
            <w:shd w:val="clear" w:color="auto" w:fill="E8EDF4"/>
          </w:tcPr>
          <w:p>
            <w:pPr>
              <w:spacing w:after="0"/>
              <w:rPr>
                <w:sz w:val="17"/>
                <w:szCs w:val="17"/>
                <w:color w:val="auto"/>
              </w:rPr>
            </w:pPr>
          </w:p>
        </w:tc>
        <w:tc>
          <w:tcPr>
            <w:tcW w:w="680" w:type="dxa"/>
            <w:vAlign w:val="bottom"/>
            <w:shd w:val="clear" w:color="auto" w:fill="E8EDF4"/>
          </w:tcPr>
          <w:p>
            <w:pPr>
              <w:spacing w:after="0"/>
              <w:rPr>
                <w:sz w:val="17"/>
                <w:szCs w:val="17"/>
                <w:color w:val="auto"/>
              </w:rPr>
            </w:pPr>
          </w:p>
        </w:tc>
        <w:tc>
          <w:tcPr>
            <w:tcW w:w="1080" w:type="dxa"/>
            <w:vAlign w:val="bottom"/>
            <w:shd w:val="clear" w:color="auto" w:fill="E8EDF4"/>
          </w:tcPr>
          <w:p>
            <w:pPr>
              <w:spacing w:after="0"/>
              <w:rPr>
                <w:sz w:val="17"/>
                <w:szCs w:val="17"/>
                <w:color w:val="auto"/>
              </w:rPr>
            </w:pPr>
          </w:p>
        </w:tc>
        <w:tc>
          <w:tcPr>
            <w:tcW w:w="1060" w:type="dxa"/>
            <w:vAlign w:val="bottom"/>
            <w:shd w:val="clear" w:color="auto" w:fill="E8EDF4"/>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r>
      <w:tr>
        <w:trPr>
          <w:trHeight w:val="256"/>
        </w:trPr>
        <w:tc>
          <w:tcPr>
            <w:tcW w:w="180" w:type="dxa"/>
            <w:vAlign w:val="bottom"/>
            <w:tcBorders>
              <w:left w:val="single" w:sz="8" w:color="auto"/>
            </w:tcBorders>
          </w:tcPr>
          <w:p>
            <w:pPr>
              <w:spacing w:after="0"/>
              <w:rPr>
                <w:sz w:val="22"/>
                <w:szCs w:val="22"/>
                <w:color w:val="auto"/>
              </w:rPr>
            </w:pPr>
          </w:p>
        </w:tc>
        <w:tc>
          <w:tcPr>
            <w:tcW w:w="2820" w:type="dxa"/>
            <w:vAlign w:val="bottom"/>
          </w:tcPr>
          <w:p>
            <w:pPr>
              <w:ind w:left="60"/>
              <w:spacing w:after="0"/>
              <w:rPr>
                <w:sz w:val="20"/>
                <w:szCs w:val="20"/>
                <w:color w:val="auto"/>
              </w:rPr>
            </w:pPr>
            <w:r>
              <w:rPr>
                <w:rFonts w:ascii="Arial" w:cs="Arial" w:eastAsia="Arial" w:hAnsi="Arial"/>
                <w:sz w:val="18"/>
                <w:szCs w:val="18"/>
                <w:color w:val="auto"/>
              </w:rPr>
              <w:t>Kenton J. Sicchitano</w:t>
            </w:r>
          </w:p>
        </w:tc>
        <w:tc>
          <w:tcPr>
            <w:tcW w:w="560" w:type="dxa"/>
            <w:vAlign w:val="bottom"/>
          </w:tcPr>
          <w:p>
            <w:pPr>
              <w:jc w:val="center"/>
              <w:ind w:left="32"/>
              <w:spacing w:after="0"/>
              <w:rPr>
                <w:sz w:val="20"/>
                <w:szCs w:val="20"/>
                <w:color w:val="auto"/>
              </w:rPr>
            </w:pPr>
            <w:r>
              <w:rPr>
                <w:rFonts w:ascii="Arial" w:cs="Arial" w:eastAsia="Arial" w:hAnsi="Arial"/>
                <w:sz w:val="18"/>
                <w:szCs w:val="18"/>
                <w:color w:val="auto"/>
                <w:w w:val="99"/>
              </w:rPr>
              <w:t>75</w:t>
            </w:r>
          </w:p>
        </w:tc>
        <w:tc>
          <w:tcPr>
            <w:tcW w:w="740" w:type="dxa"/>
            <w:vAlign w:val="bottom"/>
          </w:tcPr>
          <w:p>
            <w:pPr>
              <w:ind w:left="160"/>
              <w:spacing w:after="0"/>
              <w:rPr>
                <w:sz w:val="20"/>
                <w:szCs w:val="20"/>
                <w:color w:val="auto"/>
              </w:rPr>
            </w:pPr>
            <w:r>
              <w:rPr>
                <w:rFonts w:ascii="Arial" w:cs="Arial" w:eastAsia="Arial" w:hAnsi="Arial"/>
                <w:sz w:val="18"/>
                <w:szCs w:val="18"/>
                <w:color w:val="auto"/>
              </w:rPr>
              <w:t>2003</w:t>
            </w:r>
          </w:p>
        </w:tc>
        <w:tc>
          <w:tcPr>
            <w:tcW w:w="3340" w:type="dxa"/>
            <w:vAlign w:val="bottom"/>
            <w:gridSpan w:val="2"/>
          </w:tcPr>
          <w:p>
            <w:pPr>
              <w:jc w:val="center"/>
              <w:spacing w:after="0"/>
              <w:rPr>
                <w:sz w:val="20"/>
                <w:szCs w:val="20"/>
                <w:color w:val="auto"/>
              </w:rPr>
            </w:pPr>
            <w:r>
              <w:rPr>
                <w:rFonts w:ascii="Arial" w:cs="Arial" w:eastAsia="Arial" w:hAnsi="Arial"/>
                <w:sz w:val="18"/>
                <w:szCs w:val="18"/>
                <w:color w:val="auto"/>
                <w:w w:val="99"/>
              </w:rPr>
              <w:t>Former Global Managing Partner of</w:t>
            </w:r>
          </w:p>
        </w:tc>
        <w:tc>
          <w:tcPr>
            <w:tcW w:w="360" w:type="dxa"/>
            <w:vAlign w:val="bottom"/>
          </w:tcPr>
          <w:p>
            <w:pPr>
              <w:spacing w:after="0"/>
              <w:rPr>
                <w:sz w:val="22"/>
                <w:szCs w:val="22"/>
                <w:color w:val="auto"/>
              </w:rPr>
            </w:pPr>
          </w:p>
        </w:tc>
        <w:tc>
          <w:tcPr>
            <w:tcW w:w="68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80" w:type="dxa"/>
            <w:vAlign w:val="bottom"/>
            <w:tcBorders>
              <w:right w:val="single" w:sz="8" w:color="auto"/>
            </w:tcBorders>
            <w:gridSpan w:val="2"/>
          </w:tcPr>
          <w:p>
            <w:pPr>
              <w:jc w:val="center"/>
              <w:ind w:right="160"/>
              <w:spacing w:after="0"/>
              <w:rPr>
                <w:sz w:val="20"/>
                <w:szCs w:val="20"/>
                <w:color w:val="auto"/>
              </w:rPr>
            </w:pPr>
            <w:r>
              <w:rPr>
                <w:rFonts w:ascii="Arial" w:cs="Arial" w:eastAsia="Arial" w:hAnsi="Arial"/>
                <w:sz w:val="18"/>
                <w:szCs w:val="18"/>
                <w:color w:val="auto"/>
                <w:w w:val="95"/>
              </w:rPr>
              <w:t>AC</w:t>
            </w:r>
          </w:p>
        </w:tc>
      </w:tr>
      <w:tr>
        <w:trPr>
          <w:trHeight w:val="217"/>
        </w:trPr>
        <w:tc>
          <w:tcPr>
            <w:tcW w:w="180" w:type="dxa"/>
            <w:vAlign w:val="bottom"/>
            <w:tcBorders>
              <w:left w:val="single" w:sz="8" w:color="auto"/>
            </w:tcBorders>
          </w:tcPr>
          <w:p>
            <w:pPr>
              <w:spacing w:after="0"/>
              <w:rPr>
                <w:sz w:val="18"/>
                <w:szCs w:val="18"/>
                <w:color w:val="auto"/>
              </w:rPr>
            </w:pPr>
          </w:p>
        </w:tc>
        <w:tc>
          <w:tcPr>
            <w:tcW w:w="2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900" w:type="dxa"/>
            <w:vAlign w:val="bottom"/>
          </w:tcPr>
          <w:p>
            <w:pPr>
              <w:jc w:val="center"/>
              <w:ind w:left="351"/>
              <w:spacing w:after="0"/>
              <w:rPr>
                <w:sz w:val="20"/>
                <w:szCs w:val="20"/>
                <w:color w:val="auto"/>
              </w:rPr>
            </w:pPr>
            <w:r>
              <w:rPr>
                <w:rFonts w:ascii="Arial" w:cs="Arial" w:eastAsia="Arial" w:hAnsi="Arial"/>
                <w:sz w:val="18"/>
                <w:szCs w:val="18"/>
                <w:color w:val="auto"/>
                <w:w w:val="99"/>
              </w:rPr>
              <w:t>PricewaterhouseCoopers LLP</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80" w:type="dxa"/>
            <w:vAlign w:val="bottom"/>
            <w:tcBorders>
              <w:right w:val="single" w:sz="8" w:color="auto"/>
            </w:tcBorders>
            <w:gridSpan w:val="2"/>
          </w:tcPr>
          <w:p>
            <w:pPr>
              <w:jc w:val="center"/>
              <w:ind w:right="160"/>
              <w:spacing w:after="0"/>
              <w:rPr>
                <w:sz w:val="20"/>
                <w:szCs w:val="20"/>
                <w:color w:val="auto"/>
              </w:rPr>
            </w:pPr>
            <w:r>
              <w:rPr>
                <w:rFonts w:ascii="Arial" w:cs="Arial" w:eastAsia="Arial" w:hAnsi="Arial"/>
                <w:sz w:val="18"/>
                <w:szCs w:val="18"/>
                <w:color w:val="auto"/>
              </w:rPr>
              <w:t>(Chair)</w:t>
            </w:r>
          </w:p>
        </w:tc>
      </w:tr>
      <w:tr>
        <w:trPr>
          <w:trHeight w:val="256"/>
        </w:trPr>
        <w:tc>
          <w:tcPr>
            <w:tcW w:w="180" w:type="dxa"/>
            <w:vAlign w:val="bottom"/>
            <w:tcBorders>
              <w:left w:val="single" w:sz="8" w:color="auto"/>
            </w:tcBorders>
          </w:tcPr>
          <w:p>
            <w:pPr>
              <w:spacing w:after="0"/>
              <w:rPr>
                <w:sz w:val="22"/>
                <w:szCs w:val="22"/>
                <w:color w:val="auto"/>
              </w:rPr>
            </w:pPr>
          </w:p>
        </w:tc>
        <w:tc>
          <w:tcPr>
            <w:tcW w:w="2820" w:type="dxa"/>
            <w:vAlign w:val="bottom"/>
            <w:shd w:val="clear" w:color="auto" w:fill="E8EDF4"/>
          </w:tcPr>
          <w:p>
            <w:pPr>
              <w:ind w:left="60"/>
              <w:spacing w:after="0"/>
              <w:rPr>
                <w:sz w:val="20"/>
                <w:szCs w:val="20"/>
                <w:color w:val="auto"/>
              </w:rPr>
            </w:pPr>
            <w:r>
              <w:rPr>
                <w:rFonts w:ascii="Arial" w:cs="Arial" w:eastAsia="Arial" w:hAnsi="Arial"/>
                <w:sz w:val="18"/>
                <w:szCs w:val="18"/>
                <w:color w:val="auto"/>
              </w:rPr>
              <w:t>Susie Wee</w:t>
            </w:r>
          </w:p>
        </w:tc>
        <w:tc>
          <w:tcPr>
            <w:tcW w:w="560" w:type="dxa"/>
            <w:vAlign w:val="bottom"/>
            <w:shd w:val="clear" w:color="auto" w:fill="E8EDF4"/>
          </w:tcPr>
          <w:p>
            <w:pPr>
              <w:jc w:val="center"/>
              <w:ind w:left="32"/>
              <w:spacing w:after="0"/>
              <w:rPr>
                <w:sz w:val="20"/>
                <w:szCs w:val="20"/>
                <w:color w:val="auto"/>
              </w:rPr>
            </w:pPr>
            <w:r>
              <w:rPr>
                <w:rFonts w:ascii="Arial" w:cs="Arial" w:eastAsia="Arial" w:hAnsi="Arial"/>
                <w:sz w:val="18"/>
                <w:szCs w:val="18"/>
                <w:color w:val="auto"/>
                <w:w w:val="99"/>
              </w:rPr>
              <w:t>49</w:t>
            </w:r>
          </w:p>
        </w:tc>
        <w:tc>
          <w:tcPr>
            <w:tcW w:w="740" w:type="dxa"/>
            <w:vAlign w:val="bottom"/>
            <w:shd w:val="clear" w:color="auto" w:fill="E8EDF4"/>
          </w:tcPr>
          <w:p>
            <w:pPr>
              <w:ind w:left="160"/>
              <w:spacing w:after="0"/>
              <w:rPr>
                <w:sz w:val="20"/>
                <w:szCs w:val="20"/>
                <w:color w:val="auto"/>
              </w:rPr>
            </w:pPr>
            <w:r>
              <w:rPr>
                <w:rFonts w:ascii="Arial" w:cs="Arial" w:eastAsia="Arial" w:hAnsi="Arial"/>
                <w:sz w:val="18"/>
                <w:szCs w:val="18"/>
                <w:color w:val="auto"/>
              </w:rPr>
              <w:t>2019</w:t>
            </w:r>
          </w:p>
        </w:tc>
        <w:tc>
          <w:tcPr>
            <w:tcW w:w="3340" w:type="dxa"/>
            <w:vAlign w:val="bottom"/>
            <w:gridSpan w:val="2"/>
            <w:shd w:val="clear" w:color="auto" w:fill="E8EDF4"/>
          </w:tcPr>
          <w:p>
            <w:pPr>
              <w:jc w:val="center"/>
              <w:spacing w:after="0"/>
              <w:rPr>
                <w:sz w:val="20"/>
                <w:szCs w:val="20"/>
                <w:color w:val="auto"/>
              </w:rPr>
            </w:pPr>
            <w:r>
              <w:rPr>
                <w:rFonts w:ascii="Arial" w:cs="Arial" w:eastAsia="Arial" w:hAnsi="Arial"/>
                <w:sz w:val="18"/>
                <w:szCs w:val="18"/>
                <w:color w:val="auto"/>
              </w:rPr>
              <w:t>Senior Vice President and General</w:t>
            </w:r>
          </w:p>
        </w:tc>
        <w:tc>
          <w:tcPr>
            <w:tcW w:w="360" w:type="dxa"/>
            <w:vAlign w:val="bottom"/>
            <w:shd w:val="clear" w:color="auto" w:fill="E8EDF4"/>
          </w:tcPr>
          <w:p>
            <w:pPr>
              <w:spacing w:after="0"/>
              <w:rPr>
                <w:sz w:val="22"/>
                <w:szCs w:val="22"/>
                <w:color w:val="auto"/>
              </w:rPr>
            </w:pPr>
          </w:p>
        </w:tc>
        <w:tc>
          <w:tcPr>
            <w:tcW w:w="680" w:type="dxa"/>
            <w:vAlign w:val="bottom"/>
            <w:shd w:val="clear" w:color="auto" w:fill="E8EDF4"/>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1080" w:type="dxa"/>
            <w:vAlign w:val="bottom"/>
            <w:shd w:val="clear" w:color="auto" w:fill="E8EDF4"/>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E8EDF4"/>
          </w:tcPr>
          <w:p>
            <w:pPr>
              <w:jc w:val="center"/>
              <w:spacing w:after="0"/>
              <w:rPr>
                <w:sz w:val="20"/>
                <w:szCs w:val="20"/>
                <w:color w:val="auto"/>
              </w:rPr>
            </w:pPr>
            <w:r>
              <w:rPr>
                <w:rFonts w:ascii="Arial" w:cs="Arial" w:eastAsia="Arial" w:hAnsi="Arial"/>
                <w:sz w:val="18"/>
                <w:szCs w:val="18"/>
                <w:color w:val="auto"/>
                <w:w w:val="99"/>
              </w:rPr>
              <w:t>CC</w:t>
            </w:r>
          </w:p>
        </w:tc>
        <w:tc>
          <w:tcPr>
            <w:tcW w:w="220" w:type="dxa"/>
            <w:vAlign w:val="bottom"/>
            <w:tcBorders>
              <w:right w:val="single" w:sz="8" w:color="auto"/>
            </w:tcBorders>
          </w:tcPr>
          <w:p>
            <w:pPr>
              <w:spacing w:after="0"/>
              <w:rPr>
                <w:sz w:val="22"/>
                <w:szCs w:val="22"/>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2820" w:type="dxa"/>
            <w:vAlign w:val="bottom"/>
            <w:shd w:val="clear" w:color="auto" w:fill="E8EDF4"/>
          </w:tcPr>
          <w:p>
            <w:pPr>
              <w:spacing w:after="0"/>
              <w:rPr>
                <w:sz w:val="17"/>
                <w:szCs w:val="17"/>
                <w:color w:val="auto"/>
              </w:rPr>
            </w:pPr>
          </w:p>
        </w:tc>
        <w:tc>
          <w:tcPr>
            <w:tcW w:w="560" w:type="dxa"/>
            <w:vAlign w:val="bottom"/>
            <w:shd w:val="clear" w:color="auto" w:fill="E8EDF4"/>
          </w:tcPr>
          <w:p>
            <w:pPr>
              <w:spacing w:after="0"/>
              <w:rPr>
                <w:sz w:val="17"/>
                <w:szCs w:val="17"/>
                <w:color w:val="auto"/>
              </w:rPr>
            </w:pPr>
          </w:p>
        </w:tc>
        <w:tc>
          <w:tcPr>
            <w:tcW w:w="740" w:type="dxa"/>
            <w:vAlign w:val="bottom"/>
            <w:shd w:val="clear" w:color="auto" w:fill="E8EDF4"/>
          </w:tcPr>
          <w:p>
            <w:pPr>
              <w:spacing w:after="0"/>
              <w:rPr>
                <w:sz w:val="17"/>
                <w:szCs w:val="17"/>
                <w:color w:val="auto"/>
              </w:rPr>
            </w:pPr>
          </w:p>
        </w:tc>
        <w:tc>
          <w:tcPr>
            <w:tcW w:w="3340" w:type="dxa"/>
            <w:vAlign w:val="bottom"/>
            <w:gridSpan w:val="2"/>
            <w:shd w:val="clear" w:color="auto" w:fill="E8EDF4"/>
          </w:tcPr>
          <w:p>
            <w:pPr>
              <w:jc w:val="center"/>
              <w:spacing w:after="0" w:line="202" w:lineRule="exact"/>
              <w:rPr>
                <w:sz w:val="20"/>
                <w:szCs w:val="20"/>
                <w:color w:val="auto"/>
              </w:rPr>
            </w:pPr>
            <w:r>
              <w:rPr>
                <w:rFonts w:ascii="Arial" w:cs="Arial" w:eastAsia="Arial" w:hAnsi="Arial"/>
                <w:sz w:val="18"/>
                <w:szCs w:val="18"/>
                <w:color w:val="auto"/>
                <w:w w:val="99"/>
              </w:rPr>
              <w:t>Manager of DevNet and CX Ecosystem</w:t>
            </w:r>
          </w:p>
        </w:tc>
        <w:tc>
          <w:tcPr>
            <w:tcW w:w="360" w:type="dxa"/>
            <w:vAlign w:val="bottom"/>
            <w:shd w:val="clear" w:color="auto" w:fill="E8EDF4"/>
          </w:tcPr>
          <w:p>
            <w:pPr>
              <w:spacing w:after="0"/>
              <w:rPr>
                <w:sz w:val="17"/>
                <w:szCs w:val="17"/>
                <w:color w:val="auto"/>
              </w:rPr>
            </w:pPr>
          </w:p>
        </w:tc>
        <w:tc>
          <w:tcPr>
            <w:tcW w:w="680" w:type="dxa"/>
            <w:vAlign w:val="bottom"/>
            <w:shd w:val="clear" w:color="auto" w:fill="E8EDF4"/>
          </w:tcPr>
          <w:p>
            <w:pPr>
              <w:spacing w:after="0"/>
              <w:rPr>
                <w:sz w:val="17"/>
                <w:szCs w:val="17"/>
                <w:color w:val="auto"/>
              </w:rPr>
            </w:pPr>
          </w:p>
        </w:tc>
        <w:tc>
          <w:tcPr>
            <w:tcW w:w="1080" w:type="dxa"/>
            <w:vAlign w:val="bottom"/>
            <w:shd w:val="clear" w:color="auto" w:fill="E8EDF4"/>
          </w:tcPr>
          <w:p>
            <w:pPr>
              <w:spacing w:after="0"/>
              <w:rPr>
                <w:sz w:val="17"/>
                <w:szCs w:val="17"/>
                <w:color w:val="auto"/>
              </w:rPr>
            </w:pPr>
          </w:p>
        </w:tc>
        <w:tc>
          <w:tcPr>
            <w:tcW w:w="1060" w:type="dxa"/>
            <w:vAlign w:val="bottom"/>
            <w:shd w:val="clear" w:color="auto" w:fill="E8EDF4"/>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2820" w:type="dxa"/>
            <w:vAlign w:val="bottom"/>
            <w:shd w:val="clear" w:color="auto" w:fill="E8EDF4"/>
          </w:tcPr>
          <w:p>
            <w:pPr>
              <w:spacing w:after="0"/>
              <w:rPr>
                <w:sz w:val="17"/>
                <w:szCs w:val="17"/>
                <w:color w:val="auto"/>
              </w:rPr>
            </w:pPr>
          </w:p>
        </w:tc>
        <w:tc>
          <w:tcPr>
            <w:tcW w:w="560" w:type="dxa"/>
            <w:vAlign w:val="bottom"/>
            <w:shd w:val="clear" w:color="auto" w:fill="E8EDF4"/>
          </w:tcPr>
          <w:p>
            <w:pPr>
              <w:spacing w:after="0"/>
              <w:rPr>
                <w:sz w:val="17"/>
                <w:szCs w:val="17"/>
                <w:color w:val="auto"/>
              </w:rPr>
            </w:pPr>
          </w:p>
        </w:tc>
        <w:tc>
          <w:tcPr>
            <w:tcW w:w="740" w:type="dxa"/>
            <w:vAlign w:val="bottom"/>
            <w:shd w:val="clear" w:color="auto" w:fill="E8EDF4"/>
          </w:tcPr>
          <w:p>
            <w:pPr>
              <w:spacing w:after="0"/>
              <w:rPr>
                <w:sz w:val="17"/>
                <w:szCs w:val="17"/>
                <w:color w:val="auto"/>
              </w:rPr>
            </w:pPr>
          </w:p>
        </w:tc>
        <w:tc>
          <w:tcPr>
            <w:tcW w:w="2900" w:type="dxa"/>
            <w:vAlign w:val="bottom"/>
            <w:shd w:val="clear" w:color="auto" w:fill="E8EDF4"/>
          </w:tcPr>
          <w:p>
            <w:pPr>
              <w:jc w:val="center"/>
              <w:ind w:left="331"/>
              <w:spacing w:after="0" w:line="203" w:lineRule="exact"/>
              <w:rPr>
                <w:sz w:val="20"/>
                <w:szCs w:val="20"/>
                <w:color w:val="auto"/>
              </w:rPr>
            </w:pPr>
            <w:r>
              <w:rPr>
                <w:rFonts w:ascii="Arial" w:cs="Arial" w:eastAsia="Arial" w:hAnsi="Arial"/>
                <w:sz w:val="18"/>
                <w:szCs w:val="18"/>
                <w:color w:val="auto"/>
                <w:w w:val="99"/>
              </w:rPr>
              <w:t>Success at Cisco Systems</w:t>
            </w:r>
          </w:p>
        </w:tc>
        <w:tc>
          <w:tcPr>
            <w:tcW w:w="440" w:type="dxa"/>
            <w:vAlign w:val="bottom"/>
            <w:shd w:val="clear" w:color="auto" w:fill="E8EDF4"/>
          </w:tcPr>
          <w:p>
            <w:pPr>
              <w:spacing w:after="0"/>
              <w:rPr>
                <w:sz w:val="17"/>
                <w:szCs w:val="17"/>
                <w:color w:val="auto"/>
              </w:rPr>
            </w:pPr>
          </w:p>
        </w:tc>
        <w:tc>
          <w:tcPr>
            <w:tcW w:w="360" w:type="dxa"/>
            <w:vAlign w:val="bottom"/>
            <w:shd w:val="clear" w:color="auto" w:fill="E8EDF4"/>
          </w:tcPr>
          <w:p>
            <w:pPr>
              <w:spacing w:after="0"/>
              <w:rPr>
                <w:sz w:val="17"/>
                <w:szCs w:val="17"/>
                <w:color w:val="auto"/>
              </w:rPr>
            </w:pPr>
          </w:p>
        </w:tc>
        <w:tc>
          <w:tcPr>
            <w:tcW w:w="680" w:type="dxa"/>
            <w:vAlign w:val="bottom"/>
            <w:shd w:val="clear" w:color="auto" w:fill="E8EDF4"/>
          </w:tcPr>
          <w:p>
            <w:pPr>
              <w:spacing w:after="0"/>
              <w:rPr>
                <w:sz w:val="17"/>
                <w:szCs w:val="17"/>
                <w:color w:val="auto"/>
              </w:rPr>
            </w:pPr>
          </w:p>
        </w:tc>
        <w:tc>
          <w:tcPr>
            <w:tcW w:w="1080" w:type="dxa"/>
            <w:vAlign w:val="bottom"/>
            <w:shd w:val="clear" w:color="auto" w:fill="E8EDF4"/>
          </w:tcPr>
          <w:p>
            <w:pPr>
              <w:spacing w:after="0"/>
              <w:rPr>
                <w:sz w:val="17"/>
                <w:szCs w:val="17"/>
                <w:color w:val="auto"/>
              </w:rPr>
            </w:pPr>
          </w:p>
        </w:tc>
        <w:tc>
          <w:tcPr>
            <w:tcW w:w="1060" w:type="dxa"/>
            <w:vAlign w:val="bottom"/>
            <w:shd w:val="clear" w:color="auto" w:fill="E8EDF4"/>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r>
      <w:tr>
        <w:trPr>
          <w:trHeight w:val="418"/>
        </w:trPr>
        <w:tc>
          <w:tcPr>
            <w:tcW w:w="180" w:type="dxa"/>
            <w:vAlign w:val="bottom"/>
            <w:tcBorders>
              <w:left w:val="single" w:sz="8" w:color="auto"/>
            </w:tcBorders>
          </w:tcPr>
          <w:p>
            <w:pPr>
              <w:spacing w:after="0"/>
              <w:rPr>
                <w:sz w:val="24"/>
                <w:szCs w:val="24"/>
                <w:color w:val="auto"/>
              </w:rPr>
            </w:pPr>
          </w:p>
        </w:tc>
        <w:tc>
          <w:tcPr>
            <w:tcW w:w="2820" w:type="dxa"/>
            <w:vAlign w:val="bottom"/>
          </w:tcPr>
          <w:p>
            <w:pPr>
              <w:ind w:left="20"/>
              <w:spacing w:after="0"/>
              <w:rPr>
                <w:sz w:val="20"/>
                <w:szCs w:val="20"/>
                <w:color w:val="auto"/>
              </w:rPr>
            </w:pPr>
            <w:r>
              <w:rPr>
                <w:rFonts w:ascii="Arial" w:cs="Arial" w:eastAsia="Arial" w:hAnsi="Arial"/>
                <w:sz w:val="18"/>
                <w:szCs w:val="18"/>
                <w:color w:val="auto"/>
              </w:rPr>
              <w:t>AC = Audit Committee</w:t>
            </w:r>
          </w:p>
        </w:tc>
        <w:tc>
          <w:tcPr>
            <w:tcW w:w="560" w:type="dxa"/>
            <w:vAlign w:val="bottom"/>
          </w:tcPr>
          <w:p>
            <w:pPr>
              <w:spacing w:after="0"/>
              <w:rPr>
                <w:sz w:val="24"/>
                <w:szCs w:val="24"/>
                <w:color w:val="auto"/>
              </w:rPr>
            </w:pPr>
          </w:p>
        </w:tc>
        <w:tc>
          <w:tcPr>
            <w:tcW w:w="3640" w:type="dxa"/>
            <w:vAlign w:val="bottom"/>
            <w:gridSpan w:val="2"/>
          </w:tcPr>
          <w:p>
            <w:pPr>
              <w:ind w:left="160"/>
              <w:spacing w:after="0"/>
              <w:rPr>
                <w:sz w:val="20"/>
                <w:szCs w:val="20"/>
                <w:color w:val="auto"/>
              </w:rPr>
            </w:pPr>
            <w:r>
              <w:rPr>
                <w:rFonts w:ascii="Arial" w:cs="Arial" w:eastAsia="Arial" w:hAnsi="Arial"/>
                <w:sz w:val="18"/>
                <w:szCs w:val="18"/>
                <w:color w:val="auto"/>
              </w:rPr>
              <w:t>CC = Compensation Committee</w:t>
            </w:r>
          </w:p>
        </w:tc>
        <w:tc>
          <w:tcPr>
            <w:tcW w:w="800" w:type="dxa"/>
            <w:vAlign w:val="bottom"/>
            <w:gridSpan w:val="2"/>
          </w:tcPr>
          <w:p>
            <w:pPr>
              <w:ind w:left="40"/>
              <w:spacing w:after="0"/>
              <w:rPr>
                <w:sz w:val="20"/>
                <w:szCs w:val="20"/>
                <w:color w:val="auto"/>
              </w:rPr>
            </w:pPr>
            <w:r>
              <w:rPr>
                <w:rFonts w:ascii="Arial" w:cs="Arial" w:eastAsia="Arial" w:hAnsi="Arial"/>
                <w:sz w:val="18"/>
                <w:szCs w:val="18"/>
                <w:color w:val="auto"/>
              </w:rPr>
              <w:t>NCGC =</w:t>
            </w:r>
          </w:p>
        </w:tc>
        <w:tc>
          <w:tcPr>
            <w:tcW w:w="3040" w:type="dxa"/>
            <w:vAlign w:val="bottom"/>
            <w:tcBorders>
              <w:right w:val="single" w:sz="8" w:color="auto"/>
            </w:tcBorders>
            <w:gridSpan w:val="4"/>
          </w:tcPr>
          <w:p>
            <w:pPr>
              <w:ind w:left="280"/>
              <w:spacing w:after="0"/>
              <w:rPr>
                <w:sz w:val="20"/>
                <w:szCs w:val="20"/>
                <w:color w:val="auto"/>
              </w:rPr>
            </w:pPr>
            <w:r>
              <w:rPr>
                <w:rFonts w:ascii="Arial" w:cs="Arial" w:eastAsia="Arial" w:hAnsi="Arial"/>
                <w:sz w:val="18"/>
                <w:szCs w:val="18"/>
                <w:color w:val="auto"/>
              </w:rPr>
              <w:t>Nominating and Corporate</w:t>
            </w:r>
          </w:p>
        </w:tc>
      </w:tr>
      <w:tr>
        <w:trPr>
          <w:trHeight w:val="217"/>
        </w:trPr>
        <w:tc>
          <w:tcPr>
            <w:tcW w:w="180" w:type="dxa"/>
            <w:vAlign w:val="bottom"/>
            <w:tcBorders>
              <w:left w:val="single" w:sz="8" w:color="auto"/>
            </w:tcBorders>
          </w:tcPr>
          <w:p>
            <w:pPr>
              <w:spacing w:after="0"/>
              <w:rPr>
                <w:sz w:val="18"/>
                <w:szCs w:val="18"/>
                <w:color w:val="auto"/>
              </w:rPr>
            </w:pPr>
          </w:p>
        </w:tc>
        <w:tc>
          <w:tcPr>
            <w:tcW w:w="2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40" w:type="dxa"/>
            <w:vAlign w:val="bottom"/>
            <w:tcBorders>
              <w:right w:val="single" w:sz="8" w:color="auto"/>
            </w:tcBorders>
            <w:gridSpan w:val="4"/>
          </w:tcPr>
          <w:p>
            <w:pPr>
              <w:ind w:left="280"/>
              <w:spacing w:after="0"/>
              <w:rPr>
                <w:sz w:val="20"/>
                <w:szCs w:val="20"/>
                <w:color w:val="auto"/>
              </w:rPr>
            </w:pPr>
            <w:r>
              <w:rPr>
                <w:rFonts w:ascii="Arial" w:cs="Arial" w:eastAsia="Arial" w:hAnsi="Arial"/>
                <w:sz w:val="18"/>
                <w:szCs w:val="18"/>
                <w:color w:val="auto"/>
              </w:rPr>
              <w:t>Governance Committee</w:t>
            </w:r>
          </w:p>
        </w:tc>
      </w:tr>
      <w:tr>
        <w:trPr>
          <w:trHeight w:val="240"/>
        </w:trPr>
        <w:tc>
          <w:tcPr>
            <w:tcW w:w="180" w:type="dxa"/>
            <w:vAlign w:val="bottom"/>
            <w:tcBorders>
              <w:left w:val="single" w:sz="8" w:color="auto"/>
              <w:bottom w:val="single" w:sz="8" w:color="auto"/>
            </w:tcBorders>
          </w:tcPr>
          <w:p>
            <w:pPr>
              <w:spacing w:after="0"/>
              <w:rPr>
                <w:sz w:val="20"/>
                <w:szCs w:val="20"/>
                <w:color w:val="auto"/>
              </w:rPr>
            </w:pPr>
          </w:p>
        </w:tc>
        <w:tc>
          <w:tcPr>
            <w:tcW w:w="28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r>
      <w:tr>
        <w:trPr>
          <w:trHeight w:val="604"/>
        </w:trPr>
        <w:tc>
          <w:tcPr>
            <w:tcW w:w="3000" w:type="dxa"/>
            <w:vAlign w:val="bottom"/>
            <w:gridSpan w:val="2"/>
          </w:tcPr>
          <w:p>
            <w:pPr>
              <w:spacing w:after="0"/>
              <w:rPr>
                <w:sz w:val="20"/>
                <w:szCs w:val="20"/>
                <w:color w:val="auto"/>
              </w:rPr>
            </w:pPr>
            <w:r>
              <w:rPr>
                <w:rFonts w:ascii="Arial" w:cs="Arial" w:eastAsia="Arial" w:hAnsi="Arial"/>
                <w:sz w:val="18"/>
                <w:szCs w:val="18"/>
                <w:color w:val="999999"/>
              </w:rPr>
              <w:t xml:space="preserve">6  </w:t>
            </w:r>
            <w:r>
              <w:rPr>
                <w:rFonts w:ascii="Arial" w:cs="Arial" w:eastAsia="Arial" w:hAnsi="Arial"/>
                <w:sz w:val="14"/>
                <w:szCs w:val="14"/>
                <w:b w:val="1"/>
                <w:bCs w:val="1"/>
                <w:color w:val="052B82"/>
              </w:rPr>
              <w:t>Analog Devices, Inc.</w:t>
            </w: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205740</wp:posOffset>
            </wp:positionV>
            <wp:extent cx="7002145" cy="76346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02145" cy="7634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Composition of Board Nominees</w:t>
      </w:r>
    </w:p>
    <w:p>
      <w:pPr>
        <w:spacing w:after="0" w:line="126" w:lineRule="exact"/>
        <w:rPr>
          <w:sz w:val="20"/>
          <w:szCs w:val="20"/>
          <w:color w:val="auto"/>
        </w:rPr>
      </w:pPr>
    </w:p>
    <w:p>
      <w:pPr>
        <w:ind w:left="380" w:right="240" w:firstLine="426"/>
        <w:spacing w:after="0" w:line="237" w:lineRule="auto"/>
        <w:rPr>
          <w:sz w:val="20"/>
          <w:szCs w:val="20"/>
          <w:color w:val="auto"/>
        </w:rPr>
      </w:pPr>
      <w:r>
        <w:rPr>
          <w:rFonts w:ascii="Arial" w:cs="Arial" w:eastAsia="Arial" w:hAnsi="Arial"/>
          <w:sz w:val="18"/>
          <w:szCs w:val="18"/>
          <w:color w:val="auto"/>
        </w:rPr>
        <w:t>The Board of Directors and the Nominating and Corporate Governance Committee are committed to ensuring that the Board is comprised of a highly capable group of directors who collectively provide a significant breadth of experience, knowledge and ability to effectively represent the interest of shareholders, drive shareholder value and reflect our corporate values of integrity, honesty and adherence to high ethical standards. The Board also believes that having directors with a mix of tenure helps transition the institutional knowledge of the more experienced directors while providing a broad, fresh set of perspectives. The following charts reflect the broad experience, gender and ethnic diversity and tenure of our ten director nominees.</w:t>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9420"/>
        <w:spacing w:after="0"/>
        <w:tabs>
          <w:tab w:leader="none" w:pos="11100" w:val="left"/>
        </w:tabs>
        <w:rPr>
          <w:sz w:val="20"/>
          <w:szCs w:val="20"/>
          <w:color w:val="auto"/>
        </w:rPr>
      </w:pPr>
      <w:r>
        <w:rPr>
          <w:rFonts w:ascii="Arial" w:cs="Arial" w:eastAsia="Arial" w:hAnsi="Arial"/>
          <w:sz w:val="14"/>
          <w:szCs w:val="14"/>
          <w:b w:val="1"/>
          <w:bCs w:val="1"/>
          <w:color w:val="052B82"/>
        </w:rPr>
        <w:t>2020 Proxy Statement</w:t>
      </w:r>
      <w:r>
        <w:rPr>
          <w:sz w:val="20"/>
          <w:szCs w:val="20"/>
          <w:color w:val="auto"/>
        </w:rPr>
        <w:tab/>
      </w:r>
      <w:r>
        <w:rPr>
          <w:rFonts w:ascii="Arial" w:cs="Arial" w:eastAsia="Arial" w:hAnsi="Arial"/>
          <w:sz w:val="17"/>
          <w:szCs w:val="17"/>
          <w:color w:val="999999"/>
        </w:rPr>
        <w:t>7</w:t>
      </w:r>
    </w:p>
    <w:p>
      <w:pPr>
        <w:sectPr>
          <w:pgSz w:w="11900" w:h="16838" w:orient="portrait"/>
          <w:cols w:equalWidth="0" w:num="1">
            <w:col w:w="11220"/>
          </w:cols>
          <w:pgMar w:left="240" w:top="459" w:right="4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888480" cy="3183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88480" cy="3183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052B82"/>
        </w:rPr>
        <w:t>CORPORATE GOVERNANCE HIGHLIGHTS</w:t>
      </w:r>
    </w:p>
    <w:p>
      <w:pPr>
        <w:spacing w:after="0" w:line="24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The Company’s governance practices include:</w:t>
      </w:r>
    </w:p>
    <w:p>
      <w:pPr>
        <w:spacing w:after="0" w:line="253" w:lineRule="exact"/>
        <w:rPr>
          <w:sz w:val="20"/>
          <w:szCs w:val="20"/>
          <w:color w:val="auto"/>
        </w:rPr>
      </w:pPr>
    </w:p>
    <w:p>
      <w:pPr>
        <w:ind w:left="1060"/>
        <w:spacing w:after="0"/>
        <w:rPr>
          <w:sz w:val="20"/>
          <w:szCs w:val="20"/>
          <w:color w:val="auto"/>
        </w:rPr>
      </w:pPr>
      <w:r>
        <w:rPr>
          <w:rFonts w:ascii="Arial" w:cs="Arial" w:eastAsia="Arial" w:hAnsi="Arial"/>
          <w:sz w:val="14"/>
          <w:szCs w:val="14"/>
          <w:b w:val="1"/>
          <w:bCs w:val="1"/>
          <w:color w:val="191919"/>
        </w:rPr>
        <w:t>WHAT WE DO</w:t>
      </w:r>
    </w:p>
    <w:p>
      <w:pPr>
        <w:spacing w:after="0" w:line="14" w:lineRule="exact"/>
        <w:rPr>
          <w:sz w:val="20"/>
          <w:szCs w:val="20"/>
          <w:color w:val="auto"/>
        </w:rPr>
      </w:pPr>
    </w:p>
    <w:tbl>
      <w:tblPr>
        <w:tblLayout w:type="fixed"/>
        <w:tblInd w:w="960" w:type="dxa"/>
        <w:tblCellMar>
          <w:top w:w="0" w:type="dxa"/>
          <w:left w:w="0" w:type="dxa"/>
          <w:bottom w:w="0" w:type="dxa"/>
          <w:right w:w="0" w:type="dxa"/>
        </w:tblCellMar>
      </w:tblPr>
      <w:tr>
        <w:trPr>
          <w:trHeight w:val="156"/>
        </w:trPr>
        <w:tc>
          <w:tcPr>
            <w:tcW w:w="440" w:type="dxa"/>
            <w:vAlign w:val="bottom"/>
            <w:tcBorders>
              <w:top w:val="single" w:sz="8" w:color="4C4C4C"/>
            </w:tcBorders>
            <w:vMerge w:val="restart"/>
          </w:tcPr>
          <w:p>
            <w:pPr>
              <w:ind w:left="100"/>
              <w:spacing w:after="0" w:line="321" w:lineRule="exact"/>
              <w:rPr>
                <w:sz w:val="20"/>
                <w:szCs w:val="20"/>
                <w:color w:val="auto"/>
              </w:rPr>
            </w:pPr>
            <w:r>
              <w:rPr>
                <w:rFonts w:ascii="MS PGothic" w:cs="MS PGothic" w:eastAsia="MS PGothic" w:hAnsi="MS PGothic"/>
                <w:sz w:val="32"/>
                <w:szCs w:val="32"/>
                <w:color w:val="1E408E"/>
                <w:w w:val="99"/>
              </w:rPr>
              <w:t>✓</w:t>
            </w:r>
          </w:p>
        </w:tc>
        <w:tc>
          <w:tcPr>
            <w:tcW w:w="4640" w:type="dxa"/>
            <w:vAlign w:val="bottom"/>
            <w:tcBorders>
              <w:top w:val="single" w:sz="8" w:color="4C4C4C"/>
            </w:tcBorders>
          </w:tcPr>
          <w:p>
            <w:pPr>
              <w:ind w:left="60"/>
              <w:spacing w:after="0" w:line="156" w:lineRule="exact"/>
              <w:rPr>
                <w:sz w:val="20"/>
                <w:szCs w:val="20"/>
                <w:color w:val="auto"/>
              </w:rPr>
            </w:pPr>
            <w:r>
              <w:rPr>
                <w:rFonts w:ascii="Arial" w:cs="Arial" w:eastAsia="Arial" w:hAnsi="Arial"/>
                <w:sz w:val="18"/>
                <w:szCs w:val="18"/>
                <w:color w:val="auto"/>
              </w:rPr>
              <w:t>Majority of directors are independent</w:t>
            </w:r>
          </w:p>
        </w:tc>
        <w:tc>
          <w:tcPr>
            <w:tcW w:w="660" w:type="dxa"/>
            <w:vAlign w:val="bottom"/>
            <w:tcBorders>
              <w:top w:val="single" w:sz="8" w:color="4C4C4C"/>
            </w:tcBorders>
          </w:tcPr>
          <w:p>
            <w:pPr>
              <w:spacing w:after="0"/>
              <w:rPr>
                <w:sz w:val="13"/>
                <w:szCs w:val="13"/>
                <w:color w:val="auto"/>
              </w:rPr>
            </w:pPr>
          </w:p>
        </w:tc>
        <w:tc>
          <w:tcPr>
            <w:tcW w:w="3840" w:type="dxa"/>
            <w:vAlign w:val="bottom"/>
            <w:tcBorders>
              <w:top w:val="single" w:sz="8" w:color="4C4C4C"/>
            </w:tcBorders>
          </w:tcPr>
          <w:p>
            <w:pPr>
              <w:ind w:left="20"/>
              <w:spacing w:after="0" w:line="156" w:lineRule="exact"/>
              <w:rPr>
                <w:sz w:val="20"/>
                <w:szCs w:val="20"/>
                <w:color w:val="auto"/>
              </w:rPr>
            </w:pPr>
            <w:r>
              <w:rPr>
                <w:rFonts w:ascii="Arial" w:cs="Arial" w:eastAsia="Arial" w:hAnsi="Arial"/>
                <w:sz w:val="18"/>
                <w:szCs w:val="18"/>
                <w:color w:val="auto"/>
              </w:rPr>
              <w:t>Share ownership guidelines for executive</w:t>
            </w:r>
          </w:p>
        </w:tc>
        <w:tc>
          <w:tcPr>
            <w:tcW w:w="0" w:type="dxa"/>
            <w:vAlign w:val="bottom"/>
          </w:tcPr>
          <w:p>
            <w:pPr>
              <w:spacing w:after="0"/>
              <w:rPr>
                <w:sz w:val="1"/>
                <w:szCs w:val="1"/>
                <w:color w:val="auto"/>
              </w:rPr>
            </w:pPr>
          </w:p>
        </w:tc>
      </w:tr>
      <w:tr>
        <w:trPr>
          <w:trHeight w:val="257"/>
        </w:trPr>
        <w:tc>
          <w:tcPr>
            <w:tcW w:w="440" w:type="dxa"/>
            <w:vAlign w:val="bottom"/>
            <w:tcBorders>
              <w:bottom w:val="single" w:sz="8" w:color="4C4C4C"/>
            </w:tcBorders>
            <w:vMerge w:val="continue"/>
          </w:tcPr>
          <w:p>
            <w:pPr>
              <w:spacing w:after="0"/>
              <w:rPr>
                <w:sz w:val="22"/>
                <w:szCs w:val="22"/>
                <w:color w:val="auto"/>
              </w:rPr>
            </w:pPr>
          </w:p>
        </w:tc>
        <w:tc>
          <w:tcPr>
            <w:tcW w:w="4640" w:type="dxa"/>
            <w:vAlign w:val="bottom"/>
            <w:tcBorders>
              <w:bottom w:val="single" w:sz="8" w:color="4C4C4C"/>
            </w:tcBorders>
          </w:tcPr>
          <w:p>
            <w:pPr>
              <w:spacing w:after="0"/>
              <w:rPr>
                <w:sz w:val="22"/>
                <w:szCs w:val="22"/>
                <w:color w:val="auto"/>
              </w:rPr>
            </w:pPr>
          </w:p>
        </w:tc>
        <w:tc>
          <w:tcPr>
            <w:tcW w:w="4500" w:type="dxa"/>
            <w:vAlign w:val="bottom"/>
            <w:tcBorders>
              <w:bottom w:val="single" w:sz="8" w:color="4C4C4C"/>
            </w:tcBorders>
            <w:gridSpan w:val="2"/>
          </w:tcPr>
          <w:p>
            <w:pPr>
              <w:ind w:left="360"/>
              <w:spacing w:after="0" w:line="256" w:lineRule="exact"/>
              <w:rPr>
                <w:sz w:val="20"/>
                <w:szCs w:val="20"/>
                <w:color w:val="auto"/>
              </w:rPr>
            </w:pPr>
            <w:r>
              <w:rPr>
                <w:rFonts w:ascii="MS PGothic" w:cs="MS PGothic" w:eastAsia="MS PGothic" w:hAnsi="MS PGothic"/>
                <w:sz w:val="29"/>
                <w:szCs w:val="29"/>
                <w:color w:val="1E408E"/>
                <w:vertAlign w:val="superscript"/>
              </w:rPr>
              <w:t>✓</w:t>
            </w:r>
            <w:r>
              <w:rPr>
                <w:rFonts w:ascii="Arial" w:cs="Arial" w:eastAsia="Arial" w:hAnsi="Arial"/>
                <w:sz w:val="14"/>
                <w:szCs w:val="14"/>
                <w:color w:val="auto"/>
              </w:rPr>
              <w:t xml:space="preserve"> officers and non-employee directors</w:t>
            </w:r>
          </w:p>
        </w:tc>
        <w:tc>
          <w:tcPr>
            <w:tcW w:w="0" w:type="dxa"/>
            <w:vAlign w:val="bottom"/>
          </w:tcPr>
          <w:p>
            <w:pPr>
              <w:spacing w:after="0"/>
              <w:rPr>
                <w:sz w:val="1"/>
                <w:szCs w:val="1"/>
                <w:color w:val="auto"/>
              </w:rPr>
            </w:pPr>
          </w:p>
        </w:tc>
      </w:tr>
      <w:tr>
        <w:trPr>
          <w:trHeight w:val="156"/>
        </w:trPr>
        <w:tc>
          <w:tcPr>
            <w:tcW w:w="440" w:type="dxa"/>
            <w:vAlign w:val="bottom"/>
            <w:vMerge w:val="restart"/>
          </w:tcPr>
          <w:p>
            <w:pPr>
              <w:ind w:left="100"/>
              <w:spacing w:after="0" w:line="321" w:lineRule="exact"/>
              <w:rPr>
                <w:sz w:val="20"/>
                <w:szCs w:val="20"/>
                <w:color w:val="auto"/>
              </w:rPr>
            </w:pPr>
            <w:r>
              <w:rPr>
                <w:rFonts w:ascii="MS PGothic" w:cs="MS PGothic" w:eastAsia="MS PGothic" w:hAnsi="MS PGothic"/>
                <w:sz w:val="32"/>
                <w:szCs w:val="32"/>
                <w:color w:val="1E408E"/>
                <w:w w:val="99"/>
              </w:rPr>
              <w:t>✓</w:t>
            </w:r>
          </w:p>
        </w:tc>
        <w:tc>
          <w:tcPr>
            <w:tcW w:w="4640" w:type="dxa"/>
            <w:vAlign w:val="bottom"/>
          </w:tcPr>
          <w:p>
            <w:pPr>
              <w:ind w:left="60"/>
              <w:spacing w:after="0" w:line="156" w:lineRule="exact"/>
              <w:rPr>
                <w:sz w:val="20"/>
                <w:szCs w:val="20"/>
                <w:color w:val="auto"/>
              </w:rPr>
            </w:pPr>
            <w:r>
              <w:rPr>
                <w:rFonts w:ascii="Arial" w:cs="Arial" w:eastAsia="Arial" w:hAnsi="Arial"/>
                <w:sz w:val="18"/>
                <w:szCs w:val="18"/>
                <w:color w:val="auto"/>
              </w:rPr>
              <w:t>Annual election of directors</w:t>
            </w:r>
          </w:p>
        </w:tc>
        <w:tc>
          <w:tcPr>
            <w:tcW w:w="660" w:type="dxa"/>
            <w:vAlign w:val="bottom"/>
          </w:tcPr>
          <w:p>
            <w:pPr>
              <w:spacing w:after="0"/>
              <w:rPr>
                <w:sz w:val="13"/>
                <w:szCs w:val="13"/>
                <w:color w:val="auto"/>
              </w:rPr>
            </w:pPr>
          </w:p>
        </w:tc>
        <w:tc>
          <w:tcPr>
            <w:tcW w:w="3840" w:type="dxa"/>
            <w:vAlign w:val="bottom"/>
          </w:tcPr>
          <w:p>
            <w:pPr>
              <w:ind w:left="20"/>
              <w:spacing w:after="0" w:line="156" w:lineRule="exact"/>
              <w:rPr>
                <w:sz w:val="20"/>
                <w:szCs w:val="20"/>
                <w:color w:val="auto"/>
              </w:rPr>
            </w:pPr>
            <w:r>
              <w:rPr>
                <w:rFonts w:ascii="Arial" w:cs="Arial" w:eastAsia="Arial" w:hAnsi="Arial"/>
                <w:sz w:val="18"/>
                <w:szCs w:val="18"/>
                <w:color w:val="auto"/>
              </w:rPr>
              <w:t>Active Board engagement in managing talent</w:t>
            </w:r>
          </w:p>
        </w:tc>
        <w:tc>
          <w:tcPr>
            <w:tcW w:w="0" w:type="dxa"/>
            <w:vAlign w:val="bottom"/>
          </w:tcPr>
          <w:p>
            <w:pPr>
              <w:spacing w:after="0"/>
              <w:rPr>
                <w:sz w:val="1"/>
                <w:szCs w:val="1"/>
                <w:color w:val="auto"/>
              </w:rPr>
            </w:pPr>
          </w:p>
        </w:tc>
      </w:tr>
      <w:tr>
        <w:trPr>
          <w:trHeight w:val="242"/>
        </w:trPr>
        <w:tc>
          <w:tcPr>
            <w:tcW w:w="440" w:type="dxa"/>
            <w:vAlign w:val="bottom"/>
            <w:vMerge w:val="continue"/>
          </w:tcPr>
          <w:p>
            <w:pPr>
              <w:spacing w:after="0"/>
              <w:rPr>
                <w:sz w:val="21"/>
                <w:szCs w:val="21"/>
                <w:color w:val="auto"/>
              </w:rPr>
            </w:pPr>
          </w:p>
        </w:tc>
        <w:tc>
          <w:tcPr>
            <w:tcW w:w="4640" w:type="dxa"/>
            <w:vAlign w:val="bottom"/>
          </w:tcPr>
          <w:p>
            <w:pPr>
              <w:spacing w:after="0"/>
              <w:rPr>
                <w:sz w:val="21"/>
                <w:szCs w:val="21"/>
                <w:color w:val="auto"/>
              </w:rPr>
            </w:pPr>
          </w:p>
        </w:tc>
        <w:tc>
          <w:tcPr>
            <w:tcW w:w="4500" w:type="dxa"/>
            <w:vAlign w:val="bottom"/>
            <w:gridSpan w:val="2"/>
          </w:tcPr>
          <w:p>
            <w:pPr>
              <w:ind w:left="360"/>
              <w:spacing w:after="0" w:line="242" w:lineRule="exact"/>
              <w:rPr>
                <w:sz w:val="20"/>
                <w:szCs w:val="20"/>
                <w:color w:val="auto"/>
              </w:rPr>
            </w:pPr>
            <w:r>
              <w:rPr>
                <w:rFonts w:ascii="MS PGothic" w:cs="MS PGothic" w:eastAsia="MS PGothic" w:hAnsi="MS PGothic"/>
                <w:sz w:val="28"/>
                <w:szCs w:val="28"/>
                <w:color w:val="1E408E"/>
                <w:vertAlign w:val="superscript"/>
              </w:rPr>
              <w:t>✓</w:t>
            </w:r>
            <w:r>
              <w:rPr>
                <w:rFonts w:ascii="Arial" w:cs="Arial" w:eastAsia="Arial" w:hAnsi="Arial"/>
                <w:sz w:val="14"/>
                <w:szCs w:val="14"/>
                <w:color w:val="auto"/>
              </w:rPr>
              <w:t xml:space="preserve"> and long-term succession planning for</w:t>
            </w:r>
          </w:p>
        </w:tc>
        <w:tc>
          <w:tcPr>
            <w:tcW w:w="0" w:type="dxa"/>
            <w:vAlign w:val="bottom"/>
          </w:tcPr>
          <w:p>
            <w:pPr>
              <w:spacing w:after="0"/>
              <w:rPr>
                <w:sz w:val="1"/>
                <w:szCs w:val="1"/>
                <w:color w:val="auto"/>
              </w:rPr>
            </w:pPr>
          </w:p>
        </w:tc>
      </w:tr>
      <w:tr>
        <w:trPr>
          <w:trHeight w:val="217"/>
        </w:trPr>
        <w:tc>
          <w:tcPr>
            <w:tcW w:w="440" w:type="dxa"/>
            <w:vAlign w:val="bottom"/>
            <w:tcBorders>
              <w:bottom w:val="single" w:sz="8" w:color="4C4C4C"/>
            </w:tcBorders>
          </w:tcPr>
          <w:p>
            <w:pPr>
              <w:spacing w:after="0"/>
              <w:rPr>
                <w:sz w:val="18"/>
                <w:szCs w:val="18"/>
                <w:color w:val="auto"/>
              </w:rPr>
            </w:pPr>
          </w:p>
        </w:tc>
        <w:tc>
          <w:tcPr>
            <w:tcW w:w="4640" w:type="dxa"/>
            <w:vAlign w:val="bottom"/>
            <w:tcBorders>
              <w:bottom w:val="single" w:sz="8" w:color="4C4C4C"/>
            </w:tcBorders>
          </w:tcPr>
          <w:p>
            <w:pPr>
              <w:spacing w:after="0"/>
              <w:rPr>
                <w:sz w:val="18"/>
                <w:szCs w:val="18"/>
                <w:color w:val="auto"/>
              </w:rPr>
            </w:pPr>
          </w:p>
        </w:tc>
        <w:tc>
          <w:tcPr>
            <w:tcW w:w="660" w:type="dxa"/>
            <w:vAlign w:val="bottom"/>
            <w:tcBorders>
              <w:bottom w:val="single" w:sz="8" w:color="4C4C4C"/>
            </w:tcBorders>
          </w:tcPr>
          <w:p>
            <w:pPr>
              <w:spacing w:after="0"/>
              <w:rPr>
                <w:sz w:val="18"/>
                <w:szCs w:val="18"/>
                <w:color w:val="auto"/>
              </w:rPr>
            </w:pPr>
          </w:p>
        </w:tc>
        <w:tc>
          <w:tcPr>
            <w:tcW w:w="3840" w:type="dxa"/>
            <w:vAlign w:val="bottom"/>
            <w:tcBorders>
              <w:bottom w:val="single" w:sz="8" w:color="4C4C4C"/>
            </w:tcBorders>
          </w:tcPr>
          <w:p>
            <w:pPr>
              <w:ind w:left="20"/>
              <w:spacing w:after="0"/>
              <w:rPr>
                <w:sz w:val="20"/>
                <w:szCs w:val="20"/>
                <w:color w:val="auto"/>
              </w:rPr>
            </w:pPr>
            <w:r>
              <w:rPr>
                <w:rFonts w:ascii="Arial" w:cs="Arial" w:eastAsia="Arial" w:hAnsi="Arial"/>
                <w:sz w:val="18"/>
                <w:szCs w:val="18"/>
                <w:color w:val="auto"/>
              </w:rPr>
              <w:t>executives</w:t>
            </w:r>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4640" w:type="dxa"/>
            <w:vAlign w:val="bottom"/>
          </w:tcPr>
          <w:p>
            <w:pPr>
              <w:ind w:left="60"/>
              <w:spacing w:after="0" w:line="156" w:lineRule="exact"/>
              <w:rPr>
                <w:sz w:val="20"/>
                <w:szCs w:val="20"/>
                <w:color w:val="auto"/>
              </w:rPr>
            </w:pPr>
            <w:r>
              <w:rPr>
                <w:rFonts w:ascii="Arial" w:cs="Arial" w:eastAsia="Arial" w:hAnsi="Arial"/>
                <w:sz w:val="18"/>
                <w:szCs w:val="18"/>
                <w:color w:val="auto"/>
              </w:rPr>
              <w:t>Majority voting for directors in uncontested director</w:t>
            </w:r>
          </w:p>
        </w:tc>
        <w:tc>
          <w:tcPr>
            <w:tcW w:w="660" w:type="dxa"/>
            <w:vAlign w:val="bottom"/>
            <w:vMerge w:val="restart"/>
          </w:tcPr>
          <w:p>
            <w:pPr>
              <w:ind w:left="360"/>
              <w:spacing w:after="0" w:line="321" w:lineRule="exact"/>
              <w:rPr>
                <w:sz w:val="20"/>
                <w:szCs w:val="20"/>
                <w:color w:val="auto"/>
              </w:rPr>
            </w:pPr>
            <w:r>
              <w:rPr>
                <w:rFonts w:ascii="MS PGothic" w:cs="MS PGothic" w:eastAsia="MS PGothic" w:hAnsi="MS PGothic"/>
                <w:sz w:val="32"/>
                <w:szCs w:val="32"/>
                <w:color w:val="1E408E"/>
                <w:w w:val="87"/>
              </w:rPr>
              <w:t>✓</w:t>
            </w:r>
          </w:p>
        </w:tc>
        <w:tc>
          <w:tcPr>
            <w:tcW w:w="3840" w:type="dxa"/>
            <w:vAlign w:val="bottom"/>
          </w:tcPr>
          <w:p>
            <w:pPr>
              <w:ind w:left="20"/>
              <w:spacing w:after="0" w:line="156" w:lineRule="exact"/>
              <w:rPr>
                <w:sz w:val="20"/>
                <w:szCs w:val="20"/>
                <w:color w:val="auto"/>
              </w:rPr>
            </w:pPr>
            <w:r>
              <w:rPr>
                <w:rFonts w:ascii="Arial" w:cs="Arial" w:eastAsia="Arial" w:hAnsi="Arial"/>
                <w:sz w:val="18"/>
                <w:szCs w:val="18"/>
                <w:color w:val="auto"/>
              </w:rPr>
              <w:t>No supermajority voting provisions</w:t>
            </w:r>
          </w:p>
        </w:tc>
        <w:tc>
          <w:tcPr>
            <w:tcW w:w="0" w:type="dxa"/>
            <w:vAlign w:val="bottom"/>
          </w:tcPr>
          <w:p>
            <w:pPr>
              <w:spacing w:after="0"/>
              <w:rPr>
                <w:sz w:val="1"/>
                <w:szCs w:val="1"/>
                <w:color w:val="auto"/>
              </w:rPr>
            </w:pPr>
          </w:p>
        </w:tc>
      </w:tr>
      <w:tr>
        <w:trPr>
          <w:trHeight w:val="257"/>
        </w:trPr>
        <w:tc>
          <w:tcPr>
            <w:tcW w:w="5080" w:type="dxa"/>
            <w:vAlign w:val="bottom"/>
            <w:tcBorders>
              <w:bottom w:val="single" w:sz="8" w:color="4C4C4C"/>
            </w:tcBorders>
            <w:gridSpan w:val="2"/>
          </w:tcPr>
          <w:p>
            <w:pPr>
              <w:ind w:left="100"/>
              <w:spacing w:after="0" w:line="256" w:lineRule="exact"/>
              <w:rPr>
                <w:sz w:val="20"/>
                <w:szCs w:val="20"/>
                <w:color w:val="auto"/>
              </w:rPr>
            </w:pPr>
            <w:r>
              <w:rPr>
                <w:rFonts w:ascii="MS PGothic" w:cs="MS PGothic" w:eastAsia="MS PGothic" w:hAnsi="MS PGothic"/>
                <w:sz w:val="29"/>
                <w:szCs w:val="29"/>
                <w:color w:val="1E408E"/>
                <w:vertAlign w:val="superscript"/>
              </w:rPr>
              <w:t>✓</w:t>
            </w:r>
            <w:r>
              <w:rPr>
                <w:rFonts w:ascii="Arial" w:cs="Arial" w:eastAsia="Arial" w:hAnsi="Arial"/>
                <w:sz w:val="14"/>
                <w:szCs w:val="14"/>
                <w:color w:val="auto"/>
              </w:rPr>
              <w:t xml:space="preserve"> elections</w:t>
            </w:r>
          </w:p>
        </w:tc>
        <w:tc>
          <w:tcPr>
            <w:tcW w:w="660" w:type="dxa"/>
            <w:vAlign w:val="bottom"/>
            <w:tcBorders>
              <w:bottom w:val="single" w:sz="8" w:color="4C4C4C"/>
            </w:tcBorders>
            <w:vMerge w:val="continue"/>
          </w:tcPr>
          <w:p>
            <w:pPr>
              <w:spacing w:after="0"/>
              <w:rPr>
                <w:sz w:val="22"/>
                <w:szCs w:val="22"/>
                <w:color w:val="auto"/>
              </w:rPr>
            </w:pPr>
          </w:p>
        </w:tc>
        <w:tc>
          <w:tcPr>
            <w:tcW w:w="3840" w:type="dxa"/>
            <w:vAlign w:val="bottom"/>
            <w:tcBorders>
              <w:bottom w:val="single" w:sz="8" w:color="4C4C4C"/>
            </w:tcBorders>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4640" w:type="dxa"/>
            <w:vAlign w:val="bottom"/>
          </w:tcPr>
          <w:p>
            <w:pPr>
              <w:ind w:left="60"/>
              <w:spacing w:after="0" w:line="156" w:lineRule="exact"/>
              <w:rPr>
                <w:sz w:val="20"/>
                <w:szCs w:val="20"/>
                <w:color w:val="auto"/>
              </w:rPr>
            </w:pPr>
            <w:r>
              <w:rPr>
                <w:rFonts w:ascii="Arial" w:cs="Arial" w:eastAsia="Arial" w:hAnsi="Arial"/>
                <w:sz w:val="18"/>
                <w:szCs w:val="18"/>
                <w:color w:val="auto"/>
              </w:rPr>
              <w:t>Average tenure of independent directors standing for</w:t>
            </w:r>
          </w:p>
        </w:tc>
        <w:tc>
          <w:tcPr>
            <w:tcW w:w="660" w:type="dxa"/>
            <w:vAlign w:val="bottom"/>
            <w:vMerge w:val="restart"/>
          </w:tcPr>
          <w:p>
            <w:pPr>
              <w:ind w:left="360"/>
              <w:spacing w:after="0" w:line="321" w:lineRule="exact"/>
              <w:rPr>
                <w:sz w:val="20"/>
                <w:szCs w:val="20"/>
                <w:color w:val="auto"/>
              </w:rPr>
            </w:pPr>
            <w:r>
              <w:rPr>
                <w:rFonts w:ascii="MS PGothic" w:cs="MS PGothic" w:eastAsia="MS PGothic" w:hAnsi="MS PGothic"/>
                <w:sz w:val="32"/>
                <w:szCs w:val="32"/>
                <w:color w:val="1E408E"/>
                <w:w w:val="87"/>
              </w:rPr>
              <w:t>✓</w:t>
            </w:r>
          </w:p>
        </w:tc>
        <w:tc>
          <w:tcPr>
            <w:tcW w:w="3840" w:type="dxa"/>
            <w:vAlign w:val="bottom"/>
          </w:tcPr>
          <w:p>
            <w:pPr>
              <w:ind w:left="20"/>
              <w:spacing w:after="0" w:line="156" w:lineRule="exact"/>
              <w:rPr>
                <w:sz w:val="20"/>
                <w:szCs w:val="20"/>
                <w:color w:val="auto"/>
              </w:rPr>
            </w:pPr>
            <w:r>
              <w:rPr>
                <w:rFonts w:ascii="Arial" w:cs="Arial" w:eastAsia="Arial" w:hAnsi="Arial"/>
                <w:sz w:val="18"/>
                <w:szCs w:val="18"/>
                <w:color w:val="auto"/>
              </w:rPr>
              <w:t>Annual Board and Committee self-evaluations</w:t>
            </w:r>
          </w:p>
        </w:tc>
        <w:tc>
          <w:tcPr>
            <w:tcW w:w="0" w:type="dxa"/>
            <w:vAlign w:val="bottom"/>
          </w:tcPr>
          <w:p>
            <w:pPr>
              <w:spacing w:after="0"/>
              <w:rPr>
                <w:sz w:val="1"/>
                <w:szCs w:val="1"/>
                <w:color w:val="auto"/>
              </w:rPr>
            </w:pPr>
          </w:p>
        </w:tc>
      </w:tr>
      <w:tr>
        <w:trPr>
          <w:trHeight w:val="257"/>
        </w:trPr>
        <w:tc>
          <w:tcPr>
            <w:tcW w:w="5080" w:type="dxa"/>
            <w:vAlign w:val="bottom"/>
            <w:tcBorders>
              <w:bottom w:val="single" w:sz="8" w:color="4C4C4C"/>
            </w:tcBorders>
            <w:gridSpan w:val="2"/>
          </w:tcPr>
          <w:p>
            <w:pPr>
              <w:ind w:left="100"/>
              <w:spacing w:after="0" w:line="256" w:lineRule="exact"/>
              <w:rPr>
                <w:sz w:val="20"/>
                <w:szCs w:val="20"/>
                <w:color w:val="auto"/>
              </w:rPr>
            </w:pPr>
            <w:r>
              <w:rPr>
                <w:rFonts w:ascii="MS PGothic" w:cs="MS PGothic" w:eastAsia="MS PGothic" w:hAnsi="MS PGothic"/>
                <w:sz w:val="29"/>
                <w:szCs w:val="29"/>
                <w:color w:val="1E408E"/>
                <w:vertAlign w:val="superscript"/>
              </w:rPr>
              <w:t>✓</w:t>
            </w:r>
            <w:r>
              <w:rPr>
                <w:rFonts w:ascii="Arial" w:cs="Arial" w:eastAsia="Arial" w:hAnsi="Arial"/>
                <w:sz w:val="14"/>
                <w:szCs w:val="14"/>
                <w:color w:val="auto"/>
              </w:rPr>
              <w:t xml:space="preserve"> re-election is approximately 6.5 years</w:t>
            </w:r>
          </w:p>
        </w:tc>
        <w:tc>
          <w:tcPr>
            <w:tcW w:w="660" w:type="dxa"/>
            <w:vAlign w:val="bottom"/>
            <w:tcBorders>
              <w:bottom w:val="single" w:sz="8" w:color="4C4C4C"/>
            </w:tcBorders>
            <w:vMerge w:val="continue"/>
          </w:tcPr>
          <w:p>
            <w:pPr>
              <w:spacing w:after="0"/>
              <w:rPr>
                <w:sz w:val="22"/>
                <w:szCs w:val="22"/>
                <w:color w:val="auto"/>
              </w:rPr>
            </w:pPr>
          </w:p>
        </w:tc>
        <w:tc>
          <w:tcPr>
            <w:tcW w:w="3840" w:type="dxa"/>
            <w:vAlign w:val="bottom"/>
            <w:tcBorders>
              <w:bottom w:val="single" w:sz="8" w:color="4C4C4C"/>
            </w:tcBorders>
          </w:tcPr>
          <w:p>
            <w:pPr>
              <w:spacing w:after="0"/>
              <w:rPr>
                <w:sz w:val="22"/>
                <w:szCs w:val="22"/>
                <w:color w:val="auto"/>
              </w:rPr>
            </w:pPr>
          </w:p>
        </w:tc>
        <w:tc>
          <w:tcPr>
            <w:tcW w:w="0" w:type="dxa"/>
            <w:vAlign w:val="bottom"/>
          </w:tcPr>
          <w:p>
            <w:pPr>
              <w:spacing w:after="0"/>
              <w:rPr>
                <w:sz w:val="1"/>
                <w:szCs w:val="1"/>
                <w:color w:val="auto"/>
              </w:rPr>
            </w:pPr>
          </w:p>
        </w:tc>
      </w:tr>
      <w:tr>
        <w:trPr>
          <w:trHeight w:val="372"/>
        </w:trPr>
        <w:tc>
          <w:tcPr>
            <w:tcW w:w="5080" w:type="dxa"/>
            <w:vAlign w:val="bottom"/>
            <w:tcBorders>
              <w:bottom w:val="single" w:sz="8" w:color="4C4C4C"/>
            </w:tcBorders>
            <w:gridSpan w:val="2"/>
          </w:tcPr>
          <w:p>
            <w:pPr>
              <w:ind w:left="100"/>
              <w:spacing w:after="0" w:line="371" w:lineRule="exact"/>
              <w:rPr>
                <w:sz w:val="20"/>
                <w:szCs w:val="20"/>
                <w:color w:val="auto"/>
              </w:rPr>
            </w:pPr>
            <w:r>
              <w:rPr>
                <w:rFonts w:ascii="MS PGothic" w:cs="MS PGothic" w:eastAsia="MS PGothic" w:hAnsi="MS PGothic"/>
                <w:sz w:val="43"/>
                <w:szCs w:val="43"/>
                <w:color w:val="1E408E"/>
                <w:vertAlign w:val="subscript"/>
              </w:rPr>
              <w:t>✓</w:t>
            </w:r>
            <w:r>
              <w:rPr>
                <w:rFonts w:ascii="Arial" w:cs="Arial" w:eastAsia="Arial" w:hAnsi="Arial"/>
                <w:sz w:val="16"/>
                <w:szCs w:val="16"/>
                <w:color w:val="auto"/>
              </w:rPr>
              <w:t xml:space="preserve"> Regular executive sessions of independent directors</w:t>
            </w:r>
          </w:p>
        </w:tc>
        <w:tc>
          <w:tcPr>
            <w:tcW w:w="4500" w:type="dxa"/>
            <w:vAlign w:val="bottom"/>
            <w:tcBorders>
              <w:bottom w:val="single" w:sz="8" w:color="4C4C4C"/>
            </w:tcBorders>
            <w:gridSpan w:val="2"/>
          </w:tcPr>
          <w:p>
            <w:pPr>
              <w:ind w:left="360"/>
              <w:spacing w:after="0" w:line="371" w:lineRule="exact"/>
              <w:rPr>
                <w:sz w:val="20"/>
                <w:szCs w:val="20"/>
                <w:color w:val="auto"/>
              </w:rPr>
            </w:pPr>
            <w:r>
              <w:rPr>
                <w:rFonts w:ascii="MS PGothic" w:cs="MS PGothic" w:eastAsia="MS PGothic" w:hAnsi="MS PGothic"/>
                <w:sz w:val="43"/>
                <w:szCs w:val="43"/>
                <w:color w:val="1E408E"/>
                <w:vertAlign w:val="subscript"/>
              </w:rPr>
              <w:t>✓</w:t>
            </w:r>
            <w:r>
              <w:rPr>
                <w:rFonts w:ascii="Arial" w:cs="Arial" w:eastAsia="Arial" w:hAnsi="Arial"/>
                <w:sz w:val="16"/>
                <w:szCs w:val="16"/>
                <w:color w:val="auto"/>
              </w:rPr>
              <w:t xml:space="preserve"> Implemented proxy access bylaw</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80"/>
        <w:spacing w:after="0"/>
        <w:rPr>
          <w:sz w:val="20"/>
          <w:szCs w:val="20"/>
          <w:color w:val="auto"/>
        </w:rPr>
      </w:pPr>
      <w:r>
        <w:rPr>
          <w:rFonts w:ascii="Arial" w:cs="Arial" w:eastAsia="Arial" w:hAnsi="Arial"/>
          <w:sz w:val="32"/>
          <w:szCs w:val="32"/>
          <w:color w:val="052B82"/>
        </w:rPr>
        <w:t>FORWARD-LOOKING STATEMENTS</w:t>
      </w:r>
    </w:p>
    <w:p>
      <w:pPr>
        <w:spacing w:after="0" w:line="114" w:lineRule="exact"/>
        <w:rPr>
          <w:sz w:val="20"/>
          <w:szCs w:val="20"/>
          <w:color w:val="auto"/>
        </w:rPr>
      </w:pPr>
    </w:p>
    <w:p>
      <w:pPr>
        <w:ind w:left="680"/>
        <w:spacing w:after="0" w:line="235" w:lineRule="auto"/>
        <w:rPr>
          <w:sz w:val="20"/>
          <w:szCs w:val="20"/>
          <w:color w:val="auto"/>
        </w:rPr>
      </w:pPr>
      <w:r>
        <w:rPr>
          <w:rFonts w:ascii="Arial" w:cs="Arial" w:eastAsia="Arial" w:hAnsi="Arial"/>
          <w:sz w:val="18"/>
          <w:szCs w:val="18"/>
          <w:color w:val="auto"/>
        </w:rPr>
        <w:t>This Proxy Statement contains forward-looking statements regarding future events and our future results that are subject to the safe harbor created under the Private Securities Litigation Reform Act of 1995 and other safe harbors under the Securities Act of 1933 and the Securities Exchange Act of 1934. All statements other than statements of historical fact are statements that could be deemed forward-looking statements. These statements are based on current expectations, estimates, forecasts, and projections about the industries in which we operate and the beliefs and assumptions of our management. Words such as “expects,” “anticipates,” “targets,” “goals,” “projects,” “intends,” “plans,” “believes,” “seeks,” “estimates,” “continues,” “may,” “could” and “will,” and variations of such words and similar expressions are intended to identify such forward-looking statements. In addition, any statements that refer to projections regarding our future financial performance; expected product offerings, product development, marketing position and technical advances; our future market position and expected competitive changes in the marketplace for our products; our ability to successfully integrate acquired businesses and technologies; and other characterizations of future events or circumstances are forward-looking statements. Readers are cautioned that these forward-looking statements are only predictions and are subject to risks, uncertainties, and assumptions that are difficult to predict, including those identified in Part I, Item 1A. “Risk Factors” and elsewhere in our most recent Annual Report on Form 10-K. Therefore, actual results may differ materially and adversely from those expressed in any forward-looking statements. We undertake no obligation to revise or update any forward-looking statements, including to reflect events or circumstances occurring after the date of the filing of this report, except to the extent required by law.</w:t>
      </w:r>
    </w:p>
    <w:p>
      <w:pPr>
        <w:spacing w:after="0" w:line="200" w:lineRule="exact"/>
        <w:rPr>
          <w:sz w:val="20"/>
          <w:szCs w:val="20"/>
          <w:color w:val="auto"/>
        </w:rPr>
      </w:pPr>
    </w:p>
    <w:p>
      <w:pPr>
        <w:spacing w:after="0" w:line="337" w:lineRule="exact"/>
        <w:rPr>
          <w:sz w:val="20"/>
          <w:szCs w:val="20"/>
          <w:color w:val="auto"/>
        </w:rPr>
      </w:pPr>
    </w:p>
    <w:p>
      <w:pPr>
        <w:ind w:left="500" w:hanging="296"/>
        <w:spacing w:after="0"/>
        <w:tabs>
          <w:tab w:leader="none" w:pos="500" w:val="left"/>
        </w:tabs>
        <w:numPr>
          <w:ilvl w:val="0"/>
          <w:numId w:val="13"/>
        </w:numPr>
        <w:rPr>
          <w:rFonts w:ascii="Arial" w:cs="Arial" w:eastAsia="Arial" w:hAnsi="Arial"/>
          <w:sz w:val="18"/>
          <w:szCs w:val="18"/>
          <w:color w:val="999999"/>
        </w:rPr>
      </w:pPr>
      <w:r>
        <w:rPr>
          <w:rFonts w:ascii="Arial" w:cs="Arial" w:eastAsia="Arial" w:hAnsi="Arial"/>
          <w:sz w:val="14"/>
          <w:szCs w:val="14"/>
          <w:b w:val="1"/>
          <w:bCs w:val="1"/>
          <w:color w:val="052B82"/>
        </w:rPr>
        <w:t>Analog Devices, Inc.</w:t>
      </w:r>
    </w:p>
    <w:p>
      <w:pPr>
        <w:sectPr>
          <w:pgSz w:w="11900" w:h="16838" w:orient="portrait"/>
          <w:cols w:equalWidth="0" w:num="1">
            <w:col w:w="10700"/>
          </w:cols>
          <w:pgMar w:left="240" w:top="459" w:right="9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205740</wp:posOffset>
            </wp:positionV>
            <wp:extent cx="2649855"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0"/>
        <w:spacing w:after="0"/>
        <w:rPr>
          <w:sz w:val="20"/>
          <w:szCs w:val="20"/>
          <w:color w:val="auto"/>
        </w:rPr>
      </w:pPr>
      <w:r>
        <w:rPr>
          <w:rFonts w:ascii="Arial" w:cs="Arial" w:eastAsia="Arial" w:hAnsi="Arial"/>
          <w:sz w:val="32"/>
          <w:szCs w:val="32"/>
          <w:color w:val="052B82"/>
        </w:rPr>
        <w:t>INFORMATION ABOUT THE ANNUAL MEETING AND VOTING</w:t>
      </w:r>
    </w:p>
    <w:p>
      <w:pPr>
        <w:sectPr>
          <w:pgSz w:w="11900" w:h="16838" w:orient="portrait"/>
          <w:cols w:equalWidth="0" w:num="1">
            <w:col w:w="11220"/>
          </w:cols>
          <w:pgMar w:left="240" w:top="459" w:right="439" w:bottom="1440" w:gutter="0" w:footer="0" w:header="0"/>
        </w:sectPr>
      </w:pPr>
    </w:p>
    <w:p>
      <w:pPr>
        <w:spacing w:after="0" w:line="159" w:lineRule="exact"/>
        <w:rPr>
          <w:sz w:val="20"/>
          <w:szCs w:val="20"/>
          <w:color w:val="auto"/>
        </w:rPr>
      </w:pPr>
    </w:p>
    <w:p>
      <w:pPr>
        <w:ind w:left="200"/>
        <w:spacing w:after="0"/>
        <w:tabs>
          <w:tab w:leader="none" w:pos="540" w:val="left"/>
        </w:tabs>
        <w:rPr>
          <w:sz w:val="20"/>
          <w:szCs w:val="20"/>
          <w:color w:val="auto"/>
        </w:rPr>
      </w:pPr>
      <w:r>
        <w:rPr>
          <w:rFonts w:ascii="Arial" w:cs="Arial" w:eastAsia="Arial" w:hAnsi="Arial"/>
          <w:sz w:val="18"/>
          <w:szCs w:val="18"/>
          <w:b w:val="1"/>
          <w:bCs w:val="1"/>
          <w:color w:val="052B82"/>
        </w:rPr>
        <w:t>Q:</w:t>
      </w:r>
      <w:r>
        <w:rPr>
          <w:sz w:val="20"/>
          <w:szCs w:val="20"/>
          <w:color w:val="auto"/>
        </w:rPr>
        <w:tab/>
      </w:r>
      <w:r>
        <w:rPr>
          <w:rFonts w:ascii="Arial" w:cs="Arial" w:eastAsia="Arial" w:hAnsi="Arial"/>
          <w:sz w:val="17"/>
          <w:szCs w:val="17"/>
          <w:b w:val="1"/>
          <w:bCs w:val="1"/>
          <w:color w:val="052B82"/>
        </w:rPr>
        <w:t>What is the purpose of the Annual Meeting?</w:t>
      </w:r>
    </w:p>
    <w:p>
      <w:pPr>
        <w:spacing w:after="0" w:line="139" w:lineRule="exact"/>
        <w:rPr>
          <w:sz w:val="20"/>
          <w:szCs w:val="20"/>
          <w:color w:val="auto"/>
        </w:rPr>
      </w:pPr>
    </w:p>
    <w:p>
      <w:pPr>
        <w:ind w:left="560" w:right="220" w:hanging="356"/>
        <w:spacing w:after="0" w:line="246" w:lineRule="auto"/>
        <w:tabs>
          <w:tab w:leader="none" w:pos="5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 the Annual Meeting, shareholders will consider and vote on the following matters:</w:t>
      </w:r>
    </w:p>
    <w:p>
      <w:pPr>
        <w:spacing w:after="0" w:line="88" w:lineRule="exact"/>
        <w:rPr>
          <w:rFonts w:ascii="Arial" w:cs="Arial" w:eastAsia="Arial" w:hAnsi="Arial"/>
          <w:sz w:val="18"/>
          <w:szCs w:val="18"/>
          <w:color w:val="auto"/>
        </w:rPr>
      </w:pPr>
    </w:p>
    <w:p>
      <w:pPr>
        <w:ind w:left="560" w:right="120" w:firstLine="4"/>
        <w:spacing w:after="0"/>
        <w:tabs>
          <w:tab w:leader="none" w:pos="7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election of the ten nominees named in this proxy statement to our Board of Directors, each for a term expiring at the next annual meeting of shareholders.</w:t>
      </w:r>
    </w:p>
    <w:p>
      <w:pPr>
        <w:spacing w:after="0" w:line="94" w:lineRule="exact"/>
        <w:rPr>
          <w:rFonts w:ascii="Arial" w:cs="Arial" w:eastAsia="Arial" w:hAnsi="Arial"/>
          <w:sz w:val="18"/>
          <w:szCs w:val="18"/>
          <w:color w:val="auto"/>
        </w:rPr>
      </w:pPr>
    </w:p>
    <w:p>
      <w:pPr>
        <w:ind w:left="560" w:firstLine="4"/>
        <w:spacing w:after="0" w:line="238" w:lineRule="auto"/>
        <w:tabs>
          <w:tab w:leader="none" w:pos="7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approval, by non-binding “say on pay” vote, of the compensation of our named executive officers, as described in the Compensation Discussion and Analysis, executive compensation tables and accompanying narrative disclosures in this proxy statement.</w:t>
      </w:r>
    </w:p>
    <w:p>
      <w:pPr>
        <w:spacing w:after="0" w:line="94" w:lineRule="exact"/>
        <w:rPr>
          <w:rFonts w:ascii="Arial" w:cs="Arial" w:eastAsia="Arial" w:hAnsi="Arial"/>
          <w:sz w:val="18"/>
          <w:szCs w:val="18"/>
          <w:color w:val="auto"/>
        </w:rPr>
      </w:pPr>
    </w:p>
    <w:p>
      <w:pPr>
        <w:ind w:left="560" w:right="480" w:firstLine="4"/>
        <w:spacing w:after="0" w:line="246" w:lineRule="auto"/>
        <w:tabs>
          <w:tab w:leader="none" w:pos="7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approval of the Analog Devices, Inc. 2020 Equity Incentive Plan.</w:t>
      </w:r>
    </w:p>
    <w:p>
      <w:pPr>
        <w:spacing w:after="0" w:line="88" w:lineRule="exact"/>
        <w:rPr>
          <w:rFonts w:ascii="Arial" w:cs="Arial" w:eastAsia="Arial" w:hAnsi="Arial"/>
          <w:sz w:val="18"/>
          <w:szCs w:val="18"/>
          <w:color w:val="auto"/>
        </w:rPr>
      </w:pPr>
    </w:p>
    <w:p>
      <w:pPr>
        <w:ind w:left="560" w:right="260" w:firstLine="4"/>
        <w:spacing w:after="0"/>
        <w:tabs>
          <w:tab w:leader="none" w:pos="7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ratification of the selection of Ernst &amp; Young LLP as our independent registered public accounting firm for the fiscal year ending October 31, 2020, or fiscal 2020.</w:t>
      </w:r>
    </w:p>
    <w:p>
      <w:pPr>
        <w:spacing w:after="0" w:line="9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shareholders will also act on any other business that may properly come before the meeting or any postponement, adjournment, rescheduling or continuation of the meeting.</w:t>
      </w:r>
    </w:p>
    <w:p>
      <w:pPr>
        <w:spacing w:after="0" w:line="86" w:lineRule="exact"/>
        <w:rPr>
          <w:sz w:val="20"/>
          <w:szCs w:val="20"/>
          <w:color w:val="auto"/>
        </w:rPr>
      </w:pPr>
    </w:p>
    <w:p>
      <w:pPr>
        <w:ind w:left="200"/>
        <w:spacing w:after="0"/>
        <w:tabs>
          <w:tab w:leader="none" w:pos="540" w:val="left"/>
        </w:tabs>
        <w:rPr>
          <w:sz w:val="20"/>
          <w:szCs w:val="20"/>
          <w:color w:val="auto"/>
        </w:rPr>
      </w:pPr>
      <w:r>
        <w:rPr>
          <w:rFonts w:ascii="Arial" w:cs="Arial" w:eastAsia="Arial" w:hAnsi="Arial"/>
          <w:sz w:val="18"/>
          <w:szCs w:val="18"/>
          <w:b w:val="1"/>
          <w:bCs w:val="1"/>
          <w:color w:val="052B82"/>
        </w:rPr>
        <w:t>Q:</w:t>
      </w:r>
      <w:r>
        <w:rPr>
          <w:sz w:val="20"/>
          <w:szCs w:val="20"/>
          <w:color w:val="auto"/>
        </w:rPr>
        <w:tab/>
      </w:r>
      <w:r>
        <w:rPr>
          <w:rFonts w:ascii="Arial" w:cs="Arial" w:eastAsia="Arial" w:hAnsi="Arial"/>
          <w:sz w:val="17"/>
          <w:szCs w:val="17"/>
          <w:b w:val="1"/>
          <w:bCs w:val="1"/>
          <w:color w:val="052B82"/>
        </w:rPr>
        <w:t>Who can vote?</w:t>
      </w:r>
    </w:p>
    <w:p>
      <w:pPr>
        <w:spacing w:after="0" w:line="139" w:lineRule="exact"/>
        <w:rPr>
          <w:sz w:val="20"/>
          <w:szCs w:val="20"/>
          <w:color w:val="auto"/>
        </w:rPr>
      </w:pPr>
    </w:p>
    <w:p>
      <w:pPr>
        <w:ind w:left="560" w:right="120" w:hanging="356"/>
        <w:spacing w:after="0" w:line="234" w:lineRule="auto"/>
        <w:tabs>
          <w:tab w:leader="none" w:pos="5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be able to vote, you must have been an Analog Devices shareholder of record at the close of business on January 6, 2020. This date is the record date for the Annual Meeting.</w:t>
      </w:r>
    </w:p>
    <w:p>
      <w:pPr>
        <w:spacing w:after="0" w:line="2" w:lineRule="exact"/>
        <w:rPr>
          <w:rFonts w:ascii="Arial" w:cs="Arial" w:eastAsia="Arial" w:hAnsi="Arial"/>
          <w:sz w:val="18"/>
          <w:szCs w:val="18"/>
          <w:color w:val="auto"/>
        </w:rPr>
      </w:pPr>
    </w:p>
    <w:p>
      <w:pPr>
        <w:ind w:left="560" w:right="80"/>
        <w:spacing w:after="0"/>
        <w:rPr>
          <w:rFonts w:ascii="Arial" w:cs="Arial" w:eastAsia="Arial" w:hAnsi="Arial"/>
          <w:sz w:val="18"/>
          <w:szCs w:val="18"/>
          <w:color w:val="auto"/>
        </w:rPr>
      </w:pPr>
      <w:r>
        <w:rPr>
          <w:rFonts w:ascii="Arial" w:cs="Arial" w:eastAsia="Arial" w:hAnsi="Arial"/>
          <w:sz w:val="18"/>
          <w:szCs w:val="18"/>
          <w:color w:val="auto"/>
        </w:rPr>
        <w:t>The number of outstanding shares entitled to vote on each proposal at the Annual Meeting is 368,954,404 shares of our common stock.</w:t>
      </w:r>
    </w:p>
    <w:p>
      <w:pPr>
        <w:spacing w:after="0" w:line="86" w:lineRule="exact"/>
        <w:rPr>
          <w:sz w:val="20"/>
          <w:szCs w:val="20"/>
          <w:color w:val="auto"/>
        </w:rPr>
      </w:pPr>
    </w:p>
    <w:p>
      <w:pPr>
        <w:ind w:left="200"/>
        <w:spacing w:after="0"/>
        <w:tabs>
          <w:tab w:leader="none" w:pos="540" w:val="left"/>
        </w:tabs>
        <w:rPr>
          <w:sz w:val="20"/>
          <w:szCs w:val="20"/>
          <w:color w:val="auto"/>
        </w:rPr>
      </w:pPr>
      <w:r>
        <w:rPr>
          <w:rFonts w:ascii="Arial" w:cs="Arial" w:eastAsia="Arial" w:hAnsi="Arial"/>
          <w:sz w:val="18"/>
          <w:szCs w:val="18"/>
          <w:b w:val="1"/>
          <w:bCs w:val="1"/>
          <w:color w:val="052B82"/>
        </w:rPr>
        <w:t>Q:</w:t>
      </w:r>
      <w:r>
        <w:rPr>
          <w:sz w:val="20"/>
          <w:szCs w:val="20"/>
          <w:color w:val="auto"/>
        </w:rPr>
        <w:tab/>
      </w:r>
      <w:r>
        <w:rPr>
          <w:rFonts w:ascii="Arial" w:cs="Arial" w:eastAsia="Arial" w:hAnsi="Arial"/>
          <w:sz w:val="17"/>
          <w:szCs w:val="17"/>
          <w:b w:val="1"/>
          <w:bCs w:val="1"/>
          <w:color w:val="052B82"/>
        </w:rPr>
        <w:t>How many votes do I have?</w:t>
      </w:r>
    </w:p>
    <w:p>
      <w:pPr>
        <w:spacing w:after="0" w:line="139" w:lineRule="exact"/>
        <w:rPr>
          <w:sz w:val="20"/>
          <w:szCs w:val="20"/>
          <w:color w:val="auto"/>
        </w:rPr>
      </w:pPr>
    </w:p>
    <w:p>
      <w:pPr>
        <w:jc w:val="both"/>
        <w:ind w:left="560" w:right="80" w:hanging="356"/>
        <w:spacing w:after="0" w:line="246" w:lineRule="auto"/>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Each share of our common stock that you own on the record date entitles you to one vote on each matter that is voted on.</w:t>
      </w:r>
    </w:p>
    <w:p>
      <w:pPr>
        <w:spacing w:after="0" w:line="80" w:lineRule="exact"/>
        <w:rPr>
          <w:sz w:val="20"/>
          <w:szCs w:val="20"/>
          <w:color w:val="auto"/>
        </w:rPr>
      </w:pPr>
    </w:p>
    <w:p>
      <w:pPr>
        <w:ind w:left="200"/>
        <w:spacing w:after="0"/>
        <w:tabs>
          <w:tab w:leader="none" w:pos="540" w:val="left"/>
        </w:tabs>
        <w:rPr>
          <w:sz w:val="20"/>
          <w:szCs w:val="20"/>
          <w:color w:val="auto"/>
        </w:rPr>
      </w:pPr>
      <w:r>
        <w:rPr>
          <w:rFonts w:ascii="Arial" w:cs="Arial" w:eastAsia="Arial" w:hAnsi="Arial"/>
          <w:sz w:val="18"/>
          <w:szCs w:val="18"/>
          <w:b w:val="1"/>
          <w:bCs w:val="1"/>
          <w:color w:val="052B82"/>
        </w:rPr>
        <w:t>Q:</w:t>
        <w:tab/>
        <w:t>Is my vote important?</w:t>
      </w:r>
    </w:p>
    <w:p>
      <w:pPr>
        <w:spacing w:after="0" w:line="139" w:lineRule="exact"/>
        <w:rPr>
          <w:sz w:val="20"/>
          <w:szCs w:val="20"/>
          <w:color w:val="auto"/>
        </w:rPr>
      </w:pPr>
    </w:p>
    <w:p>
      <w:pPr>
        <w:ind w:left="560" w:hanging="356"/>
        <w:spacing w:after="0" w:line="238" w:lineRule="auto"/>
        <w:tabs>
          <w:tab w:leader="none" w:pos="5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Yes. Your vote is important no matter how many shares you own. Please take the time to vote. Take a moment to read the instructions below. Choose the way to vote that is easiest and most convenient for you and cast your vote as soon as possible.</w:t>
      </w:r>
    </w:p>
    <w:p>
      <w:pPr>
        <w:spacing w:after="0" w:line="86" w:lineRule="exact"/>
        <w:rPr>
          <w:sz w:val="20"/>
          <w:szCs w:val="20"/>
          <w:color w:val="auto"/>
        </w:rPr>
      </w:pPr>
    </w:p>
    <w:p>
      <w:pPr>
        <w:ind w:left="200"/>
        <w:spacing w:after="0"/>
        <w:tabs>
          <w:tab w:leader="none" w:pos="540" w:val="left"/>
        </w:tabs>
        <w:rPr>
          <w:sz w:val="20"/>
          <w:szCs w:val="20"/>
          <w:color w:val="auto"/>
        </w:rPr>
      </w:pPr>
      <w:r>
        <w:rPr>
          <w:rFonts w:ascii="Arial" w:cs="Arial" w:eastAsia="Arial" w:hAnsi="Arial"/>
          <w:sz w:val="18"/>
          <w:szCs w:val="18"/>
          <w:b w:val="1"/>
          <w:bCs w:val="1"/>
          <w:color w:val="052B82"/>
        </w:rPr>
        <w:t>Q:</w:t>
      </w:r>
      <w:r>
        <w:rPr>
          <w:sz w:val="20"/>
          <w:szCs w:val="20"/>
          <w:color w:val="auto"/>
        </w:rPr>
        <w:tab/>
      </w:r>
      <w:r>
        <w:rPr>
          <w:rFonts w:ascii="Arial" w:cs="Arial" w:eastAsia="Arial" w:hAnsi="Arial"/>
          <w:sz w:val="17"/>
          <w:szCs w:val="17"/>
          <w:b w:val="1"/>
          <w:bCs w:val="1"/>
          <w:color w:val="052B82"/>
        </w:rPr>
        <w:t>How do I vote?</w:t>
      </w:r>
    </w:p>
    <w:p>
      <w:pPr>
        <w:spacing w:after="0" w:line="139" w:lineRule="exact"/>
        <w:rPr>
          <w:sz w:val="20"/>
          <w:szCs w:val="20"/>
          <w:color w:val="auto"/>
        </w:rPr>
      </w:pPr>
    </w:p>
    <w:p>
      <w:pPr>
        <w:ind w:left="560" w:right="300" w:hanging="356"/>
        <w:spacing w:after="0" w:line="246" w:lineRule="auto"/>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you are the “record holder” of your shares, meaning that you own your shares in your own</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left="360" w:right="280"/>
        <w:spacing w:after="0" w:line="246" w:lineRule="auto"/>
        <w:rPr>
          <w:sz w:val="20"/>
          <w:szCs w:val="20"/>
          <w:color w:val="auto"/>
        </w:rPr>
      </w:pPr>
      <w:r>
        <w:rPr>
          <w:rFonts w:ascii="Arial" w:cs="Arial" w:eastAsia="Arial" w:hAnsi="Arial"/>
          <w:sz w:val="18"/>
          <w:szCs w:val="18"/>
          <w:color w:val="auto"/>
        </w:rPr>
        <w:t>name and not through a bank, broker or other nominee, you may vote in one of four ways.</w:t>
      </w:r>
    </w:p>
    <w:p>
      <w:pPr>
        <w:spacing w:after="0" w:line="71" w:lineRule="exact"/>
        <w:rPr>
          <w:sz w:val="20"/>
          <w:szCs w:val="20"/>
          <w:color w:val="auto"/>
        </w:rPr>
      </w:pPr>
    </w:p>
    <w:p>
      <w:pPr>
        <w:ind w:left="360" w:firstLine="4"/>
        <w:spacing w:after="0" w:line="242" w:lineRule="auto"/>
        <w:tabs>
          <w:tab w:leader="none" w:pos="63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You may vote over the Internet. </w:t>
      </w:r>
      <w:r>
        <w:rPr>
          <w:rFonts w:ascii="Arial" w:cs="Arial" w:eastAsia="Arial" w:hAnsi="Arial"/>
          <w:sz w:val="18"/>
          <w:szCs w:val="18"/>
          <w:color w:val="auto"/>
        </w:rPr>
        <w:t>If you have Internet access,</w:t>
      </w:r>
      <w:r>
        <w:rPr>
          <w:rFonts w:ascii="Arial" w:cs="Arial" w:eastAsia="Arial" w:hAnsi="Arial"/>
          <w:sz w:val="18"/>
          <w:szCs w:val="18"/>
          <w:i w:val="1"/>
          <w:iCs w:val="1"/>
          <w:color w:val="auto"/>
        </w:rPr>
        <w:t xml:space="preserve"> </w:t>
      </w:r>
      <w:r>
        <w:rPr>
          <w:rFonts w:ascii="Arial" w:cs="Arial" w:eastAsia="Arial" w:hAnsi="Arial"/>
          <w:sz w:val="18"/>
          <w:szCs w:val="18"/>
          <w:color w:val="auto"/>
        </w:rPr>
        <w:t>you may vote your shares from any location in the world by following the Internet voting instructions on the Notice or the proxy card. Proxies submitted via the Internet must be received by 11:59 p.m. Eastern Time on March 10, 2020.</w:t>
      </w:r>
    </w:p>
    <w:p>
      <w:pPr>
        <w:spacing w:after="0" w:line="77" w:lineRule="exact"/>
        <w:rPr>
          <w:rFonts w:ascii="Arial" w:cs="Arial" w:eastAsia="Arial" w:hAnsi="Arial"/>
          <w:sz w:val="18"/>
          <w:szCs w:val="18"/>
          <w:i w:val="1"/>
          <w:iCs w:val="1"/>
          <w:color w:val="auto"/>
        </w:rPr>
      </w:pPr>
    </w:p>
    <w:p>
      <w:pPr>
        <w:ind w:left="360" w:right="160" w:firstLine="4"/>
        <w:spacing w:after="0" w:line="241" w:lineRule="auto"/>
        <w:tabs>
          <w:tab w:leader="none" w:pos="63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You may vote by telephone. </w:t>
      </w:r>
      <w:r>
        <w:rPr>
          <w:rFonts w:ascii="Arial" w:cs="Arial" w:eastAsia="Arial" w:hAnsi="Arial"/>
          <w:sz w:val="18"/>
          <w:szCs w:val="18"/>
          <w:color w:val="auto"/>
        </w:rPr>
        <w:t>You may vote your shares by</w:t>
      </w:r>
      <w:r>
        <w:rPr>
          <w:rFonts w:ascii="Arial" w:cs="Arial" w:eastAsia="Arial" w:hAnsi="Arial"/>
          <w:sz w:val="18"/>
          <w:szCs w:val="18"/>
          <w:i w:val="1"/>
          <w:iCs w:val="1"/>
          <w:color w:val="auto"/>
        </w:rPr>
        <w:t xml:space="preserve"> </w:t>
      </w:r>
      <w:r>
        <w:rPr>
          <w:rFonts w:ascii="Arial" w:cs="Arial" w:eastAsia="Arial" w:hAnsi="Arial"/>
          <w:sz w:val="18"/>
          <w:szCs w:val="18"/>
          <w:color w:val="auto"/>
        </w:rPr>
        <w:t>calling 1-800-690-6903 toll-free within the United States, U.S. territories and Canada and following the instructions provided by the recorded message. Proxies submitted via telephone must be received by 11:59 p.m. Eastern Time, on March 10, 2020.</w:t>
      </w:r>
    </w:p>
    <w:p>
      <w:pPr>
        <w:spacing w:after="0" w:line="76" w:lineRule="exact"/>
        <w:rPr>
          <w:rFonts w:ascii="Arial" w:cs="Arial" w:eastAsia="Arial" w:hAnsi="Arial"/>
          <w:sz w:val="18"/>
          <w:szCs w:val="18"/>
          <w:i w:val="1"/>
          <w:iCs w:val="1"/>
          <w:color w:val="auto"/>
        </w:rPr>
      </w:pPr>
    </w:p>
    <w:p>
      <w:pPr>
        <w:ind w:left="360" w:right="20" w:firstLine="4"/>
        <w:spacing w:after="0" w:line="238" w:lineRule="auto"/>
        <w:tabs>
          <w:tab w:leader="none" w:pos="63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You may vote by mail. </w:t>
      </w:r>
      <w:r>
        <w:rPr>
          <w:rFonts w:ascii="Arial" w:cs="Arial" w:eastAsia="Arial" w:hAnsi="Arial"/>
          <w:sz w:val="18"/>
          <w:szCs w:val="18"/>
          <w:color w:val="auto"/>
        </w:rPr>
        <w:t>If you received a printed proxy card,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you may vote by completing and signing the proxy card and promptly mailing it in the enclosed postage-prepaid envelope. You do not need to put a stamp on the enclosed envelope if you mail it in the United States. The shares you own will be voted according to your instructions on the proxy card that you mail. </w:t>
      </w:r>
      <w:r>
        <w:rPr>
          <w:rFonts w:ascii="Arial" w:cs="Arial" w:eastAsia="Arial" w:hAnsi="Arial"/>
          <w:sz w:val="18"/>
          <w:szCs w:val="18"/>
          <w:b w:val="1"/>
          <w:bCs w:val="1"/>
          <w:color w:val="auto"/>
        </w:rPr>
        <w:t>If you return the proxy card, but do not give any</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instructions on a particular matter described in this proxy statement, the shares you own will be voted in accordance with the recommendations of our Board of Directors. </w:t>
      </w:r>
      <w:r>
        <w:rPr>
          <w:rFonts w:ascii="Arial" w:cs="Arial" w:eastAsia="Arial" w:hAnsi="Arial"/>
          <w:sz w:val="18"/>
          <w:szCs w:val="18"/>
          <w:color w:val="auto"/>
        </w:rPr>
        <w:t>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of Directors recommends that you vote FOR each director nominee and FOR Proposals 2, 3 and 4.</w:t>
      </w:r>
    </w:p>
    <w:p>
      <w:pPr>
        <w:spacing w:after="0" w:line="75" w:lineRule="exact"/>
        <w:rPr>
          <w:rFonts w:ascii="Arial" w:cs="Arial" w:eastAsia="Arial" w:hAnsi="Arial"/>
          <w:sz w:val="18"/>
          <w:szCs w:val="18"/>
          <w:i w:val="1"/>
          <w:iCs w:val="1"/>
          <w:color w:val="auto"/>
        </w:rPr>
      </w:pPr>
    </w:p>
    <w:p>
      <w:pPr>
        <w:ind w:left="360" w:right="40" w:firstLine="4"/>
        <w:spacing w:after="0" w:line="245" w:lineRule="auto"/>
        <w:tabs>
          <w:tab w:leader="none" w:pos="63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You may vote in person. </w:t>
      </w:r>
      <w:r>
        <w:rPr>
          <w:rFonts w:ascii="Arial" w:cs="Arial" w:eastAsia="Arial" w:hAnsi="Arial"/>
          <w:sz w:val="18"/>
          <w:szCs w:val="18"/>
          <w:color w:val="auto"/>
        </w:rPr>
        <w:t>If you attend the Annual Meeting,</w:t>
      </w:r>
      <w:r>
        <w:rPr>
          <w:rFonts w:ascii="Arial" w:cs="Arial" w:eastAsia="Arial" w:hAnsi="Arial"/>
          <w:sz w:val="18"/>
          <w:szCs w:val="18"/>
          <w:i w:val="1"/>
          <w:iCs w:val="1"/>
          <w:color w:val="auto"/>
        </w:rPr>
        <w:t xml:space="preserve"> </w:t>
      </w:r>
      <w:r>
        <w:rPr>
          <w:rFonts w:ascii="Arial" w:cs="Arial" w:eastAsia="Arial" w:hAnsi="Arial"/>
          <w:sz w:val="18"/>
          <w:szCs w:val="18"/>
          <w:color w:val="auto"/>
        </w:rPr>
        <w:t>you may vote by delivering your completed proxy card in person or by completing a ballot. Ballots will be available at the Annual Meeting.</w:t>
      </w:r>
    </w:p>
    <w:p>
      <w:pPr>
        <w:spacing w:after="0" w:line="69" w:lineRule="exact"/>
        <w:rPr>
          <w:sz w:val="20"/>
          <w:szCs w:val="20"/>
          <w:color w:val="auto"/>
        </w:rPr>
      </w:pPr>
    </w:p>
    <w:p>
      <w:pPr>
        <w:ind w:left="360"/>
        <w:spacing w:after="0" w:line="247" w:lineRule="auto"/>
        <w:rPr>
          <w:sz w:val="20"/>
          <w:szCs w:val="20"/>
          <w:color w:val="auto"/>
        </w:rPr>
      </w:pPr>
      <w:r>
        <w:rPr>
          <w:rFonts w:ascii="Arial" w:cs="Arial" w:eastAsia="Arial" w:hAnsi="Arial"/>
          <w:sz w:val="18"/>
          <w:szCs w:val="18"/>
          <w:b w:val="1"/>
          <w:bCs w:val="1"/>
          <w:color w:val="auto"/>
        </w:rPr>
        <w:t>Please note that you cannot vote by marking up the Notice of Internet Availability of the Proxy Materials and mailing the Notice back. Any votes returned in that manner will not be counted.</w:t>
      </w:r>
    </w:p>
    <w:p>
      <w:pPr>
        <w:spacing w:after="0" w:line="80"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052B82"/>
        </w:rPr>
        <w:t>Q:</w:t>
        <w:tab/>
        <w:t>Can I vote if my shares are held in “street name”?</w:t>
      </w:r>
    </w:p>
    <w:p>
      <w:pPr>
        <w:spacing w:after="0" w:line="139" w:lineRule="exact"/>
        <w:rPr>
          <w:sz w:val="20"/>
          <w:szCs w:val="20"/>
          <w:color w:val="auto"/>
        </w:rPr>
      </w:pPr>
    </w:p>
    <w:p>
      <w:pPr>
        <w:ind w:left="360" w:right="220" w:hanging="351"/>
        <w:spacing w:after="0" w:line="246" w:lineRule="auto"/>
        <w:tabs>
          <w:tab w:leader="none" w:pos="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the Analog Devices shares that you own are held in “street name” by a bank, broker or</w:t>
      </w:r>
    </w:p>
    <w:p>
      <w:pPr>
        <w:spacing w:after="0" w:line="1455" w:lineRule="exact"/>
        <w:rPr>
          <w:sz w:val="20"/>
          <w:szCs w:val="20"/>
          <w:color w:val="auto"/>
        </w:rPr>
      </w:pPr>
    </w:p>
    <w:p>
      <w:pPr>
        <w:sectPr>
          <w:pgSz w:w="11900" w:h="16838" w:orient="portrait"/>
          <w:cols w:equalWidth="0" w:num="2">
            <w:col w:w="5480" w:space="340"/>
            <w:col w:w="5400"/>
          </w:cols>
          <w:pgMar w:left="240" w:top="459" w:right="439" w:bottom="1440" w:gutter="0" w:footer="0" w:header="0"/>
          <w:type w:val="continuous"/>
        </w:sectPr>
      </w:pPr>
    </w:p>
    <w:p>
      <w:pPr>
        <w:spacing w:after="0" w:line="78" w:lineRule="exact"/>
        <w:rPr>
          <w:sz w:val="20"/>
          <w:szCs w:val="20"/>
          <w:color w:val="auto"/>
        </w:rPr>
      </w:pPr>
    </w:p>
    <w:p>
      <w:pPr>
        <w:ind w:left="9420"/>
        <w:spacing w:after="0"/>
        <w:tabs>
          <w:tab w:leader="none" w:pos="11100" w:val="left"/>
        </w:tabs>
        <w:rPr>
          <w:sz w:val="20"/>
          <w:szCs w:val="20"/>
          <w:color w:val="auto"/>
        </w:rPr>
      </w:pPr>
      <w:r>
        <w:rPr>
          <w:rFonts w:ascii="Arial" w:cs="Arial" w:eastAsia="Arial" w:hAnsi="Arial"/>
          <w:sz w:val="14"/>
          <w:szCs w:val="14"/>
          <w:b w:val="1"/>
          <w:bCs w:val="1"/>
          <w:color w:val="052B82"/>
        </w:rPr>
        <w:t>2020 Proxy Statement</w:t>
      </w:r>
      <w:r>
        <w:rPr>
          <w:sz w:val="20"/>
          <w:szCs w:val="20"/>
          <w:color w:val="auto"/>
        </w:rPr>
        <w:tab/>
      </w:r>
      <w:r>
        <w:rPr>
          <w:rFonts w:ascii="Arial" w:cs="Arial" w:eastAsia="Arial" w:hAnsi="Arial"/>
          <w:sz w:val="17"/>
          <w:szCs w:val="17"/>
          <w:color w:val="999999"/>
        </w:rPr>
        <w:t>9</w:t>
      </w:r>
    </w:p>
    <w:p>
      <w:pPr>
        <w:sectPr>
          <w:pgSz w:w="11900" w:h="16838" w:orient="portrait"/>
          <w:cols w:equalWidth="0" w:num="1">
            <w:col w:w="11220"/>
          </w:cols>
          <w:pgMar w:left="240" w:top="459" w:right="439" w:bottom="1440" w:gutter="0" w:footer="0" w:header="0"/>
          <w:type w:val="continuous"/>
        </w:sectPr>
      </w:pPr>
    </w:p>
    <w:bookmarkStart w:id="14" w:name="page15"/>
    <w:bookmarkEnd w:id="1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220345</wp:posOffset>
            </wp:positionV>
            <wp:extent cx="2649855"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60" w:right="20"/>
        <w:spacing w:after="0" w:line="236" w:lineRule="auto"/>
        <w:rPr>
          <w:sz w:val="20"/>
          <w:szCs w:val="20"/>
          <w:color w:val="auto"/>
        </w:rPr>
      </w:pPr>
      <w:r>
        <w:rPr>
          <w:rFonts w:ascii="Arial" w:cs="Arial" w:eastAsia="Arial" w:hAnsi="Arial"/>
          <w:sz w:val="18"/>
          <w:szCs w:val="18"/>
          <w:color w:val="auto"/>
        </w:rPr>
        <w:t>other nominee, your bank, broker or other nominee is considered, with respect to those shares, the record holder of your shares, and is required to vote your shares according to your instructions. In order to vote your shares, you will need to follow the instructions that your bank, broker or other nominee provides you. Many banks, brokers or other nominees also offer the option of voting over the Internet or by telephone, instructions for which would be provided by your bank, broker or other nominee on your voting instruction form.</w:t>
      </w:r>
    </w:p>
    <w:p>
      <w:pPr>
        <w:spacing w:after="0" w:line="98" w:lineRule="exact"/>
        <w:rPr>
          <w:sz w:val="20"/>
          <w:szCs w:val="20"/>
          <w:color w:val="auto"/>
        </w:rPr>
      </w:pPr>
    </w:p>
    <w:p>
      <w:pPr>
        <w:ind w:left="560"/>
        <w:spacing w:after="0" w:line="235" w:lineRule="auto"/>
        <w:rPr>
          <w:sz w:val="20"/>
          <w:szCs w:val="20"/>
          <w:color w:val="auto"/>
        </w:rPr>
      </w:pPr>
      <w:r>
        <w:rPr>
          <w:rFonts w:ascii="Arial" w:cs="Arial" w:eastAsia="Arial" w:hAnsi="Arial"/>
          <w:sz w:val="18"/>
          <w:szCs w:val="18"/>
          <w:color w:val="auto"/>
        </w:rPr>
        <w:t xml:space="preserve">If you hold shares through an account with a broker, the voting of shares by such broker when you do not provide voting instructions is governed by applicable stock exchange rules. These rules allow brokers to vote shares at their discretion on “routine” matters for which their customers do not provide voting instructions. On matters that are considered “non-routine,” brokers may not vote shares without your instruction. The ratification of the selection of Ernst &amp; Young LLP as our independent registered public accounting firm for fiscal 2020 (Proposal 4) is considered a “routine” matter and your broker will be able to vote on that proposal even if it does not receive instructions from you, so long as it holds your shares in its name. </w:t>
      </w:r>
      <w:r>
        <w:rPr>
          <w:rFonts w:ascii="Arial" w:cs="Arial" w:eastAsia="Arial" w:hAnsi="Arial"/>
          <w:sz w:val="18"/>
          <w:szCs w:val="18"/>
          <w:b w:val="1"/>
          <w:bCs w:val="1"/>
          <w:color w:val="auto"/>
        </w:rPr>
        <w:t>The election of</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directors (Proposal 1), the “say on pay” advisory vote (Proposal 2) and the approval of the Analog Devices, Inc. 2020 Equity Incentive Plan (Proposal 3) are “non-routine” matters. If you do not instruct your bank, broker or other nominee how to vote with respect to these proposals, your bank, broker or other nominee may not vote with respect to these proposals and those votes will be counted as “broker non-votes.” </w:t>
      </w:r>
      <w:r>
        <w:rPr>
          <w:rFonts w:ascii="Arial" w:cs="Arial" w:eastAsia="Arial" w:hAnsi="Arial"/>
          <w:sz w:val="18"/>
          <w:szCs w:val="18"/>
          <w:color w:val="auto"/>
        </w:rPr>
        <w:t>“Broker non-votes” are</w:t>
      </w:r>
      <w:r>
        <w:rPr>
          <w:rFonts w:ascii="Arial" w:cs="Arial" w:eastAsia="Arial" w:hAnsi="Arial"/>
          <w:sz w:val="18"/>
          <w:szCs w:val="18"/>
          <w:b w:val="1"/>
          <w:bCs w:val="1"/>
          <w:color w:val="auto"/>
        </w:rPr>
        <w:t xml:space="preserve"> </w:t>
      </w:r>
      <w:r>
        <w:rPr>
          <w:rFonts w:ascii="Arial" w:cs="Arial" w:eastAsia="Arial" w:hAnsi="Arial"/>
          <w:sz w:val="18"/>
          <w:szCs w:val="18"/>
          <w:color w:val="auto"/>
        </w:rPr>
        <w:t>shares that are held in “street name” by a bank, broker or other nominee that indicates on its proxy that it does not have or did not exercise discretionary authority to vote on a particular proposal.</w:t>
      </w:r>
    </w:p>
    <w:p>
      <w:pPr>
        <w:spacing w:after="0" w:line="106" w:lineRule="exact"/>
        <w:rPr>
          <w:sz w:val="20"/>
          <w:szCs w:val="20"/>
          <w:color w:val="auto"/>
        </w:rPr>
      </w:pPr>
    </w:p>
    <w:p>
      <w:pPr>
        <w:ind w:left="560"/>
        <w:spacing w:after="0" w:line="236" w:lineRule="auto"/>
        <w:rPr>
          <w:sz w:val="20"/>
          <w:szCs w:val="20"/>
          <w:color w:val="auto"/>
        </w:rPr>
      </w:pPr>
      <w:r>
        <w:rPr>
          <w:rFonts w:ascii="Arial" w:cs="Arial" w:eastAsia="Arial" w:hAnsi="Arial"/>
          <w:sz w:val="18"/>
          <w:szCs w:val="18"/>
          <w:color w:val="auto"/>
        </w:rPr>
        <w:t>If your shares are held in “street name,” you must bring an account statement or letter from your broker or other nominee, showing that you are the beneficial owner of the shares as of the record date (January 6, 2020) in order to be admitted to the Annual Meeting on March 11, 2020. To be able to vote your shares held in “street name” at the Annual Meeting, you will need to obtain a legal proxy from your bank, broker or other nominee,</w:t>
      </w:r>
    </w:p>
    <w:p>
      <w:pPr>
        <w:spacing w:after="0" w:line="287" w:lineRule="exact"/>
        <w:rPr>
          <w:sz w:val="20"/>
          <w:szCs w:val="20"/>
          <w:color w:val="auto"/>
        </w:rPr>
      </w:pPr>
    </w:p>
    <w:p>
      <w:pPr>
        <w:ind w:left="600" w:hanging="396"/>
        <w:spacing w:after="0"/>
        <w:tabs>
          <w:tab w:leader="none" w:pos="600" w:val="left"/>
        </w:tabs>
        <w:numPr>
          <w:ilvl w:val="0"/>
          <w:numId w:val="21"/>
        </w:numPr>
        <w:rPr>
          <w:rFonts w:ascii="Arial" w:cs="Arial" w:eastAsia="Arial" w:hAnsi="Arial"/>
          <w:sz w:val="18"/>
          <w:szCs w:val="18"/>
          <w:color w:val="999999"/>
        </w:rPr>
      </w:pPr>
      <w:r>
        <w:rPr>
          <w:rFonts w:ascii="Arial" w:cs="Arial" w:eastAsia="Arial" w:hAnsi="Arial"/>
          <w:sz w:val="14"/>
          <w:szCs w:val="14"/>
          <w:b w:val="1"/>
          <w:bCs w:val="1"/>
          <w:color w:val="052B82"/>
        </w:rPr>
        <w:t>Analog Devices,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56"/>
        <w:spacing w:after="0"/>
        <w:rPr>
          <w:sz w:val="20"/>
          <w:szCs w:val="20"/>
          <w:color w:val="auto"/>
        </w:rPr>
      </w:pPr>
      <w:r>
        <w:rPr>
          <w:rFonts w:ascii="Arial" w:cs="Arial" w:eastAsia="Arial" w:hAnsi="Arial"/>
          <w:sz w:val="18"/>
          <w:szCs w:val="18"/>
          <w:color w:val="auto"/>
        </w:rPr>
        <w:t>issued in your name giving you the right to vote your shares.</w:t>
      </w:r>
    </w:p>
    <w:p>
      <w:pPr>
        <w:spacing w:after="0" w:line="95" w:lineRule="exact"/>
        <w:rPr>
          <w:sz w:val="20"/>
          <w:szCs w:val="20"/>
          <w:color w:val="auto"/>
        </w:rPr>
      </w:pPr>
    </w:p>
    <w:p>
      <w:pPr>
        <w:ind w:left="356" w:right="40" w:hanging="356"/>
        <w:spacing w:after="0" w:line="253" w:lineRule="auto"/>
        <w:tabs>
          <w:tab w:leader="none" w:pos="356" w:val="left"/>
        </w:tabs>
        <w:numPr>
          <w:ilvl w:val="0"/>
          <w:numId w:val="22"/>
        </w:numPr>
        <w:rPr>
          <w:rFonts w:ascii="Arial" w:cs="Arial" w:eastAsia="Arial" w:hAnsi="Arial"/>
          <w:sz w:val="18"/>
          <w:szCs w:val="18"/>
          <w:b w:val="1"/>
          <w:bCs w:val="1"/>
          <w:color w:val="052B82"/>
        </w:rPr>
      </w:pPr>
      <w:r>
        <w:rPr>
          <w:rFonts w:ascii="Arial" w:cs="Arial" w:eastAsia="Arial" w:hAnsi="Arial"/>
          <w:sz w:val="18"/>
          <w:szCs w:val="18"/>
          <w:b w:val="1"/>
          <w:bCs w:val="1"/>
          <w:color w:val="052B82"/>
        </w:rPr>
        <w:t>Can I change my vote after I have mailed my proxy card or after I have voted my shares over the Internet or by telephone?</w:t>
      </w:r>
    </w:p>
    <w:p>
      <w:pPr>
        <w:spacing w:after="0" w:line="97" w:lineRule="exact"/>
        <w:rPr>
          <w:sz w:val="20"/>
          <w:szCs w:val="20"/>
          <w:color w:val="auto"/>
        </w:rPr>
      </w:pPr>
    </w:p>
    <w:p>
      <w:pPr>
        <w:ind w:left="356" w:right="160" w:hanging="356"/>
        <w:spacing w:after="0" w:line="239" w:lineRule="auto"/>
        <w:tabs>
          <w:tab w:leader="none" w:pos="356" w:val="left"/>
        </w:tabs>
        <w:numPr>
          <w:ilvl w:val="0"/>
          <w:numId w:val="23"/>
        </w:numPr>
        <w:rPr>
          <w:rFonts w:ascii="Arial" w:cs="Arial" w:eastAsia="Arial" w:hAnsi="Arial"/>
          <w:sz w:val="18"/>
          <w:szCs w:val="18"/>
          <w:color w:val="auto"/>
        </w:rPr>
      </w:pPr>
      <w:r>
        <w:rPr>
          <w:rFonts w:ascii="Arial" w:cs="Arial" w:eastAsia="Arial" w:hAnsi="Arial"/>
          <w:sz w:val="18"/>
          <w:szCs w:val="18"/>
          <w:color w:val="auto"/>
        </w:rPr>
        <w:t>Yes. If you are the “record holder” of your shares, you can revoke your proxy or change your vote at any time before the polls close at the Annual Meeting by doing any one of the following things:</w:t>
      </w:r>
    </w:p>
    <w:p>
      <w:pPr>
        <w:spacing w:after="0" w:line="107" w:lineRule="exact"/>
        <w:rPr>
          <w:rFonts w:ascii="Arial" w:cs="Arial" w:eastAsia="Arial" w:hAnsi="Arial"/>
          <w:sz w:val="18"/>
          <w:szCs w:val="18"/>
          <w:color w:val="auto"/>
        </w:rPr>
      </w:pPr>
    </w:p>
    <w:p>
      <w:pPr>
        <w:ind w:left="776" w:right="420" w:hanging="317"/>
        <w:spacing w:after="0"/>
        <w:tabs>
          <w:tab w:leader="none" w:pos="776" w:val="left"/>
        </w:tabs>
        <w:numPr>
          <w:ilvl w:val="1"/>
          <w:numId w:val="23"/>
        </w:numPr>
        <w:rPr>
          <w:rFonts w:ascii="Arial" w:cs="Arial" w:eastAsia="Arial" w:hAnsi="Arial"/>
          <w:sz w:val="18"/>
          <w:szCs w:val="18"/>
          <w:color w:val="auto"/>
        </w:rPr>
      </w:pPr>
      <w:r>
        <w:rPr>
          <w:rFonts w:ascii="Arial" w:cs="Arial" w:eastAsia="Arial" w:hAnsi="Arial"/>
          <w:sz w:val="18"/>
          <w:szCs w:val="18"/>
          <w:color w:val="auto"/>
        </w:rPr>
        <w:t>voting over the Internet or by telephone as instructed above (only your latest Internet or telephone vote is counted);</w:t>
      </w:r>
    </w:p>
    <w:p>
      <w:pPr>
        <w:spacing w:after="0" w:line="108" w:lineRule="exact"/>
        <w:rPr>
          <w:rFonts w:ascii="Arial" w:cs="Arial" w:eastAsia="Arial" w:hAnsi="Arial"/>
          <w:sz w:val="18"/>
          <w:szCs w:val="18"/>
          <w:color w:val="auto"/>
        </w:rPr>
      </w:pPr>
    </w:p>
    <w:p>
      <w:pPr>
        <w:ind w:left="776" w:hanging="317"/>
        <w:spacing w:after="0"/>
        <w:tabs>
          <w:tab w:leader="none" w:pos="776" w:val="left"/>
        </w:tabs>
        <w:numPr>
          <w:ilvl w:val="1"/>
          <w:numId w:val="23"/>
        </w:numPr>
        <w:rPr>
          <w:rFonts w:ascii="Arial" w:cs="Arial" w:eastAsia="Arial" w:hAnsi="Arial"/>
          <w:sz w:val="18"/>
          <w:szCs w:val="18"/>
          <w:color w:val="auto"/>
        </w:rPr>
      </w:pPr>
      <w:r>
        <w:rPr>
          <w:rFonts w:ascii="Arial" w:cs="Arial" w:eastAsia="Arial" w:hAnsi="Arial"/>
          <w:sz w:val="18"/>
          <w:szCs w:val="18"/>
          <w:color w:val="auto"/>
        </w:rPr>
        <w:t>signing and returning another proxy card with a later date;</w:t>
      </w:r>
    </w:p>
    <w:p>
      <w:pPr>
        <w:spacing w:after="0" w:line="117" w:lineRule="exact"/>
        <w:rPr>
          <w:rFonts w:ascii="Arial" w:cs="Arial" w:eastAsia="Arial" w:hAnsi="Arial"/>
          <w:sz w:val="18"/>
          <w:szCs w:val="18"/>
          <w:color w:val="auto"/>
        </w:rPr>
      </w:pPr>
    </w:p>
    <w:p>
      <w:pPr>
        <w:ind w:left="776" w:right="500" w:hanging="317"/>
        <w:spacing w:after="0" w:line="246" w:lineRule="auto"/>
        <w:tabs>
          <w:tab w:leader="none" w:pos="776" w:val="left"/>
        </w:tabs>
        <w:numPr>
          <w:ilvl w:val="1"/>
          <w:numId w:val="23"/>
        </w:numPr>
        <w:rPr>
          <w:rFonts w:ascii="Arial" w:cs="Arial" w:eastAsia="Arial" w:hAnsi="Arial"/>
          <w:sz w:val="18"/>
          <w:szCs w:val="18"/>
          <w:color w:val="auto"/>
        </w:rPr>
      </w:pPr>
      <w:r>
        <w:rPr>
          <w:rFonts w:ascii="Arial" w:cs="Arial" w:eastAsia="Arial" w:hAnsi="Arial"/>
          <w:sz w:val="18"/>
          <w:szCs w:val="18"/>
          <w:color w:val="auto"/>
        </w:rPr>
        <w:t>giving our Secretary a written notice before or at the meeting that you want to revoke your proxy; or</w:t>
      </w:r>
    </w:p>
    <w:p>
      <w:pPr>
        <w:spacing w:after="0" w:line="102" w:lineRule="exact"/>
        <w:rPr>
          <w:rFonts w:ascii="Arial" w:cs="Arial" w:eastAsia="Arial" w:hAnsi="Arial"/>
          <w:sz w:val="18"/>
          <w:szCs w:val="18"/>
          <w:color w:val="auto"/>
        </w:rPr>
      </w:pPr>
    </w:p>
    <w:p>
      <w:pPr>
        <w:ind w:left="776" w:right="100" w:hanging="317"/>
        <w:spacing w:after="0" w:line="275" w:lineRule="auto"/>
        <w:tabs>
          <w:tab w:leader="none" w:pos="776" w:val="left"/>
        </w:tabs>
        <w:numPr>
          <w:ilvl w:val="1"/>
          <w:numId w:val="23"/>
        </w:numPr>
        <w:rPr>
          <w:rFonts w:ascii="Arial" w:cs="Arial" w:eastAsia="Arial" w:hAnsi="Arial"/>
          <w:sz w:val="17"/>
          <w:szCs w:val="17"/>
          <w:color w:val="auto"/>
        </w:rPr>
      </w:pPr>
      <w:r>
        <w:rPr>
          <w:rFonts w:ascii="Arial" w:cs="Arial" w:eastAsia="Arial" w:hAnsi="Arial"/>
          <w:sz w:val="17"/>
          <w:szCs w:val="17"/>
          <w:color w:val="auto"/>
        </w:rPr>
        <w:t>attending the Annual Meeting, requesting that your proxy be revoked and voting in person as instructed above.</w:t>
      </w:r>
    </w:p>
    <w:p>
      <w:pPr>
        <w:spacing w:after="0" w:line="65" w:lineRule="exact"/>
        <w:rPr>
          <w:sz w:val="20"/>
          <w:szCs w:val="20"/>
          <w:color w:val="auto"/>
        </w:rPr>
      </w:pPr>
    </w:p>
    <w:p>
      <w:pPr>
        <w:ind w:left="356" w:right="460"/>
        <w:spacing w:after="0" w:line="246" w:lineRule="auto"/>
        <w:rPr>
          <w:sz w:val="20"/>
          <w:szCs w:val="20"/>
          <w:color w:val="auto"/>
        </w:rPr>
      </w:pPr>
      <w:r>
        <w:rPr>
          <w:rFonts w:ascii="Arial" w:cs="Arial" w:eastAsia="Arial" w:hAnsi="Arial"/>
          <w:sz w:val="18"/>
          <w:szCs w:val="18"/>
          <w:color w:val="auto"/>
        </w:rPr>
        <w:t>Your attendance at the meeting alone will not revoke your proxy.</w:t>
      </w:r>
    </w:p>
    <w:p>
      <w:pPr>
        <w:spacing w:after="0" w:line="89" w:lineRule="exact"/>
        <w:rPr>
          <w:sz w:val="20"/>
          <w:szCs w:val="20"/>
          <w:color w:val="auto"/>
        </w:rPr>
      </w:pPr>
    </w:p>
    <w:p>
      <w:pPr>
        <w:ind w:left="356"/>
        <w:spacing w:after="0" w:line="237" w:lineRule="auto"/>
        <w:rPr>
          <w:sz w:val="20"/>
          <w:szCs w:val="20"/>
          <w:color w:val="auto"/>
        </w:rPr>
      </w:pPr>
      <w:r>
        <w:rPr>
          <w:rFonts w:ascii="Arial" w:cs="Arial" w:eastAsia="Arial" w:hAnsi="Arial"/>
          <w:sz w:val="18"/>
          <w:szCs w:val="18"/>
          <w:color w:val="auto"/>
        </w:rPr>
        <w:t>If your shares are held in “street name,” you may submit a new, later-dated voting instruction form or contact your bank, broker or other nominee. You may also vote in person at the Annual Meeting if you obtain a legal proxy as described in the answer to the question above entitled “Can I vote if my shares are held in ‘street name’”?</w:t>
      </w:r>
    </w:p>
    <w:p>
      <w:pPr>
        <w:spacing w:after="0" w:line="89" w:lineRule="exact"/>
        <w:rPr>
          <w:sz w:val="20"/>
          <w:szCs w:val="20"/>
          <w:color w:val="auto"/>
        </w:rPr>
      </w:pPr>
    </w:p>
    <w:p>
      <w:pPr>
        <w:ind w:left="356" w:right="20" w:hanging="356"/>
        <w:spacing w:after="0" w:line="271" w:lineRule="auto"/>
        <w:tabs>
          <w:tab w:leader="none" w:pos="356" w:val="left"/>
        </w:tabs>
        <w:numPr>
          <w:ilvl w:val="0"/>
          <w:numId w:val="24"/>
        </w:numPr>
        <w:rPr>
          <w:rFonts w:ascii="Arial" w:cs="Arial" w:eastAsia="Arial" w:hAnsi="Arial"/>
          <w:sz w:val="18"/>
          <w:szCs w:val="18"/>
          <w:b w:val="1"/>
          <w:bCs w:val="1"/>
          <w:color w:val="052B82"/>
        </w:rPr>
      </w:pPr>
      <w:r>
        <w:rPr>
          <w:rFonts w:ascii="Arial" w:cs="Arial" w:eastAsia="Arial" w:hAnsi="Arial"/>
          <w:sz w:val="18"/>
          <w:szCs w:val="18"/>
          <w:b w:val="1"/>
          <w:bCs w:val="1"/>
          <w:color w:val="052B82"/>
        </w:rPr>
        <w:t>How do I vote my shares held in trust in the Analog Ireland Success Sharing Share Plan?</w:t>
      </w:r>
    </w:p>
    <w:p>
      <w:pPr>
        <w:spacing w:after="0" w:line="81" w:lineRule="exact"/>
        <w:rPr>
          <w:sz w:val="20"/>
          <w:szCs w:val="20"/>
          <w:color w:val="auto"/>
        </w:rPr>
      </w:pPr>
    </w:p>
    <w:p>
      <w:pPr>
        <w:ind w:left="356" w:right="20" w:hanging="356"/>
        <w:spacing w:after="0" w:line="236" w:lineRule="auto"/>
        <w:tabs>
          <w:tab w:leader="none" w:pos="356"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you participate in the Analog Ireland Success Sharing Share Plan, which we refer to as the Ireland share plan, you may instruct Irish Pensions Trust Limited, which serves as the trustee of the Ireland share plan, to vote the amount of shares of common stock that they hold on your behalf as of the record date. You will receive a voting card that you may use to direct Mercer Ireland Limited, or Mercer, which administers the Irish share plan on behalf of Irish Pensions Trust Limited, how to vote your shares. You should sign the voting card and return it to Mercer in the envelope provided. Mercer will vote the shares in the manner that you direct on the voting card. If</w:t>
      </w:r>
    </w:p>
    <w:p>
      <w:pPr>
        <w:sectPr>
          <w:pgSz w:w="11900" w:h="16838" w:orient="portrait"/>
          <w:cols w:equalWidth="0" w:num="2">
            <w:col w:w="5460" w:space="364"/>
            <w:col w:w="5396"/>
          </w:cols>
          <w:pgMar w:left="240" w:top="459" w:right="4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60" w:right="140"/>
        <w:spacing w:after="0"/>
        <w:rPr>
          <w:sz w:val="20"/>
          <w:szCs w:val="20"/>
          <w:color w:val="auto"/>
        </w:rPr>
      </w:pPr>
      <w:r>
        <w:rPr>
          <w:rFonts w:ascii="Arial" w:cs="Arial" w:eastAsia="Arial" w:hAnsi="Arial"/>
          <w:sz w:val="18"/>
          <w:szCs w:val="18"/>
          <w:color w:val="auto"/>
        </w:rPr>
        <w:t>Mercer does not receive your voting card by 5:00 p.m. Greenwich Mean Time (GMT) on March 4, 2020, Mercer will not vote your shares.</w:t>
      </w:r>
    </w:p>
    <w:p>
      <w:pPr>
        <w:spacing w:after="0" w:line="86" w:lineRule="exact"/>
        <w:rPr>
          <w:sz w:val="20"/>
          <w:szCs w:val="20"/>
          <w:color w:val="auto"/>
        </w:rPr>
      </w:pPr>
    </w:p>
    <w:p>
      <w:pPr>
        <w:ind w:left="200"/>
        <w:spacing w:after="0"/>
        <w:tabs>
          <w:tab w:leader="none" w:pos="540" w:val="left"/>
        </w:tabs>
        <w:rPr>
          <w:sz w:val="20"/>
          <w:szCs w:val="20"/>
          <w:color w:val="auto"/>
        </w:rPr>
      </w:pPr>
      <w:r>
        <w:rPr>
          <w:rFonts w:ascii="Arial" w:cs="Arial" w:eastAsia="Arial" w:hAnsi="Arial"/>
          <w:sz w:val="18"/>
          <w:szCs w:val="18"/>
          <w:b w:val="1"/>
          <w:bCs w:val="1"/>
          <w:color w:val="052B82"/>
        </w:rPr>
        <w:t>Q:</w:t>
        <w:tab/>
        <w:t>What constitutes a quorum?</w:t>
      </w:r>
    </w:p>
    <w:p>
      <w:pPr>
        <w:spacing w:after="0" w:line="139" w:lineRule="exact"/>
        <w:rPr>
          <w:sz w:val="20"/>
          <w:szCs w:val="20"/>
          <w:color w:val="auto"/>
        </w:rPr>
      </w:pPr>
    </w:p>
    <w:p>
      <w:pPr>
        <w:ind w:left="560" w:right="80" w:hanging="356"/>
        <w:spacing w:after="0" w:line="237" w:lineRule="auto"/>
        <w:tabs>
          <w:tab w:leader="none" w:pos="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order for business to be conducted at the Annual Meeting, a quorum must be present in person or represented by valid proxies. For each of the proposals to be presented at the Annual Meeting, a quorum consists of the holders of a majority of the shares of common stock issued and outstanding on January 6, 2020, the record date, or at least 184,477,203 shares.</w:t>
      </w:r>
    </w:p>
    <w:p>
      <w:pPr>
        <w:spacing w:after="0" w:line="95" w:lineRule="exact"/>
        <w:rPr>
          <w:rFonts w:ascii="Arial" w:cs="Arial" w:eastAsia="Arial" w:hAnsi="Arial"/>
          <w:sz w:val="18"/>
          <w:szCs w:val="18"/>
          <w:color w:val="auto"/>
        </w:rPr>
      </w:pPr>
    </w:p>
    <w:p>
      <w:pPr>
        <w:ind w:left="560"/>
        <w:spacing w:after="0" w:line="238" w:lineRule="auto"/>
        <w:rPr>
          <w:rFonts w:ascii="Arial" w:cs="Arial" w:eastAsia="Arial" w:hAnsi="Arial"/>
          <w:sz w:val="18"/>
          <w:szCs w:val="18"/>
          <w:color w:val="auto"/>
        </w:rPr>
      </w:pPr>
      <w:r>
        <w:rPr>
          <w:rFonts w:ascii="Arial" w:cs="Arial" w:eastAsia="Arial" w:hAnsi="Arial"/>
          <w:sz w:val="18"/>
          <w:szCs w:val="18"/>
          <w:color w:val="auto"/>
        </w:rPr>
        <w:t>Shares of common stock represented in person or by proxy (including “broker non-votes” and shares that abstain or do not vote with respect to a particular proposal) will be counted for the purpose of determining whether a quorum exists at the Annual Meeting for that proposal.</w:t>
      </w:r>
    </w:p>
    <w:p>
      <w:pPr>
        <w:spacing w:after="0" w:line="94" w:lineRule="exact"/>
        <w:rPr>
          <w:rFonts w:ascii="Arial" w:cs="Arial" w:eastAsia="Arial" w:hAnsi="Arial"/>
          <w:sz w:val="18"/>
          <w:szCs w:val="18"/>
          <w:color w:val="auto"/>
        </w:rPr>
      </w:pPr>
    </w:p>
    <w:p>
      <w:pPr>
        <w:ind w:left="560" w:right="680"/>
        <w:spacing w:after="0" w:line="246" w:lineRule="auto"/>
        <w:rPr>
          <w:rFonts w:ascii="Arial" w:cs="Arial" w:eastAsia="Arial" w:hAnsi="Arial"/>
          <w:sz w:val="18"/>
          <w:szCs w:val="18"/>
          <w:color w:val="auto"/>
        </w:rPr>
      </w:pPr>
      <w:r>
        <w:rPr>
          <w:rFonts w:ascii="Arial" w:cs="Arial" w:eastAsia="Arial" w:hAnsi="Arial"/>
          <w:sz w:val="18"/>
          <w:szCs w:val="18"/>
          <w:color w:val="auto"/>
        </w:rPr>
        <w:t>If a quorum is not present, the Annual Meeting will be adjourned until a quorum is obtained.</w:t>
      </w:r>
    </w:p>
    <w:p>
      <w:pPr>
        <w:spacing w:after="0" w:line="80" w:lineRule="exact"/>
        <w:rPr>
          <w:sz w:val="20"/>
          <w:szCs w:val="20"/>
          <w:color w:val="auto"/>
        </w:rPr>
      </w:pPr>
    </w:p>
    <w:p>
      <w:pPr>
        <w:ind w:left="200"/>
        <w:spacing w:after="0"/>
        <w:tabs>
          <w:tab w:leader="none" w:pos="540" w:val="left"/>
        </w:tabs>
        <w:rPr>
          <w:sz w:val="20"/>
          <w:szCs w:val="20"/>
          <w:color w:val="auto"/>
        </w:rPr>
      </w:pPr>
      <w:r>
        <w:rPr>
          <w:rFonts w:ascii="Arial" w:cs="Arial" w:eastAsia="Arial" w:hAnsi="Arial"/>
          <w:sz w:val="18"/>
          <w:szCs w:val="18"/>
          <w:b w:val="1"/>
          <w:bCs w:val="1"/>
          <w:color w:val="052B82"/>
        </w:rPr>
        <w:t>Q:</w:t>
      </w:r>
      <w:r>
        <w:rPr>
          <w:sz w:val="20"/>
          <w:szCs w:val="20"/>
          <w:color w:val="auto"/>
        </w:rPr>
        <w:tab/>
      </w:r>
      <w:r>
        <w:rPr>
          <w:rFonts w:ascii="Arial" w:cs="Arial" w:eastAsia="Arial" w:hAnsi="Arial"/>
          <w:sz w:val="17"/>
          <w:szCs w:val="17"/>
          <w:b w:val="1"/>
          <w:bCs w:val="1"/>
          <w:color w:val="052B82"/>
        </w:rPr>
        <w:t>What vote is required for each proposal?</w:t>
      </w:r>
    </w:p>
    <w:p>
      <w:pPr>
        <w:spacing w:after="0" w:line="121" w:lineRule="exact"/>
        <w:rPr>
          <w:sz w:val="20"/>
          <w:szCs w:val="20"/>
          <w:color w:val="auto"/>
        </w:rPr>
      </w:pPr>
    </w:p>
    <w:p>
      <w:pPr>
        <w:ind w:left="560" w:right="20" w:hanging="356"/>
        <w:spacing w:after="0" w:line="236" w:lineRule="auto"/>
        <w:tabs>
          <w:tab w:leader="none" w:pos="56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Election of directors</w:t>
      </w:r>
      <w:r>
        <w:rPr>
          <w:rFonts w:ascii="Arial" w:cs="Arial" w:eastAsia="Arial" w:hAnsi="Arial"/>
          <w:sz w:val="18"/>
          <w:szCs w:val="18"/>
          <w:color w:val="auto"/>
        </w:rPr>
        <w:t>. Under our bylaws, a nominee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elected to the Board of Directors if the votes cast “for” the nominee’s election exceed the votes cast “against” the nominee’s election, with abstentions and “broker non-votes” not counting as votes “for” or “against.” If the shares you own are held in “street name” by a bank, broker or other nominee, your bank, broker or other nominee, as the record holder of your shares, is required to vote your shares according to your instructions. </w:t>
      </w:r>
      <w:r>
        <w:rPr>
          <w:rFonts w:ascii="Arial" w:cs="Arial" w:eastAsia="Arial" w:hAnsi="Arial"/>
          <w:sz w:val="18"/>
          <w:szCs w:val="18"/>
          <w:b w:val="1"/>
          <w:bCs w:val="1"/>
          <w:color w:val="auto"/>
        </w:rPr>
        <w:t>If you do not instruct your bank, broker or</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other nominee how to vote with respect to this proposal, your bank, broker or other nominee may not vote your shares with respect to the election of directors. </w:t>
      </w:r>
      <w:r>
        <w:rPr>
          <w:rFonts w:ascii="Arial" w:cs="Arial" w:eastAsia="Arial" w:hAnsi="Arial"/>
          <w:sz w:val="18"/>
          <w:szCs w:val="18"/>
          <w:color w:val="auto"/>
        </w:rPr>
        <w:t>If an</w:t>
      </w:r>
      <w:r>
        <w:rPr>
          <w:rFonts w:ascii="Arial" w:cs="Arial" w:eastAsia="Arial" w:hAnsi="Arial"/>
          <w:sz w:val="18"/>
          <w:szCs w:val="18"/>
          <w:b w:val="1"/>
          <w:bCs w:val="1"/>
          <w:color w:val="auto"/>
        </w:rPr>
        <w:t xml:space="preserve"> </w:t>
      </w:r>
      <w:r>
        <w:rPr>
          <w:rFonts w:ascii="Arial" w:cs="Arial" w:eastAsia="Arial" w:hAnsi="Arial"/>
          <w:sz w:val="18"/>
          <w:szCs w:val="18"/>
          <w:color w:val="auto"/>
        </w:rPr>
        <w:t>incumbent director nominee in an uncontested election of directors receives a majority of votes “against” his or her election, the director must tender a resignation from the Board of Directors. The Board of Directors will then decide whether to accept the resignation within 90 days following certification of the shareholder vote (based on the recommendation of a committee of independent directors). We will publicly disclose the Board of Directors’ decision and its reasoning with regard to the offered resignation.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60" w:right="60"/>
        <w:spacing w:after="0" w:line="237" w:lineRule="auto"/>
        <w:rPr>
          <w:sz w:val="20"/>
          <w:szCs w:val="20"/>
          <w:color w:val="auto"/>
        </w:rPr>
      </w:pPr>
      <w:r>
        <w:rPr>
          <w:rFonts w:ascii="Arial" w:cs="Arial" w:eastAsia="Arial" w:hAnsi="Arial"/>
          <w:sz w:val="18"/>
          <w:szCs w:val="18"/>
          <w:i w:val="1"/>
          <w:iCs w:val="1"/>
          <w:color w:val="auto"/>
        </w:rPr>
        <w:t xml:space="preserve">“Say on Pay.” </w:t>
      </w:r>
      <w:r>
        <w:rPr>
          <w:rFonts w:ascii="Arial" w:cs="Arial" w:eastAsia="Arial" w:hAnsi="Arial"/>
          <w:sz w:val="18"/>
          <w:szCs w:val="18"/>
          <w:color w:val="auto"/>
        </w:rPr>
        <w:t>Our Board of Directors is seeking a non-binding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advisory vote regarding the compensation of our named executive officers, as described in the Compensation Discussion and Analysis, executive compensation tables and accompanying narrative disclosures contained in this proxy statement. Under our bylaws, the affirmative vote of a majority of the total number of votes cast on the proposal is needed to approve this resolution. The vote is advisory and non-binding in nature but our Compensation Committee will take into account the outcome of the vote when considering future executive compensation arrangements. </w:t>
      </w:r>
      <w:r>
        <w:rPr>
          <w:rFonts w:ascii="Arial" w:cs="Arial" w:eastAsia="Arial" w:hAnsi="Arial"/>
          <w:sz w:val="18"/>
          <w:szCs w:val="18"/>
          <w:b w:val="1"/>
          <w:bCs w:val="1"/>
          <w:color w:val="auto"/>
        </w:rPr>
        <w:t>If you do not instruct</w:t>
      </w:r>
      <w:r>
        <w:rPr>
          <w:rFonts w:ascii="Arial" w:cs="Arial" w:eastAsia="Arial" w:hAnsi="Arial"/>
          <w:sz w:val="18"/>
          <w:szCs w:val="18"/>
          <w:color w:val="auto"/>
        </w:rPr>
        <w:t xml:space="preserve"> </w:t>
      </w:r>
      <w:r>
        <w:rPr>
          <w:rFonts w:ascii="Arial" w:cs="Arial" w:eastAsia="Arial" w:hAnsi="Arial"/>
          <w:sz w:val="18"/>
          <w:szCs w:val="18"/>
          <w:b w:val="1"/>
          <w:bCs w:val="1"/>
          <w:color w:val="auto"/>
        </w:rPr>
        <w:t>your bank, broker or other nominee how to vote with respect to this proposal, your bank, broker or other nominee may not vote your shares with respect to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-2740660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786130</wp:posOffset>
            </wp:positionH>
            <wp:positionV relativeFrom="paragraph">
              <wp:posOffset>-2200275</wp:posOffset>
            </wp:positionV>
            <wp:extent cx="2649855"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pacing w:after="0" w:line="61" w:lineRule="exact"/>
        <w:rPr>
          <w:sz w:val="20"/>
          <w:szCs w:val="20"/>
          <w:color w:val="auto"/>
        </w:rPr>
      </w:pPr>
    </w:p>
    <w:p>
      <w:pPr>
        <w:ind w:left="360"/>
        <w:spacing w:after="0" w:line="239" w:lineRule="auto"/>
        <w:rPr>
          <w:sz w:val="20"/>
          <w:szCs w:val="20"/>
          <w:color w:val="auto"/>
        </w:rPr>
      </w:pPr>
      <w:r>
        <w:rPr>
          <w:rFonts w:ascii="Arial" w:cs="Arial" w:eastAsia="Arial" w:hAnsi="Arial"/>
          <w:sz w:val="18"/>
          <w:szCs w:val="18"/>
          <w:i w:val="1"/>
          <w:iCs w:val="1"/>
          <w:color w:val="auto"/>
        </w:rPr>
        <w:t xml:space="preserve">Approval of the Analog Devices, Inc. 2020 Equity Incentive Plan. </w:t>
      </w:r>
      <w:r>
        <w:rPr>
          <w:rFonts w:ascii="Arial" w:cs="Arial" w:eastAsia="Arial" w:hAnsi="Arial"/>
          <w:sz w:val="18"/>
          <w:szCs w:val="18"/>
          <w:color w:val="auto"/>
        </w:rPr>
        <w:t>Under our bylaws, the affirmative vote of a majority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total number of votes cast on the proposal is needed to approve the Analog Devices, Inc. 2020 Equity Incentive Plan. </w:t>
      </w:r>
      <w:r>
        <w:rPr>
          <w:rFonts w:ascii="Arial" w:cs="Arial" w:eastAsia="Arial" w:hAnsi="Arial"/>
          <w:sz w:val="18"/>
          <w:szCs w:val="18"/>
          <w:b w:val="1"/>
          <w:bCs w:val="1"/>
          <w:color w:val="auto"/>
        </w:rPr>
        <w:t>If</w:t>
      </w:r>
      <w:r>
        <w:rPr>
          <w:rFonts w:ascii="Arial" w:cs="Arial" w:eastAsia="Arial" w:hAnsi="Arial"/>
          <w:sz w:val="18"/>
          <w:szCs w:val="18"/>
          <w:color w:val="auto"/>
        </w:rPr>
        <w:t xml:space="preserve"> </w:t>
      </w:r>
      <w:r>
        <w:rPr>
          <w:rFonts w:ascii="Arial" w:cs="Arial" w:eastAsia="Arial" w:hAnsi="Arial"/>
          <w:sz w:val="18"/>
          <w:szCs w:val="18"/>
          <w:b w:val="1"/>
          <w:bCs w:val="1"/>
          <w:color w:val="auto"/>
        </w:rPr>
        <w:t>you do not instruct your bank, broker or other nominee how to vote with respect to this proposal, your bank, broker or other nominee may not vote your shares with respect to this proposal.</w:t>
      </w:r>
    </w:p>
    <w:p>
      <w:pPr>
        <w:spacing w:after="0" w:line="80" w:lineRule="exact"/>
        <w:rPr>
          <w:sz w:val="20"/>
          <w:szCs w:val="20"/>
          <w:color w:val="auto"/>
        </w:rPr>
      </w:pPr>
    </w:p>
    <w:p>
      <w:pPr>
        <w:ind w:left="360" w:right="100"/>
        <w:spacing w:after="0" w:line="239" w:lineRule="auto"/>
        <w:rPr>
          <w:sz w:val="20"/>
          <w:szCs w:val="20"/>
          <w:color w:val="auto"/>
        </w:rPr>
      </w:pPr>
      <w:r>
        <w:rPr>
          <w:rFonts w:ascii="Arial" w:cs="Arial" w:eastAsia="Arial" w:hAnsi="Arial"/>
          <w:sz w:val="18"/>
          <w:szCs w:val="18"/>
          <w:i w:val="1"/>
          <w:iCs w:val="1"/>
          <w:color w:val="auto"/>
        </w:rPr>
        <w:t xml:space="preserve">Ratification of independent registered public accounting firm. </w:t>
      </w:r>
      <w:r>
        <w:rPr>
          <w:rFonts w:ascii="Arial" w:cs="Arial" w:eastAsia="Arial" w:hAnsi="Arial"/>
          <w:sz w:val="18"/>
          <w:szCs w:val="18"/>
          <w:color w:val="auto"/>
        </w:rPr>
        <w:t xml:space="preserve">Under our bylaws, the affirmative vote of a majority of the total number of votes cast on the proposal is needed to ratify the selection of Ernst &amp; Young LLP as our independent registered public accounting firm for fiscal 2020. </w:t>
      </w:r>
      <w:r>
        <w:rPr>
          <w:rFonts w:ascii="Arial" w:cs="Arial" w:eastAsia="Arial" w:hAnsi="Arial"/>
          <w:sz w:val="18"/>
          <w:szCs w:val="18"/>
          <w:b w:val="1"/>
          <w:bCs w:val="1"/>
          <w:color w:val="auto"/>
        </w:rPr>
        <w:t>Even if you do not</w:t>
      </w:r>
      <w:r>
        <w:rPr>
          <w:rFonts w:ascii="Arial" w:cs="Arial" w:eastAsia="Arial" w:hAnsi="Arial"/>
          <w:sz w:val="18"/>
          <w:szCs w:val="18"/>
          <w:color w:val="auto"/>
        </w:rPr>
        <w:t xml:space="preserve"> </w:t>
      </w:r>
      <w:r>
        <w:rPr>
          <w:rFonts w:ascii="Arial" w:cs="Arial" w:eastAsia="Arial" w:hAnsi="Arial"/>
          <w:sz w:val="18"/>
          <w:szCs w:val="18"/>
          <w:b w:val="1"/>
          <w:bCs w:val="1"/>
          <w:color w:val="auto"/>
        </w:rPr>
        <w:t>instruct your bank, broker or other nominee how to vote with respect to this proposal, your bank, broker or other nominee may vote your shares with respect to this proposal.</w:t>
      </w:r>
    </w:p>
    <w:p>
      <w:pPr>
        <w:spacing w:after="0" w:line="86"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052B82"/>
        </w:rPr>
        <w:t>Q:</w:t>
      </w:r>
      <w:r>
        <w:rPr>
          <w:sz w:val="20"/>
          <w:szCs w:val="20"/>
          <w:color w:val="auto"/>
        </w:rPr>
        <w:tab/>
      </w:r>
      <w:r>
        <w:rPr>
          <w:rFonts w:ascii="Arial" w:cs="Arial" w:eastAsia="Arial" w:hAnsi="Arial"/>
          <w:sz w:val="17"/>
          <w:szCs w:val="17"/>
          <w:b w:val="1"/>
          <w:bCs w:val="1"/>
          <w:color w:val="052B82"/>
        </w:rPr>
        <w:t>How will votes be counted?</w:t>
      </w:r>
    </w:p>
    <w:p>
      <w:pPr>
        <w:spacing w:after="0" w:line="139" w:lineRule="exact"/>
        <w:rPr>
          <w:sz w:val="20"/>
          <w:szCs w:val="20"/>
          <w:color w:val="auto"/>
        </w:rPr>
      </w:pPr>
    </w:p>
    <w:p>
      <w:pPr>
        <w:ind w:left="360" w:hanging="351"/>
        <w:spacing w:after="0" w:line="236" w:lineRule="auto"/>
        <w:tabs>
          <w:tab w:leader="none" w:pos="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Each share of common stock will be counted as one vote according to the instructions contained on a properly completed proxy card, whether submitted in person, by mail, over the Internet or by telephone, or on a ballot voted in person at the Annual Meeting. With respect to all proposals, shares will not be voted in favor of the matter, and will not be counted as voting on the matter, if they either (1) abstain from voting on a particular matter, or (2) are “broker</w:t>
      </w:r>
    </w:p>
    <w:p>
      <w:pPr>
        <w:spacing w:after="0" w:line="33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4"/>
          <w:szCs w:val="14"/>
          <w:b w:val="1"/>
          <w:bCs w:val="1"/>
          <w:color w:val="052B82"/>
        </w:rPr>
        <w:t>2020 Proxy Statement</w:t>
      </w:r>
      <w:r>
        <w:rPr>
          <w:sz w:val="20"/>
          <w:szCs w:val="20"/>
          <w:color w:val="auto"/>
        </w:rPr>
        <w:tab/>
      </w:r>
      <w:r>
        <w:rPr>
          <w:rFonts w:ascii="Arial" w:cs="Arial" w:eastAsia="Arial" w:hAnsi="Arial"/>
          <w:sz w:val="17"/>
          <w:szCs w:val="17"/>
          <w:color w:val="999999"/>
        </w:rPr>
        <w:t>11</w:t>
      </w:r>
    </w:p>
    <w:p>
      <w:pPr>
        <w:sectPr>
          <w:pgSz w:w="11900" w:h="16838" w:orient="portrait"/>
          <w:cols w:equalWidth="0" w:num="2">
            <w:col w:w="5480" w:space="340"/>
            <w:col w:w="5400"/>
          </w:cols>
          <w:pgMar w:left="24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2649855"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60" w:right="20"/>
        <w:spacing w:after="0" w:line="236" w:lineRule="auto"/>
        <w:rPr>
          <w:sz w:val="20"/>
          <w:szCs w:val="20"/>
          <w:color w:val="auto"/>
        </w:rPr>
      </w:pPr>
      <w:r>
        <w:rPr>
          <w:rFonts w:ascii="Arial" w:cs="Arial" w:eastAsia="Arial" w:hAnsi="Arial"/>
          <w:sz w:val="18"/>
          <w:szCs w:val="18"/>
          <w:color w:val="auto"/>
        </w:rPr>
        <w:t>non-votes.” Banks, brokers and other nominees who do not receive instructions with respect to Proposals 1, 2 or 3 will not be allowed to vote these shares, and all such shares will be “broker non-votes” rather than votes “for” or “against.” Accordingly, assuming the presence of a quorum, abstentions and “broker non-votes” for a particular proposal will not be counted as votes cast to determine the outcome of a particular proposal.</w:t>
      </w:r>
    </w:p>
    <w:p>
      <w:pPr>
        <w:spacing w:after="0" w:line="92" w:lineRule="exact"/>
        <w:rPr>
          <w:sz w:val="20"/>
          <w:szCs w:val="20"/>
          <w:color w:val="auto"/>
        </w:rPr>
      </w:pPr>
    </w:p>
    <w:p>
      <w:pPr>
        <w:ind w:left="200"/>
        <w:spacing w:after="0"/>
        <w:tabs>
          <w:tab w:leader="none" w:pos="540" w:val="left"/>
        </w:tabs>
        <w:rPr>
          <w:sz w:val="20"/>
          <w:szCs w:val="20"/>
          <w:color w:val="auto"/>
        </w:rPr>
      </w:pPr>
      <w:r>
        <w:rPr>
          <w:rFonts w:ascii="Arial" w:cs="Arial" w:eastAsia="Arial" w:hAnsi="Arial"/>
          <w:sz w:val="18"/>
          <w:szCs w:val="18"/>
          <w:b w:val="1"/>
          <w:bCs w:val="1"/>
          <w:color w:val="052B82"/>
        </w:rPr>
        <w:t>Q:</w:t>
      </w:r>
      <w:r>
        <w:rPr>
          <w:sz w:val="20"/>
          <w:szCs w:val="20"/>
          <w:color w:val="auto"/>
        </w:rPr>
        <w:tab/>
      </w:r>
      <w:r>
        <w:rPr>
          <w:rFonts w:ascii="Arial" w:cs="Arial" w:eastAsia="Arial" w:hAnsi="Arial"/>
          <w:sz w:val="17"/>
          <w:szCs w:val="17"/>
          <w:b w:val="1"/>
          <w:bCs w:val="1"/>
          <w:color w:val="052B82"/>
        </w:rPr>
        <w:t>Who will count the votes?</w:t>
      </w:r>
    </w:p>
    <w:p>
      <w:pPr>
        <w:spacing w:after="0" w:line="139" w:lineRule="exact"/>
        <w:rPr>
          <w:sz w:val="20"/>
          <w:szCs w:val="20"/>
          <w:color w:val="auto"/>
        </w:rPr>
      </w:pPr>
    </w:p>
    <w:p>
      <w:pPr>
        <w:ind w:left="560" w:right="760" w:hanging="356"/>
        <w:spacing w:after="0" w:line="246" w:lineRule="auto"/>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votes will be counted, tabulated and certified by Broadridge.</w:t>
      </w:r>
    </w:p>
    <w:p>
      <w:pPr>
        <w:spacing w:after="0" w:line="80" w:lineRule="exact"/>
        <w:rPr>
          <w:sz w:val="20"/>
          <w:szCs w:val="20"/>
          <w:color w:val="auto"/>
        </w:rPr>
      </w:pPr>
    </w:p>
    <w:p>
      <w:pPr>
        <w:ind w:left="200"/>
        <w:spacing w:after="0"/>
        <w:tabs>
          <w:tab w:leader="none" w:pos="540" w:val="left"/>
        </w:tabs>
        <w:rPr>
          <w:sz w:val="20"/>
          <w:szCs w:val="20"/>
          <w:color w:val="auto"/>
        </w:rPr>
      </w:pPr>
      <w:r>
        <w:rPr>
          <w:rFonts w:ascii="Arial" w:cs="Arial" w:eastAsia="Arial" w:hAnsi="Arial"/>
          <w:sz w:val="18"/>
          <w:szCs w:val="18"/>
          <w:b w:val="1"/>
          <w:bCs w:val="1"/>
          <w:color w:val="052B82"/>
        </w:rPr>
        <w:t>Q:</w:t>
      </w:r>
      <w:r>
        <w:rPr>
          <w:sz w:val="20"/>
          <w:szCs w:val="20"/>
          <w:color w:val="auto"/>
        </w:rPr>
        <w:tab/>
      </w:r>
      <w:r>
        <w:rPr>
          <w:rFonts w:ascii="Arial" w:cs="Arial" w:eastAsia="Arial" w:hAnsi="Arial"/>
          <w:sz w:val="17"/>
          <w:szCs w:val="17"/>
          <w:b w:val="1"/>
          <w:bCs w:val="1"/>
          <w:color w:val="052B82"/>
        </w:rPr>
        <w:t>Will my vote be kept confidential?</w:t>
      </w:r>
    </w:p>
    <w:p>
      <w:pPr>
        <w:spacing w:after="0" w:line="139" w:lineRule="exact"/>
        <w:rPr>
          <w:sz w:val="20"/>
          <w:szCs w:val="20"/>
          <w:color w:val="auto"/>
        </w:rPr>
      </w:pPr>
    </w:p>
    <w:p>
      <w:pPr>
        <w:ind w:left="560" w:right="20" w:hanging="356"/>
        <w:spacing w:after="0" w:line="236" w:lineRule="auto"/>
        <w:tabs>
          <w:tab w:leader="none" w:pos="5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Yes, your vote will be kept confidential and we will not disclose your vote, unless (1) we are required to do so by law (including in connection with the pursuit or defense of a legal or administrative action or proceeding), or (2) there is a contested election for the Board of Directors. The tabulation agent will forward any written comments that you make on the proxy card to management without providing your name, unless you expressly request disclosure on your proxy card.</w:t>
      </w:r>
    </w:p>
    <w:p>
      <w:pPr>
        <w:spacing w:after="0" w:line="92" w:lineRule="exact"/>
        <w:rPr>
          <w:sz w:val="20"/>
          <w:szCs w:val="20"/>
          <w:color w:val="auto"/>
        </w:rPr>
      </w:pPr>
    </w:p>
    <w:p>
      <w:pPr>
        <w:ind w:left="560" w:right="140" w:hanging="356"/>
        <w:spacing w:after="0" w:line="271" w:lineRule="auto"/>
        <w:tabs>
          <w:tab w:leader="none" w:pos="560" w:val="left"/>
        </w:tabs>
        <w:numPr>
          <w:ilvl w:val="0"/>
          <w:numId w:val="31"/>
        </w:numPr>
        <w:rPr>
          <w:rFonts w:ascii="Arial" w:cs="Arial" w:eastAsia="Arial" w:hAnsi="Arial"/>
          <w:sz w:val="18"/>
          <w:szCs w:val="18"/>
          <w:b w:val="1"/>
          <w:bCs w:val="1"/>
          <w:color w:val="052B82"/>
        </w:rPr>
      </w:pPr>
      <w:r>
        <w:rPr>
          <w:rFonts w:ascii="Arial" w:cs="Arial" w:eastAsia="Arial" w:hAnsi="Arial"/>
          <w:sz w:val="18"/>
          <w:szCs w:val="18"/>
          <w:b w:val="1"/>
          <w:bCs w:val="1"/>
          <w:color w:val="052B82"/>
        </w:rPr>
        <w:t>How does the Board of Directors recommend that I vote on the proposals?</w:t>
      </w:r>
    </w:p>
    <w:p>
      <w:pPr>
        <w:spacing w:after="0" w:line="81" w:lineRule="exact"/>
        <w:rPr>
          <w:sz w:val="20"/>
          <w:szCs w:val="20"/>
          <w:color w:val="auto"/>
        </w:rPr>
      </w:pPr>
    </w:p>
    <w:p>
      <w:pPr>
        <w:ind w:left="560" w:hanging="356"/>
        <w:spacing w:after="0"/>
        <w:tabs>
          <w:tab w:leader="none" w:pos="5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Board of Directors recommends that you vote:</w:t>
      </w:r>
    </w:p>
    <w:p>
      <w:pPr>
        <w:spacing w:after="0" w:line="81" w:lineRule="exact"/>
        <w:rPr>
          <w:rFonts w:ascii="Arial" w:cs="Arial" w:eastAsia="Arial" w:hAnsi="Arial"/>
          <w:sz w:val="18"/>
          <w:szCs w:val="18"/>
          <w:color w:val="auto"/>
        </w:rPr>
      </w:pPr>
    </w:p>
    <w:p>
      <w:pPr>
        <w:ind w:left="560" w:right="180"/>
        <w:spacing w:after="0" w:line="253" w:lineRule="auto"/>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election of each of the ten nominees to serve as</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on the Board of Directors, each for a term expiring at the next annual meeting of shareholders (Proposal 1);</w:t>
      </w:r>
    </w:p>
    <w:p>
      <w:pPr>
        <w:spacing w:after="0" w:line="61" w:lineRule="exact"/>
        <w:rPr>
          <w:rFonts w:ascii="Arial" w:cs="Arial" w:eastAsia="Arial" w:hAnsi="Arial"/>
          <w:sz w:val="18"/>
          <w:szCs w:val="18"/>
          <w:color w:val="auto"/>
        </w:rPr>
      </w:pPr>
    </w:p>
    <w:p>
      <w:pPr>
        <w:ind w:left="560"/>
        <w:spacing w:after="0" w:line="244" w:lineRule="auto"/>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approval, by non-binding “say on pay” vote,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of our named executive officers, as described in the Compensation Discussion and Analysis, executive compensation tables and accompanying narrative disclosures contained in this proxy statement (Proposal 2);</w:t>
      </w:r>
    </w:p>
    <w:p>
      <w:pPr>
        <w:spacing w:after="0" w:line="68" w:lineRule="exact"/>
        <w:rPr>
          <w:rFonts w:ascii="Arial" w:cs="Arial" w:eastAsia="Arial" w:hAnsi="Arial"/>
          <w:sz w:val="18"/>
          <w:szCs w:val="18"/>
          <w:color w:val="auto"/>
        </w:rPr>
      </w:pPr>
    </w:p>
    <w:p>
      <w:pPr>
        <w:ind w:left="560" w:right="300"/>
        <w:spacing w:after="0" w:line="271" w:lineRule="auto"/>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approval of the Analog Devices, Inc. 2020 Equity</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 Plan (Proposal 3); and</w:t>
      </w:r>
    </w:p>
    <w:p>
      <w:pPr>
        <w:spacing w:after="0" w:line="45" w:lineRule="exact"/>
        <w:rPr>
          <w:rFonts w:ascii="Arial" w:cs="Arial" w:eastAsia="Arial" w:hAnsi="Arial"/>
          <w:sz w:val="18"/>
          <w:szCs w:val="18"/>
          <w:color w:val="auto"/>
        </w:rPr>
      </w:pPr>
    </w:p>
    <w:p>
      <w:pPr>
        <w:ind w:left="560" w:right="100"/>
        <w:spacing w:after="0" w:line="253" w:lineRule="auto"/>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ratification of the selection of Ernst &amp; Young LLP as</w:t>
      </w:r>
      <w:r>
        <w:rPr>
          <w:rFonts w:ascii="Arial" w:cs="Arial" w:eastAsia="Arial" w:hAnsi="Arial"/>
          <w:sz w:val="18"/>
          <w:szCs w:val="18"/>
          <w:b w:val="1"/>
          <w:bCs w:val="1"/>
          <w:color w:val="auto"/>
        </w:rPr>
        <w:t xml:space="preserve"> </w:t>
      </w:r>
      <w:r>
        <w:rPr>
          <w:rFonts w:ascii="Arial" w:cs="Arial" w:eastAsia="Arial" w:hAnsi="Arial"/>
          <w:sz w:val="18"/>
          <w:szCs w:val="18"/>
          <w:color w:val="auto"/>
        </w:rPr>
        <w:t>our independent registered public accounting firm for fiscal 2020 (Proposal 4).</w:t>
      </w:r>
    </w:p>
    <w:p>
      <w:pPr>
        <w:spacing w:after="0" w:line="75" w:lineRule="exact"/>
        <w:rPr>
          <w:sz w:val="20"/>
          <w:szCs w:val="20"/>
          <w:color w:val="auto"/>
        </w:rPr>
      </w:pPr>
    </w:p>
    <w:p>
      <w:pPr>
        <w:ind w:left="200"/>
        <w:spacing w:after="0"/>
        <w:tabs>
          <w:tab w:leader="none" w:pos="540" w:val="left"/>
        </w:tabs>
        <w:rPr>
          <w:sz w:val="20"/>
          <w:szCs w:val="20"/>
          <w:color w:val="auto"/>
        </w:rPr>
      </w:pPr>
      <w:r>
        <w:rPr>
          <w:rFonts w:ascii="Arial" w:cs="Arial" w:eastAsia="Arial" w:hAnsi="Arial"/>
          <w:sz w:val="18"/>
          <w:szCs w:val="18"/>
          <w:b w:val="1"/>
          <w:bCs w:val="1"/>
          <w:color w:val="052B82"/>
        </w:rPr>
        <w:t>Q:</w:t>
        <w:tab/>
        <w:t>Will any other matters be voted on at this meeting?</w:t>
      </w:r>
    </w:p>
    <w:p>
      <w:pPr>
        <w:spacing w:after="0" w:line="139" w:lineRule="exact"/>
        <w:rPr>
          <w:sz w:val="20"/>
          <w:szCs w:val="20"/>
          <w:color w:val="auto"/>
        </w:rPr>
      </w:pPr>
    </w:p>
    <w:p>
      <w:pPr>
        <w:jc w:val="both"/>
        <w:ind w:left="560" w:right="740" w:hanging="356"/>
        <w:spacing w:after="0"/>
        <w:tabs>
          <w:tab w:leader="none" w:pos="5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 Under the laws of Massachusetts, where we are incorporated, an item may not be brought before our shareholders at a meeting</w:t>
      </w:r>
    </w:p>
    <w:p>
      <w:pPr>
        <w:spacing w:after="0" w:line="282" w:lineRule="exact"/>
        <w:rPr>
          <w:sz w:val="20"/>
          <w:szCs w:val="20"/>
          <w:color w:val="auto"/>
        </w:rPr>
      </w:pPr>
    </w:p>
    <w:p>
      <w:pPr>
        <w:ind w:left="600" w:hanging="396"/>
        <w:spacing w:after="0"/>
        <w:tabs>
          <w:tab w:leader="none" w:pos="600" w:val="left"/>
        </w:tabs>
        <w:numPr>
          <w:ilvl w:val="0"/>
          <w:numId w:val="34"/>
        </w:numPr>
        <w:rPr>
          <w:rFonts w:ascii="Arial" w:cs="Arial" w:eastAsia="Arial" w:hAnsi="Arial"/>
          <w:sz w:val="18"/>
          <w:szCs w:val="18"/>
          <w:color w:val="999999"/>
        </w:rPr>
      </w:pPr>
      <w:r>
        <w:rPr>
          <w:rFonts w:ascii="Arial" w:cs="Arial" w:eastAsia="Arial" w:hAnsi="Arial"/>
          <w:sz w:val="14"/>
          <w:szCs w:val="14"/>
          <w:b w:val="1"/>
          <w:bCs w:val="1"/>
          <w:color w:val="052B82"/>
        </w:rPr>
        <w:t>Analog Devices,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60"/>
        <w:spacing w:after="0" w:line="255" w:lineRule="auto"/>
        <w:rPr>
          <w:sz w:val="20"/>
          <w:szCs w:val="20"/>
          <w:color w:val="auto"/>
        </w:rPr>
      </w:pPr>
      <w:r>
        <w:rPr>
          <w:rFonts w:ascii="Arial" w:cs="Arial" w:eastAsia="Arial" w:hAnsi="Arial"/>
          <w:sz w:val="17"/>
          <w:szCs w:val="17"/>
          <w:color w:val="auto"/>
        </w:rPr>
        <w:t xml:space="preserve">unless it appears in the notice of the meeting. Our bylaws establish the process for a shareholder to bring a matter before a meeting. See </w:t>
      </w:r>
      <w:r>
        <w:rPr>
          <w:rFonts w:ascii="Arial" w:cs="Arial" w:eastAsia="Arial" w:hAnsi="Arial"/>
          <w:sz w:val="17"/>
          <w:szCs w:val="17"/>
          <w:b w:val="1"/>
          <w:bCs w:val="1"/>
          <w:i w:val="1"/>
          <w:iCs w:val="1"/>
          <w:color w:val="auto"/>
        </w:rPr>
        <w:t>“How and when may I submit a shareholder</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 xml:space="preserve">proposal, including a shareholder nomination for director, for the 2021 annual meeting of shareholders?” </w:t>
      </w:r>
      <w:r>
        <w:rPr>
          <w:rFonts w:ascii="Arial" w:cs="Arial" w:eastAsia="Arial" w:hAnsi="Arial"/>
          <w:sz w:val="17"/>
          <w:szCs w:val="17"/>
          <w:color w:val="auto"/>
        </w:rPr>
        <w:t>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-1464310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5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052B82"/>
        </w:rPr>
        <w:t>Q:</w:t>
        <w:tab/>
        <w:t>Where can I find the voting results?</w:t>
      </w:r>
    </w:p>
    <w:p>
      <w:pPr>
        <w:spacing w:after="0" w:line="139" w:lineRule="exact"/>
        <w:rPr>
          <w:sz w:val="20"/>
          <w:szCs w:val="20"/>
          <w:color w:val="auto"/>
        </w:rPr>
      </w:pPr>
    </w:p>
    <w:p>
      <w:pPr>
        <w:ind w:left="360" w:right="320" w:hanging="356"/>
        <w:spacing w:after="0"/>
        <w:tabs>
          <w:tab w:leader="none" w:pos="3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will report the voting results in a Form 8-K filed with the SEC within four business days after the conclusion of the Annual Meeting.</w:t>
      </w:r>
    </w:p>
    <w:p>
      <w:pPr>
        <w:spacing w:after="0" w:line="86" w:lineRule="exact"/>
        <w:rPr>
          <w:sz w:val="20"/>
          <w:szCs w:val="20"/>
          <w:color w:val="auto"/>
        </w:rPr>
      </w:pPr>
    </w:p>
    <w:p>
      <w:pPr>
        <w:ind w:left="360" w:right="300" w:hanging="356"/>
        <w:spacing w:after="0" w:line="253" w:lineRule="auto"/>
        <w:tabs>
          <w:tab w:leader="none" w:pos="360" w:val="left"/>
        </w:tabs>
        <w:numPr>
          <w:ilvl w:val="0"/>
          <w:numId w:val="36"/>
        </w:numPr>
        <w:rPr>
          <w:rFonts w:ascii="Arial" w:cs="Arial" w:eastAsia="Arial" w:hAnsi="Arial"/>
          <w:sz w:val="18"/>
          <w:szCs w:val="18"/>
          <w:b w:val="1"/>
          <w:bCs w:val="1"/>
          <w:color w:val="052B82"/>
        </w:rPr>
      </w:pPr>
      <w:r>
        <w:rPr>
          <w:rFonts w:ascii="Arial" w:cs="Arial" w:eastAsia="Arial" w:hAnsi="Arial"/>
          <w:sz w:val="18"/>
          <w:szCs w:val="18"/>
          <w:b w:val="1"/>
          <w:bCs w:val="1"/>
          <w:color w:val="052B82"/>
        </w:rPr>
        <w:t>How and when may I submit a shareholder proposal, including a shareholder nomination for director, for the 2021 annual meeting of shareholders?</w:t>
      </w:r>
    </w:p>
    <w:p>
      <w:pPr>
        <w:spacing w:after="0" w:line="97" w:lineRule="exact"/>
        <w:rPr>
          <w:sz w:val="20"/>
          <w:szCs w:val="20"/>
          <w:color w:val="auto"/>
        </w:rPr>
      </w:pPr>
    </w:p>
    <w:p>
      <w:pPr>
        <w:ind w:left="360" w:hanging="356"/>
        <w:spacing w:after="0" w:line="236" w:lineRule="auto"/>
        <w:tabs>
          <w:tab w:leader="none" w:pos="3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Shareholder proposals for inclusion in proxy statement: If you are interested in submitting a proposal for inclusion in our proxy statement for the 2021 annual meeting, you need to follow the procedures outlined in Rule 14a-8 of the Securities Exchange Act of 1934, or the Exchange Act. To be eligible for inclusion, we must receive your shareholder proposal for our proxy statement for the 2021 annual meeting of shareholders at our principal corporate offices in Norwood, Massachusetts at the address below no later than September 26, 2020.</w:t>
      </w:r>
    </w:p>
    <w:p>
      <w:pPr>
        <w:spacing w:after="0" w:line="99" w:lineRule="exact"/>
        <w:rPr>
          <w:rFonts w:ascii="Arial" w:cs="Arial" w:eastAsia="Arial" w:hAnsi="Arial"/>
          <w:sz w:val="18"/>
          <w:szCs w:val="18"/>
          <w:color w:val="auto"/>
        </w:rPr>
      </w:pPr>
    </w:p>
    <w:p>
      <w:pPr>
        <w:ind w:left="360"/>
        <w:spacing w:after="0" w:line="235" w:lineRule="auto"/>
        <w:rPr>
          <w:rFonts w:ascii="Arial" w:cs="Arial" w:eastAsia="Arial" w:hAnsi="Arial"/>
          <w:sz w:val="18"/>
          <w:szCs w:val="18"/>
          <w:color w:val="auto"/>
        </w:rPr>
      </w:pPr>
      <w:r>
        <w:rPr>
          <w:rFonts w:ascii="Arial" w:cs="Arial" w:eastAsia="Arial" w:hAnsi="Arial"/>
          <w:sz w:val="18"/>
          <w:szCs w:val="18"/>
          <w:color w:val="auto"/>
        </w:rPr>
        <w:t>Shareholder director nominations for inclusion in proxy statement: The Board of Directors has implemented a proxy access provision in our bylaws, which allows a shareholder or group of up to 20 shareholders owning in aggregate 3% or more of our outstanding shares of common stock continuously for at least three years to nominate and include in our proxy materials director nominees constituting up to 20% of the number of directors in office or two nominees, whichever is greater, provided the shareholder(s) and nominee(s) satisfy the requirements in the bylaws. If a shareholder or group of shareholders wishes to nominate one or more director candidates to be included in our proxy statement pursuant to these proxy access provisions in Article I, Section 1.9(c) of our bylaws, the Secretary must receive advance written notice at the address noted below not less than 120 days nor more than 150 days before the first anniversary of the preceding year’s annual meeting. However, if the date of our annual meeting is advanced by more than 20 days, or delayed by more than 60 days, from the anniversary date, or if no</w:t>
      </w:r>
    </w:p>
    <w:p>
      <w:pPr>
        <w:sectPr>
          <w:pgSz w:w="11900" w:h="16838" w:orient="portrait"/>
          <w:cols w:equalWidth="0" w:num="2">
            <w:col w:w="5480" w:space="340"/>
            <w:col w:w="5380"/>
          </w:cols>
          <w:pgMar w:left="240" w:top="459" w:right="459" w:bottom="1440" w:gutter="0" w:footer="0" w:header="0"/>
        </w:sectPr>
      </w:pPr>
    </w:p>
    <w:bookmarkStart w:id="17" w:name="page18"/>
    <w:bookmarkEnd w:id="1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220345</wp:posOffset>
            </wp:positionV>
            <wp:extent cx="2649855"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60"/>
        <w:spacing w:after="0" w:line="251" w:lineRule="auto"/>
        <w:rPr>
          <w:sz w:val="20"/>
          <w:szCs w:val="20"/>
          <w:color w:val="auto"/>
        </w:rPr>
      </w:pPr>
      <w:r>
        <w:rPr>
          <w:rFonts w:ascii="Arial" w:cs="Arial" w:eastAsia="Arial" w:hAnsi="Arial"/>
          <w:sz w:val="17"/>
          <w:szCs w:val="17"/>
          <w:color w:val="auto"/>
        </w:rPr>
        <w:t>annual meeting was held in the preceding year, then we must receive such notice at the address noted below not earlier than the 150th day before such annual meeting and not later than the close of business on the later of (1) the 120th day prior to such annual meeting and (2) the seventh day after the day on which notice of the meeting date was mailed or public disclosure was made, whichever occurs first. Assuming that the 2021 annual meeting is not advanced by more than 20 days nor delayed by more than 60 days from the anniversary date of the 2021 annual meeting, you would need to give us appropriate notice at the address noted below no earlier than October 12, 2020, and no later than November 11, 2020.</w:t>
      </w:r>
    </w:p>
    <w:p>
      <w:pPr>
        <w:spacing w:after="0" w:line="86" w:lineRule="exact"/>
        <w:rPr>
          <w:sz w:val="20"/>
          <w:szCs w:val="20"/>
          <w:color w:val="auto"/>
        </w:rPr>
      </w:pPr>
    </w:p>
    <w:p>
      <w:pPr>
        <w:ind w:left="560" w:right="20"/>
        <w:spacing w:after="0" w:line="235" w:lineRule="auto"/>
        <w:rPr>
          <w:sz w:val="20"/>
          <w:szCs w:val="20"/>
          <w:color w:val="auto"/>
        </w:rPr>
      </w:pPr>
      <w:r>
        <w:rPr>
          <w:rFonts w:ascii="Arial" w:cs="Arial" w:eastAsia="Arial" w:hAnsi="Arial"/>
          <w:sz w:val="18"/>
          <w:szCs w:val="18"/>
          <w:color w:val="auto"/>
        </w:rPr>
        <w:t>Shareholder director nominations not included in proxy statement: In addition, our bylaws require that we be given advance written notice for nominations for election to our Board of Directors and other matters that shareholders wish to present for action at an annual meeting other than those to be included in our proxy statement under Rule 14a-8. The Secretary must receive such notice at the address noted below not less than 90 days or more than 120 days before the first anniversary of the preceding year’s annual meeting. However, if the date of our annual meeting is advanced by more than 20 days, or delayed by more than 60 days, from the anniversary date, then we must receive such notice at the address noted below not earlier than the 120th day before such annual meeting and not later than the close of business on the later of (1) the 90th day before such annual meeting and (2) the seventh day after the day on which notice of the meeting date was mailed or public disclosure was made, whichever occurs first. Assuming that the 2021 annual meeting is not advanced by more than 20 days nor delayed by more than 60 days from the anniversary date of the 2020 annual meeting, you would need to give us appropriate notice at the address noted below no earlier than November 11, 2020, and no later than December 11, 2020. If a shareholder does not provide timely notice of a nomination or other matter to be presented at the 2021 annual meeting, under Massachusetts law, it may not be brought before our shareholders at a meeting.</w:t>
      </w:r>
    </w:p>
    <w:p>
      <w:pPr>
        <w:spacing w:after="0" w:line="106" w:lineRule="exact"/>
        <w:rPr>
          <w:sz w:val="20"/>
          <w:szCs w:val="20"/>
          <w:color w:val="auto"/>
        </w:rPr>
      </w:pPr>
    </w:p>
    <w:p>
      <w:pPr>
        <w:ind w:left="560" w:right="100"/>
        <w:spacing w:after="0" w:line="239" w:lineRule="auto"/>
        <w:rPr>
          <w:sz w:val="20"/>
          <w:szCs w:val="20"/>
          <w:color w:val="auto"/>
        </w:rPr>
      </w:pPr>
      <w:r>
        <w:rPr>
          <w:rFonts w:ascii="Arial" w:cs="Arial" w:eastAsia="Arial" w:hAnsi="Arial"/>
          <w:sz w:val="18"/>
          <w:szCs w:val="18"/>
          <w:color w:val="auto"/>
        </w:rPr>
        <w:t>Our bylaws also specify requirements relating to the content of the notice that shareholders must provide to the Secretary of Analog Devices for any matter, including a shareholder proposal or nomination for director, to be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left="360" w:right="60"/>
        <w:spacing w:after="0"/>
        <w:rPr>
          <w:sz w:val="20"/>
          <w:szCs w:val="20"/>
          <w:color w:val="auto"/>
        </w:rPr>
      </w:pPr>
      <w:r>
        <w:rPr>
          <w:rFonts w:ascii="Arial" w:cs="Arial" w:eastAsia="Arial" w:hAnsi="Arial"/>
          <w:sz w:val="18"/>
          <w:szCs w:val="18"/>
          <w:color w:val="auto"/>
        </w:rPr>
        <w:t>properly presented at a shareholder meeting. A copy of the full text of our bylaws is on file with the SEC and publicly available on our website.</w:t>
      </w:r>
    </w:p>
    <w:p>
      <w:pPr>
        <w:spacing w:after="0" w:line="9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Any proposals, nominations or notices should be sent to:</w:t>
      </w:r>
    </w:p>
    <w:p>
      <w:pPr>
        <w:spacing w:after="0" w:line="9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Larry Weiss, Secretary</w:t>
      </w:r>
    </w:p>
    <w:p>
      <w:pPr>
        <w:ind w:left="720"/>
        <w:spacing w:after="0" w:line="234" w:lineRule="auto"/>
        <w:rPr>
          <w:sz w:val="20"/>
          <w:szCs w:val="20"/>
          <w:color w:val="auto"/>
        </w:rPr>
      </w:pPr>
      <w:r>
        <w:rPr>
          <w:rFonts w:ascii="Arial" w:cs="Arial" w:eastAsia="Arial" w:hAnsi="Arial"/>
          <w:sz w:val="18"/>
          <w:szCs w:val="18"/>
          <w:color w:val="auto"/>
        </w:rPr>
        <w:t>Analog Devices, Inc.</w:t>
      </w:r>
    </w:p>
    <w:p>
      <w:pPr>
        <w:ind w:left="720"/>
        <w:spacing w:after="0" w:line="235" w:lineRule="auto"/>
        <w:rPr>
          <w:sz w:val="20"/>
          <w:szCs w:val="20"/>
          <w:color w:val="auto"/>
        </w:rPr>
      </w:pPr>
      <w:r>
        <w:rPr>
          <w:rFonts w:ascii="Arial" w:cs="Arial" w:eastAsia="Arial" w:hAnsi="Arial"/>
          <w:sz w:val="18"/>
          <w:szCs w:val="18"/>
          <w:color w:val="auto"/>
        </w:rPr>
        <w:t>One Technology Way</w:t>
      </w:r>
    </w:p>
    <w:p>
      <w:pPr>
        <w:ind w:left="720"/>
        <w:spacing w:after="0" w:line="235" w:lineRule="auto"/>
        <w:rPr>
          <w:sz w:val="20"/>
          <w:szCs w:val="20"/>
          <w:color w:val="auto"/>
        </w:rPr>
      </w:pPr>
      <w:r>
        <w:rPr>
          <w:rFonts w:ascii="Arial" w:cs="Arial" w:eastAsia="Arial" w:hAnsi="Arial"/>
          <w:sz w:val="18"/>
          <w:szCs w:val="18"/>
          <w:color w:val="auto"/>
        </w:rPr>
        <w:t>Norwood, Massachusetts 02062</w:t>
      </w:r>
    </w:p>
    <w:p>
      <w:pPr>
        <w:ind w:left="720"/>
        <w:spacing w:after="0" w:line="235" w:lineRule="auto"/>
        <w:rPr>
          <w:sz w:val="20"/>
          <w:szCs w:val="20"/>
          <w:color w:val="auto"/>
        </w:rPr>
      </w:pPr>
      <w:r>
        <w:rPr>
          <w:rFonts w:ascii="Arial" w:cs="Arial" w:eastAsia="Arial" w:hAnsi="Arial"/>
          <w:sz w:val="18"/>
          <w:szCs w:val="18"/>
          <w:color w:val="auto"/>
        </w:rPr>
        <w:t>Phone: 781-461-3816</w:t>
      </w:r>
    </w:p>
    <w:p>
      <w:pPr>
        <w:ind w:left="720"/>
        <w:spacing w:after="0"/>
        <w:rPr>
          <w:sz w:val="20"/>
          <w:szCs w:val="20"/>
          <w:color w:val="auto"/>
        </w:rPr>
      </w:pPr>
      <w:r>
        <w:rPr>
          <w:rFonts w:ascii="Arial" w:cs="Arial" w:eastAsia="Arial" w:hAnsi="Arial"/>
          <w:sz w:val="18"/>
          <w:szCs w:val="18"/>
          <w:color w:val="auto"/>
        </w:rPr>
        <w:t>Email: larry.weiss@analog.com</w:t>
      </w:r>
    </w:p>
    <w:p>
      <w:pPr>
        <w:spacing w:after="0" w:line="95" w:lineRule="exact"/>
        <w:rPr>
          <w:sz w:val="20"/>
          <w:szCs w:val="20"/>
          <w:color w:val="auto"/>
        </w:rPr>
      </w:pPr>
    </w:p>
    <w:p>
      <w:pPr>
        <w:ind w:left="360" w:right="40" w:hanging="351"/>
        <w:spacing w:after="0" w:line="271" w:lineRule="auto"/>
        <w:tabs>
          <w:tab w:leader="none" w:pos="360" w:val="left"/>
        </w:tabs>
        <w:numPr>
          <w:ilvl w:val="0"/>
          <w:numId w:val="38"/>
        </w:numPr>
        <w:rPr>
          <w:rFonts w:ascii="Arial" w:cs="Arial" w:eastAsia="Arial" w:hAnsi="Arial"/>
          <w:sz w:val="18"/>
          <w:szCs w:val="18"/>
          <w:b w:val="1"/>
          <w:bCs w:val="1"/>
          <w:color w:val="052B82"/>
        </w:rPr>
      </w:pPr>
      <w:r>
        <w:rPr>
          <w:rFonts w:ascii="Arial" w:cs="Arial" w:eastAsia="Arial" w:hAnsi="Arial"/>
          <w:sz w:val="18"/>
          <w:szCs w:val="18"/>
          <w:b w:val="1"/>
          <w:bCs w:val="1"/>
          <w:color w:val="052B82"/>
        </w:rPr>
        <w:t>What are the costs of soliciting these proxies and who will pay?</w:t>
      </w:r>
    </w:p>
    <w:p>
      <w:pPr>
        <w:spacing w:after="0" w:line="81" w:lineRule="exact"/>
        <w:rPr>
          <w:sz w:val="20"/>
          <w:szCs w:val="20"/>
          <w:color w:val="auto"/>
        </w:rPr>
      </w:pPr>
    </w:p>
    <w:p>
      <w:pPr>
        <w:ind w:left="360" w:hanging="351"/>
        <w:spacing w:after="0" w:line="236" w:lineRule="auto"/>
        <w:tabs>
          <w:tab w:leader="none" w:pos="3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will bear the costs of solicitation of proxies. We have engaged Alliance Advisors LLC to assist us with the solicitation of proxies and expect to pay Alliance Advisors approximately $12,000 for their services. In addition to solicitations by mail, Alliance Advisors and our directors, officers and regular employees may solicit proxies by telephone, email and personal interviews without additional remuneration. We will request brokers, custodians and fiduciaries to forward proxy soliciting material to the owners of shares of our common stock that they hold in their names. We will reimburse banks and brokers for their reasonable out-of-pocket expenses incurred in connection with the distribution of our proxy materials.</w:t>
      </w:r>
    </w:p>
    <w:p>
      <w:pPr>
        <w:spacing w:after="0" w:line="88" w:lineRule="exact"/>
        <w:rPr>
          <w:sz w:val="20"/>
          <w:szCs w:val="20"/>
          <w:color w:val="auto"/>
        </w:rPr>
      </w:pPr>
    </w:p>
    <w:p>
      <w:pPr>
        <w:ind w:left="360" w:right="20" w:hanging="351"/>
        <w:spacing w:after="0" w:line="271" w:lineRule="auto"/>
        <w:tabs>
          <w:tab w:leader="none" w:pos="360" w:val="left"/>
        </w:tabs>
        <w:numPr>
          <w:ilvl w:val="0"/>
          <w:numId w:val="40"/>
        </w:numPr>
        <w:rPr>
          <w:rFonts w:ascii="Arial" w:cs="Arial" w:eastAsia="Arial" w:hAnsi="Arial"/>
          <w:sz w:val="18"/>
          <w:szCs w:val="18"/>
          <w:b w:val="1"/>
          <w:bCs w:val="1"/>
          <w:color w:val="052B82"/>
        </w:rPr>
      </w:pPr>
      <w:r>
        <w:rPr>
          <w:rFonts w:ascii="Arial" w:cs="Arial" w:eastAsia="Arial" w:hAnsi="Arial"/>
          <w:sz w:val="18"/>
          <w:szCs w:val="18"/>
          <w:b w:val="1"/>
          <w:bCs w:val="1"/>
          <w:color w:val="052B82"/>
        </w:rPr>
        <w:t>Why did I receive a “Notice of Internet Availability of Proxy Materials” but no proxy materials?</w:t>
      </w:r>
    </w:p>
    <w:p>
      <w:pPr>
        <w:spacing w:after="0" w:line="81" w:lineRule="exact"/>
        <w:rPr>
          <w:sz w:val="20"/>
          <w:szCs w:val="20"/>
          <w:color w:val="auto"/>
        </w:rPr>
      </w:pPr>
    </w:p>
    <w:p>
      <w:pPr>
        <w:ind w:left="360" w:right="60" w:hanging="351"/>
        <w:spacing w:after="0" w:line="236" w:lineRule="auto"/>
        <w:tabs>
          <w:tab w:leader="none" w:pos="3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are distributing our proxy materials to stockholders via the Internet under the “Notice and Access” approach permitted by the rules of the U.S. Securities and Exchange Commission, or SEC. This approach expedites stockholders’ receipt of proxy materials while conserving natural resources and reducing our distribution costs. On or about January 24, 2020, we mailed a Notice of Internet Availability of Proxy Materials containing instructions on how to access the proxy materials on the Internet to participating stockholders, and if desired, to request to receive a paper copy of our proxy materials by mail.</w:t>
      </w:r>
    </w:p>
    <w:p>
      <w:pPr>
        <w:spacing w:after="0" w:line="90"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052B82"/>
        </w:rPr>
        <w:t>Q:</w:t>
      </w:r>
      <w:r>
        <w:rPr>
          <w:sz w:val="20"/>
          <w:szCs w:val="20"/>
          <w:color w:val="auto"/>
        </w:rPr>
        <w:tab/>
      </w:r>
      <w:r>
        <w:rPr>
          <w:rFonts w:ascii="Arial" w:cs="Arial" w:eastAsia="Arial" w:hAnsi="Arial"/>
          <w:sz w:val="17"/>
          <w:szCs w:val="17"/>
          <w:b w:val="1"/>
          <w:bCs w:val="1"/>
          <w:color w:val="052B82"/>
        </w:rPr>
        <w:t>How can I obtain an Annual Report on Form 10-K?</w:t>
      </w:r>
    </w:p>
    <w:p>
      <w:pPr>
        <w:spacing w:after="0" w:line="139" w:lineRule="exact"/>
        <w:rPr>
          <w:sz w:val="20"/>
          <w:szCs w:val="20"/>
          <w:color w:val="auto"/>
        </w:rPr>
      </w:pPr>
    </w:p>
    <w:p>
      <w:pPr>
        <w:ind w:left="360" w:right="160" w:hanging="351"/>
        <w:spacing w:after="0" w:line="239" w:lineRule="auto"/>
        <w:tabs>
          <w:tab w:leader="none" w:pos="3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November 2, 2019, or fiscal 2019, is available on our website at www.analog.com. If you would like a copy of our Annual Report on</w:t>
      </w:r>
    </w:p>
    <w:p>
      <w:pPr>
        <w:spacing w:after="0" w:line="28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4"/>
          <w:szCs w:val="14"/>
          <w:b w:val="1"/>
          <w:bCs w:val="1"/>
          <w:color w:val="052B82"/>
        </w:rPr>
        <w:t>2020 Proxy Statement</w:t>
      </w:r>
      <w:r>
        <w:rPr>
          <w:sz w:val="20"/>
          <w:szCs w:val="20"/>
          <w:color w:val="auto"/>
        </w:rPr>
        <w:tab/>
      </w:r>
      <w:r>
        <w:rPr>
          <w:rFonts w:ascii="Arial" w:cs="Arial" w:eastAsia="Arial" w:hAnsi="Arial"/>
          <w:sz w:val="17"/>
          <w:szCs w:val="17"/>
          <w:color w:val="999999"/>
        </w:rPr>
        <w:t>13</w:t>
      </w:r>
    </w:p>
    <w:p>
      <w:pPr>
        <w:sectPr>
          <w:pgSz w:w="11900" w:h="16838" w:orient="portrait"/>
          <w:cols w:equalWidth="0" w:num="2">
            <w:col w:w="5480" w:space="340"/>
            <w:col w:w="5400"/>
          </w:cols>
          <w:pgMar w:left="240" w:top="459" w:right="4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2649855"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60"/>
        <w:spacing w:after="0" w:line="275" w:lineRule="auto"/>
        <w:rPr>
          <w:sz w:val="20"/>
          <w:szCs w:val="20"/>
          <w:color w:val="auto"/>
        </w:rPr>
      </w:pPr>
      <w:r>
        <w:rPr>
          <w:rFonts w:ascii="Arial" w:cs="Arial" w:eastAsia="Arial" w:hAnsi="Arial"/>
          <w:sz w:val="17"/>
          <w:szCs w:val="17"/>
          <w:color w:val="auto"/>
        </w:rPr>
        <w:t>Form 10-K for fiscal 2019 and/or any of its exhibits, we will send you such materials without charge. Please contact:</w:t>
      </w:r>
    </w:p>
    <w:p>
      <w:pPr>
        <w:spacing w:after="0" w:line="6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Investor Relations Department</w:t>
      </w:r>
    </w:p>
    <w:p>
      <w:pPr>
        <w:ind w:left="920"/>
        <w:spacing w:after="0" w:line="234" w:lineRule="auto"/>
        <w:rPr>
          <w:sz w:val="20"/>
          <w:szCs w:val="20"/>
          <w:color w:val="auto"/>
        </w:rPr>
      </w:pPr>
      <w:r>
        <w:rPr>
          <w:rFonts w:ascii="Arial" w:cs="Arial" w:eastAsia="Arial" w:hAnsi="Arial"/>
          <w:sz w:val="18"/>
          <w:szCs w:val="18"/>
          <w:color w:val="auto"/>
        </w:rPr>
        <w:t>Analog Devices, Inc.</w:t>
      </w:r>
    </w:p>
    <w:p>
      <w:pPr>
        <w:ind w:left="920"/>
        <w:spacing w:after="0" w:line="235" w:lineRule="auto"/>
        <w:rPr>
          <w:sz w:val="20"/>
          <w:szCs w:val="20"/>
          <w:color w:val="auto"/>
        </w:rPr>
      </w:pPr>
      <w:r>
        <w:rPr>
          <w:rFonts w:ascii="Arial" w:cs="Arial" w:eastAsia="Arial" w:hAnsi="Arial"/>
          <w:sz w:val="18"/>
          <w:szCs w:val="18"/>
          <w:color w:val="auto"/>
        </w:rPr>
        <w:t>One Technology Way</w:t>
      </w:r>
    </w:p>
    <w:p>
      <w:pPr>
        <w:ind w:left="920"/>
        <w:spacing w:after="0" w:line="235" w:lineRule="auto"/>
        <w:rPr>
          <w:sz w:val="20"/>
          <w:szCs w:val="20"/>
          <w:color w:val="auto"/>
        </w:rPr>
      </w:pPr>
      <w:r>
        <w:rPr>
          <w:rFonts w:ascii="Arial" w:cs="Arial" w:eastAsia="Arial" w:hAnsi="Arial"/>
          <w:sz w:val="18"/>
          <w:szCs w:val="18"/>
          <w:color w:val="auto"/>
        </w:rPr>
        <w:t>Norwood, Massachusetts 02062</w:t>
      </w:r>
    </w:p>
    <w:p>
      <w:pPr>
        <w:ind w:left="920"/>
        <w:spacing w:after="0" w:line="235" w:lineRule="auto"/>
        <w:rPr>
          <w:sz w:val="20"/>
          <w:szCs w:val="20"/>
          <w:color w:val="auto"/>
        </w:rPr>
      </w:pPr>
      <w:r>
        <w:rPr>
          <w:rFonts w:ascii="Arial" w:cs="Arial" w:eastAsia="Arial" w:hAnsi="Arial"/>
          <w:sz w:val="18"/>
          <w:szCs w:val="18"/>
          <w:color w:val="auto"/>
        </w:rPr>
        <w:t>Phone: 781-461-3282</w:t>
      </w:r>
    </w:p>
    <w:p>
      <w:pPr>
        <w:ind w:left="920"/>
        <w:spacing w:after="0"/>
        <w:rPr>
          <w:sz w:val="20"/>
          <w:szCs w:val="20"/>
          <w:color w:val="auto"/>
        </w:rPr>
      </w:pPr>
      <w:r>
        <w:rPr>
          <w:rFonts w:ascii="Arial" w:cs="Arial" w:eastAsia="Arial" w:hAnsi="Arial"/>
          <w:sz w:val="18"/>
          <w:szCs w:val="18"/>
          <w:color w:val="auto"/>
        </w:rPr>
        <w:t>Email: investor.relations@analog.com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052B82"/>
        </w:rPr>
        <w:t>Q:</w:t>
        <w:tab/>
        <w:t>Whom should I contact if I have any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-922655</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19" w:lineRule="exact"/>
        <w:rPr>
          <w:sz w:val="20"/>
          <w:szCs w:val="20"/>
          <w:color w:val="auto"/>
        </w:rPr>
      </w:pPr>
    </w:p>
    <w:p>
      <w:pPr>
        <w:jc w:val="both"/>
        <w:ind w:left="360" w:right="200" w:hanging="356"/>
        <w:spacing w:after="0" w:line="239" w:lineRule="auto"/>
        <w:tabs>
          <w:tab w:leader="none" w:pos="3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you have any questions about the Annual Meeting or your ownership of our common stock, please contact our Investor Relations Department, at the address, telephone number or email address listed above.</w:t>
      </w:r>
    </w:p>
    <w:p>
      <w:pPr>
        <w:spacing w:after="0" w:line="784" w:lineRule="exact"/>
        <w:rPr>
          <w:sz w:val="20"/>
          <w:szCs w:val="20"/>
          <w:color w:val="auto"/>
        </w:rPr>
      </w:pPr>
    </w:p>
    <w:p>
      <w:pPr>
        <w:sectPr>
          <w:pgSz w:w="11900" w:h="16838" w:orient="portrait"/>
          <w:cols w:equalWidth="0" w:num="2">
            <w:col w:w="5200" w:space="620"/>
            <w:col w:w="5380"/>
          </w:cols>
          <w:pgMar w:left="240" w:top="459" w:right="459" w:bottom="1440" w:gutter="0" w:footer="0" w:header="0"/>
        </w:sectPr>
      </w:pPr>
    </w:p>
    <w:p>
      <w:pPr>
        <w:spacing w:after="0" w:line="313" w:lineRule="exact"/>
        <w:rPr>
          <w:sz w:val="20"/>
          <w:szCs w:val="20"/>
          <w:color w:val="auto"/>
        </w:rPr>
      </w:pPr>
    </w:p>
    <w:p>
      <w:pPr>
        <w:ind w:left="200"/>
        <w:spacing w:after="0"/>
        <w:rPr>
          <w:sz w:val="20"/>
          <w:szCs w:val="20"/>
          <w:color w:val="auto"/>
        </w:rPr>
      </w:pPr>
      <w:r>
        <w:rPr>
          <w:rFonts w:ascii="Arial" w:cs="Arial" w:eastAsia="Arial" w:hAnsi="Arial"/>
          <w:sz w:val="32"/>
          <w:szCs w:val="32"/>
          <w:color w:val="052B82"/>
        </w:rPr>
        <w:t>HOUSEHOLDING OF ANNUAL MEETING MATERIALS</w:t>
      </w:r>
    </w:p>
    <w:p>
      <w:pPr>
        <w:spacing w:after="0" w:line="222"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Some banks, brokers and other nominee record holders may be participating in the practice of “householding” proxy statements and annual reports. This means that only one copy of our proxy statement and annual report to shareholders may have been sent to multiple shareholders in your household unless we have received contrary instructions from one or more shareholders. We will promptly deliver a separate copy of either document to you if you contact us at the following address, telephone number or email address: Investor Relations Department, Analog Devices, Inc., One Technology Way, Norwood, Massachusetts 02062, telephone: 781-461-3282, email: investor.relations@analog.com. If you want to receive separate copies of the proxy statement or annual report to shareholders in the future, or if you are receiving multiple copies and would like to receive only one copy per household, you should contact your bank, broker, or other nominee record holder, or you may contact us at the above address, telephone number or email address.</w:t>
      </w:r>
    </w:p>
    <w:p>
      <w:pPr>
        <w:spacing w:after="0" w:line="139" w:lineRule="exact"/>
        <w:rPr>
          <w:sz w:val="20"/>
          <w:szCs w:val="20"/>
          <w:color w:val="auto"/>
        </w:rPr>
      </w:pPr>
    </w:p>
    <w:p>
      <w:pPr>
        <w:ind w:left="600" w:hanging="396"/>
        <w:spacing w:after="0"/>
        <w:tabs>
          <w:tab w:leader="none" w:pos="600" w:val="left"/>
        </w:tabs>
        <w:numPr>
          <w:ilvl w:val="0"/>
          <w:numId w:val="44"/>
        </w:numPr>
        <w:rPr>
          <w:rFonts w:ascii="Arial" w:cs="Arial" w:eastAsia="Arial" w:hAnsi="Arial"/>
          <w:sz w:val="18"/>
          <w:szCs w:val="18"/>
          <w:color w:val="999999"/>
        </w:rPr>
      </w:pPr>
      <w:r>
        <w:rPr>
          <w:rFonts w:ascii="Arial" w:cs="Arial" w:eastAsia="Arial" w:hAnsi="Arial"/>
          <w:sz w:val="14"/>
          <w:szCs w:val="14"/>
          <w:b w:val="1"/>
          <w:bCs w:val="1"/>
          <w:color w:val="052B82"/>
        </w:rPr>
        <w:t>Analog Devices, Inc.</w:t>
      </w:r>
    </w:p>
    <w:p>
      <w:pPr>
        <w:sectPr>
          <w:pgSz w:w="11900" w:h="16838" w:orient="portrait"/>
          <w:cols w:equalWidth="0" w:num="1">
            <w:col w:w="11200"/>
          </w:cols>
          <w:pgMar w:left="240" w:top="459" w:right="45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205740</wp:posOffset>
            </wp:positionV>
            <wp:extent cx="2649855"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0" w:right="980"/>
        <w:spacing w:after="0" w:line="260" w:lineRule="auto"/>
        <w:rPr>
          <w:sz w:val="20"/>
          <w:szCs w:val="20"/>
          <w:color w:val="auto"/>
        </w:rPr>
      </w:pPr>
      <w:r>
        <w:rPr>
          <w:rFonts w:ascii="Arial" w:cs="Arial" w:eastAsia="Arial" w:hAnsi="Arial"/>
          <w:sz w:val="32"/>
          <w:szCs w:val="32"/>
          <w:color w:val="052B82"/>
        </w:rPr>
        <w:t>SECURITY OWNERSHIP OF CERTAIN BENEFICIAL OWNERS AND MANAGEMENT</w:t>
      </w:r>
    </w:p>
    <w:p>
      <w:pPr>
        <w:spacing w:after="0" w:line="170" w:lineRule="exact"/>
        <w:rPr>
          <w:sz w:val="20"/>
          <w:szCs w:val="20"/>
          <w:color w:val="auto"/>
        </w:rPr>
      </w:pPr>
    </w:p>
    <w:p>
      <w:pPr>
        <w:ind w:left="200" w:right="500" w:firstLine="441"/>
        <w:spacing w:after="0" w:line="246" w:lineRule="auto"/>
        <w:rPr>
          <w:sz w:val="20"/>
          <w:szCs w:val="20"/>
          <w:color w:val="auto"/>
        </w:rPr>
      </w:pPr>
      <w:r>
        <w:rPr>
          <w:rFonts w:ascii="Arial" w:cs="Arial" w:eastAsia="Arial" w:hAnsi="Arial"/>
          <w:sz w:val="18"/>
          <w:szCs w:val="18"/>
          <w:color w:val="auto"/>
        </w:rPr>
        <w:t>The following table contains information regarding the beneficial ownership of our common stock as of January 3, 2020 (unless otherwise specified) by:</w:t>
      </w:r>
    </w:p>
    <w:p>
      <w:pPr>
        <w:spacing w:after="0" w:line="102" w:lineRule="exact"/>
        <w:rPr>
          <w:sz w:val="20"/>
          <w:szCs w:val="20"/>
          <w:color w:val="auto"/>
        </w:rPr>
      </w:pPr>
    </w:p>
    <w:p>
      <w:pPr>
        <w:ind w:left="1180" w:hanging="436"/>
        <w:spacing w:after="0"/>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shareholders we know to beneficially own more than 5% of our outstanding common stock;</w:t>
      </w:r>
    </w:p>
    <w:p>
      <w:pPr>
        <w:spacing w:after="0" w:line="117" w:lineRule="exact"/>
        <w:rPr>
          <w:rFonts w:ascii="Arial" w:cs="Arial" w:eastAsia="Arial" w:hAnsi="Arial"/>
          <w:sz w:val="18"/>
          <w:szCs w:val="18"/>
          <w:color w:val="auto"/>
        </w:rPr>
      </w:pPr>
    </w:p>
    <w:p>
      <w:pPr>
        <w:ind w:left="1180" w:hanging="436"/>
        <w:spacing w:after="0"/>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each director named in this proxy statement;</w:t>
      </w:r>
    </w:p>
    <w:p>
      <w:pPr>
        <w:spacing w:after="0" w:line="117" w:lineRule="exact"/>
        <w:rPr>
          <w:rFonts w:ascii="Arial" w:cs="Arial" w:eastAsia="Arial" w:hAnsi="Arial"/>
          <w:sz w:val="18"/>
          <w:szCs w:val="18"/>
          <w:color w:val="auto"/>
        </w:rPr>
      </w:pPr>
    </w:p>
    <w:p>
      <w:pPr>
        <w:ind w:left="1180" w:hanging="436"/>
        <w:spacing w:after="0"/>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each executive officer named in the Summary Compensation Table included in this proxy statement; and</w:t>
      </w:r>
    </w:p>
    <w:p>
      <w:pPr>
        <w:spacing w:after="0" w:line="117" w:lineRule="exact"/>
        <w:rPr>
          <w:rFonts w:ascii="Arial" w:cs="Arial" w:eastAsia="Arial" w:hAnsi="Arial"/>
          <w:sz w:val="18"/>
          <w:szCs w:val="18"/>
          <w:color w:val="auto"/>
        </w:rPr>
      </w:pPr>
    </w:p>
    <w:p>
      <w:pPr>
        <w:ind w:left="1180" w:hanging="436"/>
        <w:spacing w:after="0"/>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240"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00" w:type="dxa"/>
            <w:vAlign w:val="bottom"/>
            <w:shd w:val="clear" w:color="auto" w:fill="052B82"/>
          </w:tcPr>
          <w:p>
            <w:pPr>
              <w:spacing w:after="0"/>
              <w:rPr>
                <w:sz w:val="18"/>
                <w:szCs w:val="18"/>
                <w:color w:val="auto"/>
              </w:rPr>
            </w:pPr>
          </w:p>
        </w:tc>
        <w:tc>
          <w:tcPr>
            <w:tcW w:w="1420" w:type="dxa"/>
            <w:vAlign w:val="bottom"/>
            <w:shd w:val="clear" w:color="auto" w:fill="052B82"/>
          </w:tcPr>
          <w:p>
            <w:pPr>
              <w:spacing w:after="0"/>
              <w:rPr>
                <w:sz w:val="18"/>
                <w:szCs w:val="18"/>
                <w:color w:val="auto"/>
              </w:rPr>
            </w:pPr>
          </w:p>
        </w:tc>
        <w:tc>
          <w:tcPr>
            <w:tcW w:w="1140" w:type="dxa"/>
            <w:vAlign w:val="bottom"/>
            <w:shd w:val="clear" w:color="auto" w:fill="052B82"/>
          </w:tcPr>
          <w:p>
            <w:pPr>
              <w:spacing w:after="0"/>
              <w:rPr>
                <w:sz w:val="18"/>
                <w:szCs w:val="18"/>
                <w:color w:val="auto"/>
              </w:rPr>
            </w:pPr>
          </w:p>
        </w:tc>
        <w:tc>
          <w:tcPr>
            <w:tcW w:w="1320" w:type="dxa"/>
            <w:vAlign w:val="bottom"/>
            <w:shd w:val="clear" w:color="auto" w:fill="052B82"/>
          </w:tcPr>
          <w:p>
            <w:pPr>
              <w:spacing w:after="0"/>
              <w:rPr>
                <w:sz w:val="18"/>
                <w:szCs w:val="18"/>
                <w:color w:val="auto"/>
              </w:rPr>
            </w:pPr>
          </w:p>
        </w:tc>
        <w:tc>
          <w:tcPr>
            <w:tcW w:w="1340" w:type="dxa"/>
            <w:vAlign w:val="bottom"/>
            <w:shd w:val="clear" w:color="auto" w:fill="052B82"/>
          </w:tcPr>
          <w:p>
            <w:pPr>
              <w:jc w:val="center"/>
              <w:ind w:right="13"/>
              <w:spacing w:after="0"/>
              <w:rPr>
                <w:sz w:val="20"/>
                <w:szCs w:val="20"/>
                <w:color w:val="auto"/>
              </w:rPr>
            </w:pPr>
            <w:r>
              <w:rPr>
                <w:rFonts w:ascii="Arial" w:cs="Arial" w:eastAsia="Arial" w:hAnsi="Arial"/>
                <w:sz w:val="14"/>
                <w:szCs w:val="14"/>
                <w:b w:val="1"/>
                <w:bCs w:val="1"/>
                <w:color w:val="FFFFFF"/>
              </w:rPr>
              <w:t>Percent of</w:t>
            </w:r>
          </w:p>
        </w:tc>
      </w:tr>
      <w:tr>
        <w:trPr>
          <w:trHeight w:val="162"/>
        </w:trPr>
        <w:tc>
          <w:tcPr>
            <w:tcW w:w="20" w:type="dxa"/>
            <w:vAlign w:val="bottom"/>
          </w:tcPr>
          <w:p>
            <w:pPr>
              <w:spacing w:after="0"/>
              <w:rPr>
                <w:sz w:val="14"/>
                <w:szCs w:val="14"/>
                <w:color w:val="auto"/>
              </w:rPr>
            </w:pPr>
          </w:p>
        </w:tc>
        <w:tc>
          <w:tcPr>
            <w:tcW w:w="5800" w:type="dxa"/>
            <w:vAlign w:val="bottom"/>
            <w:shd w:val="clear" w:color="auto" w:fill="052B82"/>
          </w:tcPr>
          <w:p>
            <w:pPr>
              <w:spacing w:after="0"/>
              <w:rPr>
                <w:sz w:val="14"/>
                <w:szCs w:val="14"/>
                <w:color w:val="auto"/>
              </w:rPr>
            </w:pPr>
          </w:p>
        </w:tc>
        <w:tc>
          <w:tcPr>
            <w:tcW w:w="1420" w:type="dxa"/>
            <w:vAlign w:val="bottom"/>
            <w:shd w:val="clear" w:color="auto" w:fill="052B82"/>
          </w:tcPr>
          <w:p>
            <w:pPr>
              <w:spacing w:after="0"/>
              <w:rPr>
                <w:sz w:val="14"/>
                <w:szCs w:val="14"/>
                <w:color w:val="auto"/>
              </w:rPr>
            </w:pPr>
          </w:p>
        </w:tc>
        <w:tc>
          <w:tcPr>
            <w:tcW w:w="114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Shares</w:t>
            </w:r>
          </w:p>
        </w:tc>
        <w:tc>
          <w:tcPr>
            <w:tcW w:w="1320" w:type="dxa"/>
            <w:vAlign w:val="bottom"/>
            <w:shd w:val="clear" w:color="auto" w:fill="052B82"/>
          </w:tcPr>
          <w:p>
            <w:pPr>
              <w:spacing w:after="0"/>
              <w:rPr>
                <w:sz w:val="14"/>
                <w:szCs w:val="14"/>
                <w:color w:val="auto"/>
              </w:rPr>
            </w:pPr>
          </w:p>
        </w:tc>
        <w:tc>
          <w:tcPr>
            <w:tcW w:w="134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Common</w:t>
            </w:r>
          </w:p>
        </w:tc>
      </w:tr>
      <w:tr>
        <w:trPr>
          <w:trHeight w:val="162"/>
        </w:trPr>
        <w:tc>
          <w:tcPr>
            <w:tcW w:w="20" w:type="dxa"/>
            <w:vAlign w:val="bottom"/>
          </w:tcPr>
          <w:p>
            <w:pPr>
              <w:spacing w:after="0"/>
              <w:rPr>
                <w:sz w:val="14"/>
                <w:szCs w:val="14"/>
                <w:color w:val="auto"/>
              </w:rPr>
            </w:pPr>
          </w:p>
        </w:tc>
        <w:tc>
          <w:tcPr>
            <w:tcW w:w="5800" w:type="dxa"/>
            <w:vAlign w:val="bottom"/>
            <w:shd w:val="clear" w:color="auto" w:fill="052B82"/>
          </w:tcPr>
          <w:p>
            <w:pPr>
              <w:spacing w:after="0"/>
              <w:rPr>
                <w:sz w:val="14"/>
                <w:szCs w:val="14"/>
                <w:color w:val="auto"/>
              </w:rPr>
            </w:pPr>
          </w:p>
        </w:tc>
        <w:tc>
          <w:tcPr>
            <w:tcW w:w="1420" w:type="dxa"/>
            <w:vAlign w:val="bottom"/>
            <w:shd w:val="clear" w:color="auto" w:fill="052B82"/>
          </w:tcPr>
          <w:p>
            <w:pPr>
              <w:jc w:val="center"/>
              <w:ind w:left="12"/>
              <w:spacing w:after="0"/>
              <w:rPr>
                <w:sz w:val="20"/>
                <w:szCs w:val="20"/>
                <w:color w:val="auto"/>
              </w:rPr>
            </w:pPr>
            <w:r>
              <w:rPr>
                <w:rFonts w:ascii="Arial" w:cs="Arial" w:eastAsia="Arial" w:hAnsi="Arial"/>
                <w:sz w:val="14"/>
                <w:szCs w:val="14"/>
                <w:b w:val="1"/>
                <w:bCs w:val="1"/>
                <w:color w:val="FFFFFF"/>
              </w:rPr>
              <w:t>Shares</w:t>
            </w:r>
          </w:p>
        </w:tc>
        <w:tc>
          <w:tcPr>
            <w:tcW w:w="114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Acquirable</w:t>
            </w:r>
          </w:p>
        </w:tc>
        <w:tc>
          <w:tcPr>
            <w:tcW w:w="132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Total</w:t>
            </w:r>
          </w:p>
        </w:tc>
        <w:tc>
          <w:tcPr>
            <w:tcW w:w="1340" w:type="dxa"/>
            <w:vAlign w:val="bottom"/>
            <w:shd w:val="clear" w:color="auto" w:fill="052B82"/>
          </w:tcPr>
          <w:p>
            <w:pPr>
              <w:jc w:val="center"/>
              <w:ind w:right="13"/>
              <w:spacing w:after="0"/>
              <w:rPr>
                <w:sz w:val="20"/>
                <w:szCs w:val="20"/>
                <w:color w:val="auto"/>
              </w:rPr>
            </w:pPr>
            <w:r>
              <w:rPr>
                <w:rFonts w:ascii="Arial" w:cs="Arial" w:eastAsia="Arial" w:hAnsi="Arial"/>
                <w:sz w:val="14"/>
                <w:szCs w:val="14"/>
                <w:b w:val="1"/>
                <w:bCs w:val="1"/>
                <w:color w:val="FFFFFF"/>
              </w:rPr>
              <w:t>Stock</w:t>
            </w:r>
          </w:p>
        </w:tc>
      </w:tr>
      <w:tr>
        <w:trPr>
          <w:trHeight w:val="162"/>
        </w:trPr>
        <w:tc>
          <w:tcPr>
            <w:tcW w:w="20" w:type="dxa"/>
            <w:vAlign w:val="bottom"/>
          </w:tcPr>
          <w:p>
            <w:pPr>
              <w:spacing w:after="0"/>
              <w:rPr>
                <w:sz w:val="14"/>
                <w:szCs w:val="14"/>
                <w:color w:val="auto"/>
              </w:rPr>
            </w:pPr>
          </w:p>
        </w:tc>
        <w:tc>
          <w:tcPr>
            <w:tcW w:w="5800" w:type="dxa"/>
            <w:vAlign w:val="bottom"/>
            <w:shd w:val="clear" w:color="auto" w:fill="052B82"/>
          </w:tcPr>
          <w:p>
            <w:pPr>
              <w:spacing w:after="0"/>
              <w:rPr>
                <w:sz w:val="14"/>
                <w:szCs w:val="14"/>
                <w:color w:val="auto"/>
              </w:rPr>
            </w:pPr>
          </w:p>
        </w:tc>
        <w:tc>
          <w:tcPr>
            <w:tcW w:w="1420" w:type="dxa"/>
            <w:vAlign w:val="bottom"/>
            <w:shd w:val="clear" w:color="auto" w:fill="052B82"/>
          </w:tcPr>
          <w:p>
            <w:pPr>
              <w:jc w:val="center"/>
              <w:ind w:left="12"/>
              <w:spacing w:after="0"/>
              <w:rPr>
                <w:sz w:val="20"/>
                <w:szCs w:val="20"/>
                <w:color w:val="auto"/>
              </w:rPr>
            </w:pPr>
            <w:r>
              <w:rPr>
                <w:rFonts w:ascii="Arial" w:cs="Arial" w:eastAsia="Arial" w:hAnsi="Arial"/>
                <w:sz w:val="14"/>
                <w:szCs w:val="14"/>
                <w:b w:val="1"/>
                <w:bCs w:val="1"/>
                <w:color w:val="FFFFFF"/>
              </w:rPr>
              <w:t>Beneficially</w:t>
            </w:r>
          </w:p>
        </w:tc>
        <w:tc>
          <w:tcPr>
            <w:tcW w:w="114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within 60</w:t>
            </w:r>
          </w:p>
        </w:tc>
        <w:tc>
          <w:tcPr>
            <w:tcW w:w="132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Beneficial</w:t>
            </w:r>
          </w:p>
        </w:tc>
        <w:tc>
          <w:tcPr>
            <w:tcW w:w="1340" w:type="dxa"/>
            <w:vAlign w:val="bottom"/>
            <w:shd w:val="clear" w:color="auto" w:fill="052B82"/>
          </w:tcPr>
          <w:p>
            <w:pPr>
              <w:jc w:val="center"/>
              <w:ind w:right="13"/>
              <w:spacing w:after="0"/>
              <w:rPr>
                <w:sz w:val="20"/>
                <w:szCs w:val="20"/>
                <w:color w:val="auto"/>
              </w:rPr>
            </w:pPr>
            <w:r>
              <w:rPr>
                <w:rFonts w:ascii="Arial" w:cs="Arial" w:eastAsia="Arial" w:hAnsi="Arial"/>
                <w:sz w:val="14"/>
                <w:szCs w:val="14"/>
                <w:b w:val="1"/>
                <w:bCs w:val="1"/>
                <w:color w:val="FFFFFF"/>
              </w:rPr>
              <w:t>Beneficially</w:t>
            </w:r>
          </w:p>
        </w:tc>
      </w:tr>
      <w:tr>
        <w:trPr>
          <w:trHeight w:val="189"/>
        </w:trPr>
        <w:tc>
          <w:tcPr>
            <w:tcW w:w="20" w:type="dxa"/>
            <w:vAlign w:val="bottom"/>
          </w:tcPr>
          <w:p>
            <w:pPr>
              <w:spacing w:after="0"/>
              <w:rPr>
                <w:sz w:val="16"/>
                <w:szCs w:val="16"/>
                <w:color w:val="auto"/>
              </w:rPr>
            </w:pPr>
          </w:p>
        </w:tc>
        <w:tc>
          <w:tcPr>
            <w:tcW w:w="5800" w:type="dxa"/>
            <w:vAlign w:val="bottom"/>
            <w:shd w:val="clear" w:color="auto" w:fill="052B82"/>
          </w:tcPr>
          <w:p>
            <w:pPr>
              <w:ind w:left="1460"/>
              <w:spacing w:after="0"/>
              <w:rPr>
                <w:sz w:val="20"/>
                <w:szCs w:val="20"/>
                <w:color w:val="auto"/>
              </w:rPr>
            </w:pPr>
            <w:r>
              <w:rPr>
                <w:rFonts w:ascii="Arial" w:cs="Arial" w:eastAsia="Arial" w:hAnsi="Arial"/>
                <w:sz w:val="14"/>
                <w:szCs w:val="14"/>
                <w:b w:val="1"/>
                <w:bCs w:val="1"/>
                <w:color w:val="FFFFFF"/>
              </w:rPr>
              <w:t>Name and Address of Beneficial Owner(1)</w:t>
            </w:r>
          </w:p>
        </w:tc>
        <w:tc>
          <w:tcPr>
            <w:tcW w:w="1420" w:type="dxa"/>
            <w:vAlign w:val="bottom"/>
            <w:shd w:val="clear" w:color="auto" w:fill="052B82"/>
          </w:tcPr>
          <w:p>
            <w:pPr>
              <w:jc w:val="center"/>
              <w:ind w:left="32"/>
              <w:spacing w:after="0"/>
              <w:rPr>
                <w:sz w:val="20"/>
                <w:szCs w:val="20"/>
                <w:color w:val="auto"/>
              </w:rPr>
            </w:pPr>
            <w:r>
              <w:rPr>
                <w:rFonts w:ascii="Arial" w:cs="Arial" w:eastAsia="Arial" w:hAnsi="Arial"/>
                <w:sz w:val="14"/>
                <w:szCs w:val="14"/>
                <w:b w:val="1"/>
                <w:bCs w:val="1"/>
                <w:color w:val="FFFFFF"/>
              </w:rPr>
              <w:t>Owned(2)</w:t>
            </w:r>
          </w:p>
        </w:tc>
        <w:tc>
          <w:tcPr>
            <w:tcW w:w="1140" w:type="dxa"/>
            <w:vAlign w:val="bottom"/>
            <w:shd w:val="clear" w:color="auto" w:fill="052B82"/>
          </w:tcPr>
          <w:p>
            <w:pPr>
              <w:jc w:val="right"/>
              <w:ind w:right="233"/>
              <w:spacing w:after="0"/>
              <w:rPr>
                <w:sz w:val="20"/>
                <w:szCs w:val="20"/>
                <w:color w:val="auto"/>
              </w:rPr>
            </w:pPr>
            <w:r>
              <w:rPr>
                <w:rFonts w:ascii="Arial" w:cs="Arial" w:eastAsia="Arial" w:hAnsi="Arial"/>
                <w:sz w:val="14"/>
                <w:szCs w:val="14"/>
                <w:b w:val="1"/>
                <w:bCs w:val="1"/>
                <w:color w:val="FFFFFF"/>
              </w:rPr>
              <w:t>Days(3)</w:t>
            </w:r>
          </w:p>
        </w:tc>
        <w:tc>
          <w:tcPr>
            <w:tcW w:w="132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Ownership</w:t>
            </w:r>
          </w:p>
        </w:tc>
        <w:tc>
          <w:tcPr>
            <w:tcW w:w="1340" w:type="dxa"/>
            <w:vAlign w:val="bottom"/>
            <w:shd w:val="clear" w:color="auto" w:fill="052B82"/>
          </w:tcPr>
          <w:p>
            <w:pPr>
              <w:jc w:val="center"/>
              <w:ind w:right="13"/>
              <w:spacing w:after="0"/>
              <w:rPr>
                <w:sz w:val="20"/>
                <w:szCs w:val="20"/>
                <w:color w:val="auto"/>
              </w:rPr>
            </w:pPr>
            <w:r>
              <w:rPr>
                <w:rFonts w:ascii="Arial" w:cs="Arial" w:eastAsia="Arial" w:hAnsi="Arial"/>
                <w:sz w:val="14"/>
                <w:szCs w:val="14"/>
                <w:b w:val="1"/>
                <w:bCs w:val="1"/>
                <w:color w:val="FFFFFF"/>
              </w:rPr>
              <w:t>Owned(4)</w:t>
            </w:r>
          </w:p>
        </w:tc>
      </w:tr>
      <w:tr>
        <w:trPr>
          <w:trHeight w:val="203"/>
        </w:trPr>
        <w:tc>
          <w:tcPr>
            <w:tcW w:w="20" w:type="dxa"/>
            <w:vAlign w:val="bottom"/>
          </w:tcPr>
          <w:p>
            <w:pPr>
              <w:spacing w:after="0"/>
              <w:rPr>
                <w:sz w:val="17"/>
                <w:szCs w:val="17"/>
                <w:color w:val="auto"/>
              </w:rPr>
            </w:pPr>
          </w:p>
        </w:tc>
        <w:tc>
          <w:tcPr>
            <w:tcW w:w="5800" w:type="dxa"/>
            <w:vAlign w:val="bottom"/>
          </w:tcPr>
          <w:p>
            <w:pPr>
              <w:ind w:left="40"/>
              <w:spacing w:after="0" w:line="202" w:lineRule="exact"/>
              <w:rPr>
                <w:sz w:val="20"/>
                <w:szCs w:val="20"/>
                <w:color w:val="auto"/>
              </w:rPr>
            </w:pPr>
            <w:r>
              <w:rPr>
                <w:rFonts w:ascii="Arial" w:cs="Arial" w:eastAsia="Arial" w:hAnsi="Arial"/>
                <w:sz w:val="18"/>
                <w:szCs w:val="18"/>
                <w:i w:val="1"/>
                <w:iCs w:val="1"/>
                <w:color w:val="auto"/>
              </w:rPr>
              <w:t>5% Shareholders:</w:t>
            </w:r>
          </w:p>
        </w:tc>
        <w:tc>
          <w:tcPr>
            <w:tcW w:w="1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5800" w:type="dxa"/>
            <w:vAlign w:val="bottom"/>
            <w:shd w:val="clear" w:color="auto" w:fill="E8EDF4"/>
          </w:tcPr>
          <w:p>
            <w:pPr>
              <w:ind w:left="340"/>
              <w:spacing w:after="0" w:line="201" w:lineRule="exact"/>
              <w:rPr>
                <w:sz w:val="20"/>
                <w:szCs w:val="20"/>
                <w:color w:val="auto"/>
              </w:rPr>
            </w:pPr>
            <w:r>
              <w:rPr>
                <w:rFonts w:ascii="Arial" w:cs="Arial" w:eastAsia="Arial" w:hAnsi="Arial"/>
                <w:sz w:val="18"/>
                <w:szCs w:val="18"/>
                <w:color w:val="auto"/>
              </w:rPr>
              <w:t>Vanguard Group Inc.(5)</w:t>
            </w:r>
          </w:p>
        </w:tc>
        <w:tc>
          <w:tcPr>
            <w:tcW w:w="1420" w:type="dxa"/>
            <w:vAlign w:val="bottom"/>
            <w:shd w:val="clear" w:color="auto" w:fill="E8EDF4"/>
          </w:tcPr>
          <w:p>
            <w:pPr>
              <w:jc w:val="right"/>
              <w:ind w:right="92"/>
              <w:spacing w:after="0" w:line="201" w:lineRule="exact"/>
              <w:rPr>
                <w:sz w:val="20"/>
                <w:szCs w:val="20"/>
                <w:color w:val="auto"/>
              </w:rPr>
            </w:pPr>
            <w:r>
              <w:rPr>
                <w:rFonts w:ascii="Arial" w:cs="Arial" w:eastAsia="Arial" w:hAnsi="Arial"/>
                <w:sz w:val="18"/>
                <w:szCs w:val="18"/>
                <w:color w:val="auto"/>
              </w:rPr>
              <w:t>32,119,115</w:t>
            </w:r>
          </w:p>
        </w:tc>
        <w:tc>
          <w:tcPr>
            <w:tcW w:w="1140" w:type="dxa"/>
            <w:vAlign w:val="bottom"/>
            <w:shd w:val="clear" w:color="auto" w:fill="E8EDF4"/>
          </w:tcPr>
          <w:p>
            <w:pPr>
              <w:jc w:val="right"/>
              <w:ind w:right="213"/>
              <w:spacing w:after="0" w:line="201" w:lineRule="exact"/>
              <w:rPr>
                <w:sz w:val="20"/>
                <w:szCs w:val="20"/>
                <w:color w:val="auto"/>
              </w:rPr>
            </w:pPr>
            <w:r>
              <w:rPr>
                <w:rFonts w:ascii="Arial" w:cs="Arial" w:eastAsia="Arial" w:hAnsi="Arial"/>
                <w:sz w:val="18"/>
                <w:szCs w:val="18"/>
                <w:color w:val="auto"/>
              </w:rPr>
              <w:t>—</w:t>
            </w:r>
          </w:p>
        </w:tc>
        <w:tc>
          <w:tcPr>
            <w:tcW w:w="1320" w:type="dxa"/>
            <w:vAlign w:val="bottom"/>
            <w:shd w:val="clear" w:color="auto" w:fill="E8EDF4"/>
          </w:tcPr>
          <w:p>
            <w:pPr>
              <w:jc w:val="right"/>
              <w:ind w:right="132"/>
              <w:spacing w:after="0" w:line="201" w:lineRule="exact"/>
              <w:rPr>
                <w:sz w:val="20"/>
                <w:szCs w:val="20"/>
                <w:color w:val="auto"/>
              </w:rPr>
            </w:pPr>
            <w:r>
              <w:rPr>
                <w:rFonts w:ascii="Arial" w:cs="Arial" w:eastAsia="Arial" w:hAnsi="Arial"/>
                <w:sz w:val="18"/>
                <w:szCs w:val="18"/>
                <w:color w:val="auto"/>
              </w:rPr>
              <w:t>32,119,115</w:t>
            </w:r>
          </w:p>
        </w:tc>
        <w:tc>
          <w:tcPr>
            <w:tcW w:w="1340" w:type="dxa"/>
            <w:vAlign w:val="bottom"/>
            <w:shd w:val="clear" w:color="auto" w:fill="E8EDF4"/>
          </w:tcPr>
          <w:p>
            <w:pPr>
              <w:jc w:val="right"/>
              <w:spacing w:after="0" w:line="201" w:lineRule="exact"/>
              <w:rPr>
                <w:sz w:val="20"/>
                <w:szCs w:val="20"/>
                <w:color w:val="auto"/>
              </w:rPr>
            </w:pPr>
            <w:r>
              <w:rPr>
                <w:rFonts w:ascii="Arial" w:cs="Arial" w:eastAsia="Arial" w:hAnsi="Arial"/>
                <w:sz w:val="18"/>
                <w:szCs w:val="18"/>
                <w:color w:val="auto"/>
              </w:rPr>
              <w:t>8.7%</w:t>
            </w:r>
          </w:p>
        </w:tc>
      </w:tr>
      <w:tr>
        <w:trPr>
          <w:trHeight w:val="203"/>
        </w:trPr>
        <w:tc>
          <w:tcPr>
            <w:tcW w:w="20" w:type="dxa"/>
            <w:vAlign w:val="bottom"/>
          </w:tcPr>
          <w:p>
            <w:pPr>
              <w:spacing w:after="0"/>
              <w:rPr>
                <w:sz w:val="17"/>
                <w:szCs w:val="17"/>
                <w:color w:val="auto"/>
              </w:rPr>
            </w:pPr>
          </w:p>
        </w:tc>
        <w:tc>
          <w:tcPr>
            <w:tcW w:w="5800" w:type="dxa"/>
            <w:vAlign w:val="bottom"/>
            <w:shd w:val="clear" w:color="auto" w:fill="E8EDF4"/>
          </w:tcPr>
          <w:p>
            <w:pPr>
              <w:ind w:left="700"/>
              <w:spacing w:after="0" w:line="202" w:lineRule="exact"/>
              <w:rPr>
                <w:sz w:val="20"/>
                <w:szCs w:val="20"/>
                <w:color w:val="auto"/>
              </w:rPr>
            </w:pPr>
            <w:r>
              <w:rPr>
                <w:rFonts w:ascii="Arial" w:cs="Arial" w:eastAsia="Arial" w:hAnsi="Arial"/>
                <w:sz w:val="18"/>
                <w:szCs w:val="18"/>
                <w:color w:val="auto"/>
              </w:rPr>
              <w:t>PO Box 2600</w:t>
            </w:r>
          </w:p>
        </w:tc>
        <w:tc>
          <w:tcPr>
            <w:tcW w:w="1420" w:type="dxa"/>
            <w:vAlign w:val="bottom"/>
            <w:shd w:val="clear" w:color="auto" w:fill="E8EDF4"/>
          </w:tcPr>
          <w:p>
            <w:pPr>
              <w:spacing w:after="0"/>
              <w:rPr>
                <w:sz w:val="17"/>
                <w:szCs w:val="17"/>
                <w:color w:val="auto"/>
              </w:rPr>
            </w:pPr>
          </w:p>
        </w:tc>
        <w:tc>
          <w:tcPr>
            <w:tcW w:w="1140" w:type="dxa"/>
            <w:vAlign w:val="bottom"/>
            <w:shd w:val="clear" w:color="auto" w:fill="E8EDF4"/>
          </w:tcPr>
          <w:p>
            <w:pPr>
              <w:spacing w:after="0"/>
              <w:rPr>
                <w:sz w:val="17"/>
                <w:szCs w:val="17"/>
                <w:color w:val="auto"/>
              </w:rPr>
            </w:pPr>
          </w:p>
        </w:tc>
        <w:tc>
          <w:tcPr>
            <w:tcW w:w="1320" w:type="dxa"/>
            <w:vAlign w:val="bottom"/>
            <w:shd w:val="clear" w:color="auto" w:fill="E8EDF4"/>
          </w:tcPr>
          <w:p>
            <w:pPr>
              <w:spacing w:after="0"/>
              <w:rPr>
                <w:sz w:val="17"/>
                <w:szCs w:val="17"/>
                <w:color w:val="auto"/>
              </w:rPr>
            </w:pPr>
          </w:p>
        </w:tc>
        <w:tc>
          <w:tcPr>
            <w:tcW w:w="1340" w:type="dxa"/>
            <w:vAlign w:val="bottom"/>
            <w:shd w:val="clear" w:color="auto" w:fill="E8EDF4"/>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5800" w:type="dxa"/>
            <w:vAlign w:val="bottom"/>
            <w:shd w:val="clear" w:color="auto" w:fill="E8EDF4"/>
          </w:tcPr>
          <w:p>
            <w:pPr>
              <w:ind w:left="700"/>
              <w:spacing w:after="0"/>
              <w:rPr>
                <w:sz w:val="20"/>
                <w:szCs w:val="20"/>
                <w:color w:val="auto"/>
              </w:rPr>
            </w:pPr>
            <w:r>
              <w:rPr>
                <w:rFonts w:ascii="Arial" w:cs="Arial" w:eastAsia="Arial" w:hAnsi="Arial"/>
                <w:sz w:val="18"/>
                <w:szCs w:val="18"/>
                <w:color w:val="auto"/>
              </w:rPr>
              <w:t>Valley Forge, Pennsylvania 19482</w:t>
            </w:r>
          </w:p>
        </w:tc>
        <w:tc>
          <w:tcPr>
            <w:tcW w:w="1420" w:type="dxa"/>
            <w:vAlign w:val="bottom"/>
            <w:shd w:val="clear" w:color="auto" w:fill="E8EDF4"/>
          </w:tcPr>
          <w:p>
            <w:pPr>
              <w:spacing w:after="0"/>
              <w:rPr>
                <w:sz w:val="18"/>
                <w:szCs w:val="18"/>
                <w:color w:val="auto"/>
              </w:rPr>
            </w:pPr>
          </w:p>
        </w:tc>
        <w:tc>
          <w:tcPr>
            <w:tcW w:w="1140" w:type="dxa"/>
            <w:vAlign w:val="bottom"/>
            <w:shd w:val="clear" w:color="auto" w:fill="E8EDF4"/>
          </w:tcPr>
          <w:p>
            <w:pPr>
              <w:spacing w:after="0"/>
              <w:rPr>
                <w:sz w:val="18"/>
                <w:szCs w:val="18"/>
                <w:color w:val="auto"/>
              </w:rPr>
            </w:pPr>
          </w:p>
        </w:tc>
        <w:tc>
          <w:tcPr>
            <w:tcW w:w="1320" w:type="dxa"/>
            <w:vAlign w:val="bottom"/>
            <w:shd w:val="clear" w:color="auto" w:fill="E8EDF4"/>
          </w:tcPr>
          <w:p>
            <w:pPr>
              <w:spacing w:after="0"/>
              <w:rPr>
                <w:sz w:val="18"/>
                <w:szCs w:val="18"/>
                <w:color w:val="auto"/>
              </w:rPr>
            </w:pPr>
          </w:p>
        </w:tc>
        <w:tc>
          <w:tcPr>
            <w:tcW w:w="1340" w:type="dxa"/>
            <w:vAlign w:val="bottom"/>
            <w:shd w:val="clear" w:color="auto" w:fill="E8EDF4"/>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5800" w:type="dxa"/>
            <w:vAlign w:val="bottom"/>
          </w:tcPr>
          <w:p>
            <w:pPr>
              <w:ind w:left="340"/>
              <w:spacing w:after="0" w:line="201" w:lineRule="exact"/>
              <w:rPr>
                <w:sz w:val="20"/>
                <w:szCs w:val="20"/>
                <w:color w:val="auto"/>
              </w:rPr>
            </w:pPr>
            <w:r>
              <w:rPr>
                <w:rFonts w:ascii="Arial" w:cs="Arial" w:eastAsia="Arial" w:hAnsi="Arial"/>
                <w:sz w:val="18"/>
                <w:szCs w:val="18"/>
                <w:color w:val="auto"/>
              </w:rPr>
              <w:t>BlackRock Inc.(6)</w:t>
            </w:r>
          </w:p>
        </w:tc>
        <w:tc>
          <w:tcPr>
            <w:tcW w:w="1420" w:type="dxa"/>
            <w:vAlign w:val="bottom"/>
          </w:tcPr>
          <w:p>
            <w:pPr>
              <w:jc w:val="right"/>
              <w:ind w:right="92"/>
              <w:spacing w:after="0" w:line="201" w:lineRule="exact"/>
              <w:rPr>
                <w:sz w:val="20"/>
                <w:szCs w:val="20"/>
                <w:color w:val="auto"/>
              </w:rPr>
            </w:pPr>
            <w:r>
              <w:rPr>
                <w:rFonts w:ascii="Arial" w:cs="Arial" w:eastAsia="Arial" w:hAnsi="Arial"/>
                <w:sz w:val="18"/>
                <w:szCs w:val="18"/>
                <w:color w:val="auto"/>
              </w:rPr>
              <w:t>24,432,403</w:t>
            </w:r>
          </w:p>
        </w:tc>
        <w:tc>
          <w:tcPr>
            <w:tcW w:w="1140" w:type="dxa"/>
            <w:vAlign w:val="bottom"/>
          </w:tcPr>
          <w:p>
            <w:pPr>
              <w:jc w:val="right"/>
              <w:ind w:right="213"/>
              <w:spacing w:after="0" w:line="201"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132"/>
              <w:spacing w:after="0" w:line="201" w:lineRule="exact"/>
              <w:rPr>
                <w:sz w:val="20"/>
                <w:szCs w:val="20"/>
                <w:color w:val="auto"/>
              </w:rPr>
            </w:pPr>
            <w:r>
              <w:rPr>
                <w:rFonts w:ascii="Arial" w:cs="Arial" w:eastAsia="Arial" w:hAnsi="Arial"/>
                <w:sz w:val="18"/>
                <w:szCs w:val="18"/>
                <w:color w:val="auto"/>
              </w:rPr>
              <w:t>24,432,403</w:t>
            </w:r>
          </w:p>
        </w:tc>
        <w:tc>
          <w:tcPr>
            <w:tcW w:w="1340" w:type="dxa"/>
            <w:vAlign w:val="bottom"/>
          </w:tcPr>
          <w:p>
            <w:pPr>
              <w:jc w:val="right"/>
              <w:spacing w:after="0" w:line="201" w:lineRule="exact"/>
              <w:rPr>
                <w:sz w:val="20"/>
                <w:szCs w:val="20"/>
                <w:color w:val="auto"/>
              </w:rPr>
            </w:pPr>
            <w:r>
              <w:rPr>
                <w:rFonts w:ascii="Arial" w:cs="Arial" w:eastAsia="Arial" w:hAnsi="Arial"/>
                <w:sz w:val="18"/>
                <w:szCs w:val="18"/>
                <w:color w:val="auto"/>
              </w:rPr>
              <w:t>6.6%</w:t>
            </w:r>
          </w:p>
        </w:tc>
      </w:tr>
      <w:tr>
        <w:trPr>
          <w:trHeight w:val="203"/>
        </w:trPr>
        <w:tc>
          <w:tcPr>
            <w:tcW w:w="20" w:type="dxa"/>
            <w:vAlign w:val="bottom"/>
          </w:tcPr>
          <w:p>
            <w:pPr>
              <w:spacing w:after="0"/>
              <w:rPr>
                <w:sz w:val="17"/>
                <w:szCs w:val="17"/>
                <w:color w:val="auto"/>
              </w:rPr>
            </w:pPr>
          </w:p>
        </w:tc>
        <w:tc>
          <w:tcPr>
            <w:tcW w:w="5800" w:type="dxa"/>
            <w:vAlign w:val="bottom"/>
          </w:tcPr>
          <w:p>
            <w:pPr>
              <w:ind w:left="700"/>
              <w:spacing w:after="0" w:line="202" w:lineRule="exact"/>
              <w:rPr>
                <w:sz w:val="20"/>
                <w:szCs w:val="20"/>
                <w:color w:val="auto"/>
              </w:rPr>
            </w:pPr>
            <w:r>
              <w:rPr>
                <w:rFonts w:ascii="Arial" w:cs="Arial" w:eastAsia="Arial" w:hAnsi="Arial"/>
                <w:sz w:val="18"/>
                <w:szCs w:val="18"/>
                <w:color w:val="auto"/>
              </w:rPr>
              <w:t>55 East 52nd Street</w:t>
            </w:r>
          </w:p>
        </w:tc>
        <w:tc>
          <w:tcPr>
            <w:tcW w:w="1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5800" w:type="dxa"/>
            <w:vAlign w:val="bottom"/>
          </w:tcPr>
          <w:p>
            <w:pPr>
              <w:ind w:left="700"/>
              <w:spacing w:after="0"/>
              <w:rPr>
                <w:sz w:val="20"/>
                <w:szCs w:val="20"/>
                <w:color w:val="auto"/>
              </w:rPr>
            </w:pPr>
            <w:r>
              <w:rPr>
                <w:rFonts w:ascii="Arial" w:cs="Arial" w:eastAsia="Arial" w:hAnsi="Arial"/>
                <w:sz w:val="18"/>
                <w:szCs w:val="18"/>
                <w:color w:val="auto"/>
              </w:rPr>
              <w:t>New York, New York 10055</w:t>
            </w:r>
          </w:p>
        </w:tc>
        <w:tc>
          <w:tcPr>
            <w:tcW w:w="1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5800" w:type="dxa"/>
            <w:vAlign w:val="bottom"/>
            <w:shd w:val="clear" w:color="auto" w:fill="E8EDF4"/>
          </w:tcPr>
          <w:p>
            <w:pPr>
              <w:ind w:left="340"/>
              <w:spacing w:after="0" w:line="201" w:lineRule="exact"/>
              <w:rPr>
                <w:sz w:val="20"/>
                <w:szCs w:val="20"/>
                <w:color w:val="auto"/>
              </w:rPr>
            </w:pPr>
            <w:r>
              <w:rPr>
                <w:rFonts w:ascii="Arial" w:cs="Arial" w:eastAsia="Arial" w:hAnsi="Arial"/>
                <w:sz w:val="18"/>
                <w:szCs w:val="18"/>
                <w:color w:val="auto"/>
              </w:rPr>
              <w:t>JPMorgan Chase &amp; Co.(7)</w:t>
            </w:r>
          </w:p>
        </w:tc>
        <w:tc>
          <w:tcPr>
            <w:tcW w:w="1420" w:type="dxa"/>
            <w:vAlign w:val="bottom"/>
            <w:shd w:val="clear" w:color="auto" w:fill="E8EDF4"/>
          </w:tcPr>
          <w:p>
            <w:pPr>
              <w:jc w:val="right"/>
              <w:ind w:right="92"/>
              <w:spacing w:after="0" w:line="201" w:lineRule="exact"/>
              <w:rPr>
                <w:sz w:val="20"/>
                <w:szCs w:val="20"/>
                <w:color w:val="auto"/>
              </w:rPr>
            </w:pPr>
            <w:r>
              <w:rPr>
                <w:rFonts w:ascii="Arial" w:cs="Arial" w:eastAsia="Arial" w:hAnsi="Arial"/>
                <w:sz w:val="18"/>
                <w:szCs w:val="18"/>
                <w:color w:val="auto"/>
              </w:rPr>
              <w:t>21,127,182</w:t>
            </w:r>
          </w:p>
        </w:tc>
        <w:tc>
          <w:tcPr>
            <w:tcW w:w="1140" w:type="dxa"/>
            <w:vAlign w:val="bottom"/>
            <w:shd w:val="clear" w:color="auto" w:fill="E8EDF4"/>
          </w:tcPr>
          <w:p>
            <w:pPr>
              <w:jc w:val="right"/>
              <w:ind w:right="213"/>
              <w:spacing w:after="0" w:line="201" w:lineRule="exact"/>
              <w:rPr>
                <w:sz w:val="20"/>
                <w:szCs w:val="20"/>
                <w:color w:val="auto"/>
              </w:rPr>
            </w:pPr>
            <w:r>
              <w:rPr>
                <w:rFonts w:ascii="Arial" w:cs="Arial" w:eastAsia="Arial" w:hAnsi="Arial"/>
                <w:sz w:val="18"/>
                <w:szCs w:val="18"/>
                <w:color w:val="auto"/>
              </w:rPr>
              <w:t>—</w:t>
            </w:r>
          </w:p>
        </w:tc>
        <w:tc>
          <w:tcPr>
            <w:tcW w:w="1320" w:type="dxa"/>
            <w:vAlign w:val="bottom"/>
            <w:shd w:val="clear" w:color="auto" w:fill="E8EDF4"/>
          </w:tcPr>
          <w:p>
            <w:pPr>
              <w:jc w:val="right"/>
              <w:ind w:right="132"/>
              <w:spacing w:after="0" w:line="201" w:lineRule="exact"/>
              <w:rPr>
                <w:sz w:val="20"/>
                <w:szCs w:val="20"/>
                <w:color w:val="auto"/>
              </w:rPr>
            </w:pPr>
            <w:r>
              <w:rPr>
                <w:rFonts w:ascii="Arial" w:cs="Arial" w:eastAsia="Arial" w:hAnsi="Arial"/>
                <w:sz w:val="18"/>
                <w:szCs w:val="18"/>
                <w:color w:val="auto"/>
              </w:rPr>
              <w:t>21,127,182</w:t>
            </w:r>
          </w:p>
        </w:tc>
        <w:tc>
          <w:tcPr>
            <w:tcW w:w="1340" w:type="dxa"/>
            <w:vAlign w:val="bottom"/>
            <w:shd w:val="clear" w:color="auto" w:fill="E8EDF4"/>
          </w:tcPr>
          <w:p>
            <w:pPr>
              <w:jc w:val="right"/>
              <w:spacing w:after="0" w:line="201" w:lineRule="exact"/>
              <w:rPr>
                <w:sz w:val="20"/>
                <w:szCs w:val="20"/>
                <w:color w:val="auto"/>
              </w:rPr>
            </w:pPr>
            <w:r>
              <w:rPr>
                <w:rFonts w:ascii="Arial" w:cs="Arial" w:eastAsia="Arial" w:hAnsi="Arial"/>
                <w:sz w:val="18"/>
                <w:szCs w:val="18"/>
                <w:color w:val="auto"/>
              </w:rPr>
              <w:t>5.7%</w:t>
            </w:r>
          </w:p>
        </w:tc>
      </w:tr>
      <w:tr>
        <w:trPr>
          <w:trHeight w:val="203"/>
        </w:trPr>
        <w:tc>
          <w:tcPr>
            <w:tcW w:w="20" w:type="dxa"/>
            <w:vAlign w:val="bottom"/>
          </w:tcPr>
          <w:p>
            <w:pPr>
              <w:spacing w:after="0"/>
              <w:rPr>
                <w:sz w:val="17"/>
                <w:szCs w:val="17"/>
                <w:color w:val="auto"/>
              </w:rPr>
            </w:pPr>
          </w:p>
        </w:tc>
        <w:tc>
          <w:tcPr>
            <w:tcW w:w="5800" w:type="dxa"/>
            <w:vAlign w:val="bottom"/>
            <w:shd w:val="clear" w:color="auto" w:fill="E8EDF4"/>
          </w:tcPr>
          <w:p>
            <w:pPr>
              <w:ind w:left="700"/>
              <w:spacing w:after="0" w:line="202" w:lineRule="exact"/>
              <w:rPr>
                <w:sz w:val="20"/>
                <w:szCs w:val="20"/>
                <w:color w:val="auto"/>
              </w:rPr>
            </w:pPr>
            <w:r>
              <w:rPr>
                <w:rFonts w:ascii="Arial" w:cs="Arial" w:eastAsia="Arial" w:hAnsi="Arial"/>
                <w:sz w:val="18"/>
                <w:szCs w:val="18"/>
                <w:color w:val="auto"/>
              </w:rPr>
              <w:t>383 Madison Avenue</w:t>
            </w:r>
          </w:p>
        </w:tc>
        <w:tc>
          <w:tcPr>
            <w:tcW w:w="1420" w:type="dxa"/>
            <w:vAlign w:val="bottom"/>
            <w:shd w:val="clear" w:color="auto" w:fill="E8EDF4"/>
          </w:tcPr>
          <w:p>
            <w:pPr>
              <w:spacing w:after="0"/>
              <w:rPr>
                <w:sz w:val="17"/>
                <w:szCs w:val="17"/>
                <w:color w:val="auto"/>
              </w:rPr>
            </w:pPr>
          </w:p>
        </w:tc>
        <w:tc>
          <w:tcPr>
            <w:tcW w:w="1140" w:type="dxa"/>
            <w:vAlign w:val="bottom"/>
            <w:shd w:val="clear" w:color="auto" w:fill="E8EDF4"/>
          </w:tcPr>
          <w:p>
            <w:pPr>
              <w:spacing w:after="0"/>
              <w:rPr>
                <w:sz w:val="17"/>
                <w:szCs w:val="17"/>
                <w:color w:val="auto"/>
              </w:rPr>
            </w:pPr>
          </w:p>
        </w:tc>
        <w:tc>
          <w:tcPr>
            <w:tcW w:w="1320" w:type="dxa"/>
            <w:vAlign w:val="bottom"/>
            <w:shd w:val="clear" w:color="auto" w:fill="E8EDF4"/>
          </w:tcPr>
          <w:p>
            <w:pPr>
              <w:spacing w:after="0"/>
              <w:rPr>
                <w:sz w:val="17"/>
                <w:szCs w:val="17"/>
                <w:color w:val="auto"/>
              </w:rPr>
            </w:pPr>
          </w:p>
        </w:tc>
        <w:tc>
          <w:tcPr>
            <w:tcW w:w="1340" w:type="dxa"/>
            <w:vAlign w:val="bottom"/>
            <w:shd w:val="clear" w:color="auto" w:fill="E8EDF4"/>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5800" w:type="dxa"/>
            <w:vAlign w:val="bottom"/>
            <w:shd w:val="clear" w:color="auto" w:fill="E8EDF4"/>
          </w:tcPr>
          <w:p>
            <w:pPr>
              <w:ind w:left="700"/>
              <w:spacing w:after="0"/>
              <w:rPr>
                <w:sz w:val="20"/>
                <w:szCs w:val="20"/>
                <w:color w:val="auto"/>
              </w:rPr>
            </w:pPr>
            <w:r>
              <w:rPr>
                <w:rFonts w:ascii="Arial" w:cs="Arial" w:eastAsia="Arial" w:hAnsi="Arial"/>
                <w:sz w:val="18"/>
                <w:szCs w:val="18"/>
                <w:color w:val="auto"/>
              </w:rPr>
              <w:t>New York, New York 10179</w:t>
            </w:r>
          </w:p>
        </w:tc>
        <w:tc>
          <w:tcPr>
            <w:tcW w:w="1420" w:type="dxa"/>
            <w:vAlign w:val="bottom"/>
            <w:shd w:val="clear" w:color="auto" w:fill="E8EDF4"/>
          </w:tcPr>
          <w:p>
            <w:pPr>
              <w:spacing w:after="0"/>
              <w:rPr>
                <w:sz w:val="18"/>
                <w:szCs w:val="18"/>
                <w:color w:val="auto"/>
              </w:rPr>
            </w:pPr>
          </w:p>
        </w:tc>
        <w:tc>
          <w:tcPr>
            <w:tcW w:w="1140" w:type="dxa"/>
            <w:vAlign w:val="bottom"/>
            <w:shd w:val="clear" w:color="auto" w:fill="E8EDF4"/>
          </w:tcPr>
          <w:p>
            <w:pPr>
              <w:spacing w:after="0"/>
              <w:rPr>
                <w:sz w:val="18"/>
                <w:szCs w:val="18"/>
                <w:color w:val="auto"/>
              </w:rPr>
            </w:pPr>
          </w:p>
        </w:tc>
        <w:tc>
          <w:tcPr>
            <w:tcW w:w="1320" w:type="dxa"/>
            <w:vAlign w:val="bottom"/>
            <w:shd w:val="clear" w:color="auto" w:fill="E8EDF4"/>
          </w:tcPr>
          <w:p>
            <w:pPr>
              <w:spacing w:after="0"/>
              <w:rPr>
                <w:sz w:val="18"/>
                <w:szCs w:val="18"/>
                <w:color w:val="auto"/>
              </w:rPr>
            </w:pPr>
          </w:p>
        </w:tc>
        <w:tc>
          <w:tcPr>
            <w:tcW w:w="1340" w:type="dxa"/>
            <w:vAlign w:val="bottom"/>
            <w:shd w:val="clear" w:color="auto" w:fill="E8EDF4"/>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5800" w:type="dxa"/>
            <w:vAlign w:val="bottom"/>
          </w:tcPr>
          <w:p>
            <w:pPr>
              <w:ind w:left="340"/>
              <w:spacing w:after="0" w:line="201" w:lineRule="exact"/>
              <w:rPr>
                <w:sz w:val="20"/>
                <w:szCs w:val="20"/>
                <w:color w:val="auto"/>
              </w:rPr>
            </w:pPr>
            <w:r>
              <w:rPr>
                <w:rFonts w:ascii="Arial" w:cs="Arial" w:eastAsia="Arial" w:hAnsi="Arial"/>
                <w:sz w:val="18"/>
                <w:szCs w:val="18"/>
                <w:color w:val="auto"/>
              </w:rPr>
              <w:t>Massachusetts Financial Services Co.(8)</w:t>
            </w:r>
          </w:p>
        </w:tc>
        <w:tc>
          <w:tcPr>
            <w:tcW w:w="1420" w:type="dxa"/>
            <w:vAlign w:val="bottom"/>
          </w:tcPr>
          <w:p>
            <w:pPr>
              <w:jc w:val="right"/>
              <w:ind w:right="92"/>
              <w:spacing w:after="0" w:line="201" w:lineRule="exact"/>
              <w:rPr>
                <w:sz w:val="20"/>
                <w:szCs w:val="20"/>
                <w:color w:val="auto"/>
              </w:rPr>
            </w:pPr>
            <w:r>
              <w:rPr>
                <w:rFonts w:ascii="Arial" w:cs="Arial" w:eastAsia="Arial" w:hAnsi="Arial"/>
                <w:sz w:val="18"/>
                <w:szCs w:val="18"/>
                <w:color w:val="auto"/>
              </w:rPr>
              <w:t>18,890,839</w:t>
            </w:r>
          </w:p>
        </w:tc>
        <w:tc>
          <w:tcPr>
            <w:tcW w:w="1140" w:type="dxa"/>
            <w:vAlign w:val="bottom"/>
          </w:tcPr>
          <w:p>
            <w:pPr>
              <w:jc w:val="right"/>
              <w:ind w:right="213"/>
              <w:spacing w:after="0" w:line="201"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132"/>
              <w:spacing w:after="0" w:line="201" w:lineRule="exact"/>
              <w:rPr>
                <w:sz w:val="20"/>
                <w:szCs w:val="20"/>
                <w:color w:val="auto"/>
              </w:rPr>
            </w:pPr>
            <w:r>
              <w:rPr>
                <w:rFonts w:ascii="Arial" w:cs="Arial" w:eastAsia="Arial" w:hAnsi="Arial"/>
                <w:sz w:val="18"/>
                <w:szCs w:val="18"/>
                <w:color w:val="auto"/>
              </w:rPr>
              <w:t>18,890,839</w:t>
            </w:r>
          </w:p>
        </w:tc>
        <w:tc>
          <w:tcPr>
            <w:tcW w:w="1340" w:type="dxa"/>
            <w:vAlign w:val="bottom"/>
          </w:tcPr>
          <w:p>
            <w:pPr>
              <w:jc w:val="right"/>
              <w:spacing w:after="0" w:line="201" w:lineRule="exact"/>
              <w:rPr>
                <w:sz w:val="20"/>
                <w:szCs w:val="20"/>
                <w:color w:val="auto"/>
              </w:rPr>
            </w:pPr>
            <w:r>
              <w:rPr>
                <w:rFonts w:ascii="Arial" w:cs="Arial" w:eastAsia="Arial" w:hAnsi="Arial"/>
                <w:sz w:val="18"/>
                <w:szCs w:val="18"/>
                <w:color w:val="auto"/>
              </w:rPr>
              <w:t>5.1%</w:t>
            </w:r>
          </w:p>
        </w:tc>
      </w:tr>
      <w:tr>
        <w:trPr>
          <w:trHeight w:val="203"/>
        </w:trPr>
        <w:tc>
          <w:tcPr>
            <w:tcW w:w="20" w:type="dxa"/>
            <w:vAlign w:val="bottom"/>
          </w:tcPr>
          <w:p>
            <w:pPr>
              <w:spacing w:after="0"/>
              <w:rPr>
                <w:sz w:val="17"/>
                <w:szCs w:val="17"/>
                <w:color w:val="auto"/>
              </w:rPr>
            </w:pPr>
          </w:p>
        </w:tc>
        <w:tc>
          <w:tcPr>
            <w:tcW w:w="5800" w:type="dxa"/>
            <w:vAlign w:val="bottom"/>
          </w:tcPr>
          <w:p>
            <w:pPr>
              <w:ind w:left="700"/>
              <w:spacing w:after="0" w:line="202" w:lineRule="exact"/>
              <w:rPr>
                <w:sz w:val="20"/>
                <w:szCs w:val="20"/>
                <w:color w:val="auto"/>
              </w:rPr>
            </w:pPr>
            <w:r>
              <w:rPr>
                <w:rFonts w:ascii="Arial" w:cs="Arial" w:eastAsia="Arial" w:hAnsi="Arial"/>
                <w:sz w:val="18"/>
                <w:szCs w:val="18"/>
                <w:color w:val="auto"/>
              </w:rPr>
              <w:t>111 Huntington Avenue</w:t>
            </w:r>
          </w:p>
        </w:tc>
        <w:tc>
          <w:tcPr>
            <w:tcW w:w="1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5800" w:type="dxa"/>
            <w:vAlign w:val="bottom"/>
          </w:tcPr>
          <w:p>
            <w:pPr>
              <w:ind w:left="700"/>
              <w:spacing w:after="0"/>
              <w:rPr>
                <w:sz w:val="20"/>
                <w:szCs w:val="20"/>
                <w:color w:val="auto"/>
              </w:rPr>
            </w:pPr>
            <w:r>
              <w:rPr>
                <w:rFonts w:ascii="Arial" w:cs="Arial" w:eastAsia="Arial" w:hAnsi="Arial"/>
                <w:sz w:val="18"/>
                <w:szCs w:val="18"/>
                <w:color w:val="auto"/>
              </w:rPr>
              <w:t>Boston, Massachusetts 02199</w:t>
            </w:r>
          </w:p>
        </w:tc>
        <w:tc>
          <w:tcPr>
            <w:tcW w:w="1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419"/>
        </w:trPr>
        <w:tc>
          <w:tcPr>
            <w:tcW w:w="20" w:type="dxa"/>
            <w:vAlign w:val="bottom"/>
          </w:tcPr>
          <w:p>
            <w:pPr>
              <w:spacing w:after="0"/>
              <w:rPr>
                <w:sz w:val="24"/>
                <w:szCs w:val="24"/>
                <w:color w:val="auto"/>
              </w:rPr>
            </w:pPr>
          </w:p>
        </w:tc>
        <w:tc>
          <w:tcPr>
            <w:tcW w:w="5800" w:type="dxa"/>
            <w:vAlign w:val="bottom"/>
            <w:shd w:val="clear" w:color="auto" w:fill="E8EDF4"/>
          </w:tcPr>
          <w:p>
            <w:pPr>
              <w:ind w:left="40"/>
              <w:spacing w:after="0"/>
              <w:rPr>
                <w:sz w:val="20"/>
                <w:szCs w:val="20"/>
                <w:color w:val="auto"/>
              </w:rPr>
            </w:pPr>
            <w:r>
              <w:rPr>
                <w:rFonts w:ascii="Arial" w:cs="Arial" w:eastAsia="Arial" w:hAnsi="Arial"/>
                <w:sz w:val="18"/>
                <w:szCs w:val="18"/>
                <w:i w:val="1"/>
                <w:iCs w:val="1"/>
                <w:color w:val="auto"/>
              </w:rPr>
              <w:t>Directors and Named Executive Officers:</w:t>
            </w:r>
          </w:p>
        </w:tc>
        <w:tc>
          <w:tcPr>
            <w:tcW w:w="1420" w:type="dxa"/>
            <w:vAlign w:val="bottom"/>
            <w:shd w:val="clear" w:color="auto" w:fill="E8EDF4"/>
          </w:tcPr>
          <w:p>
            <w:pPr>
              <w:spacing w:after="0"/>
              <w:rPr>
                <w:sz w:val="24"/>
                <w:szCs w:val="24"/>
                <w:color w:val="auto"/>
              </w:rPr>
            </w:pPr>
          </w:p>
        </w:tc>
        <w:tc>
          <w:tcPr>
            <w:tcW w:w="1140" w:type="dxa"/>
            <w:vAlign w:val="bottom"/>
            <w:shd w:val="clear" w:color="auto" w:fill="E8EDF4"/>
          </w:tcPr>
          <w:p>
            <w:pPr>
              <w:spacing w:after="0"/>
              <w:rPr>
                <w:sz w:val="24"/>
                <w:szCs w:val="24"/>
                <w:color w:val="auto"/>
              </w:rPr>
            </w:pPr>
          </w:p>
        </w:tc>
        <w:tc>
          <w:tcPr>
            <w:tcW w:w="1320" w:type="dxa"/>
            <w:vAlign w:val="bottom"/>
            <w:shd w:val="clear" w:color="auto" w:fill="E8EDF4"/>
          </w:tcPr>
          <w:p>
            <w:pPr>
              <w:spacing w:after="0"/>
              <w:rPr>
                <w:sz w:val="24"/>
                <w:szCs w:val="24"/>
                <w:color w:val="auto"/>
              </w:rPr>
            </w:pPr>
          </w:p>
        </w:tc>
        <w:tc>
          <w:tcPr>
            <w:tcW w:w="1340" w:type="dxa"/>
            <w:vAlign w:val="bottom"/>
            <w:shd w:val="clear" w:color="auto" w:fill="E8EDF4"/>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5800" w:type="dxa"/>
            <w:vAlign w:val="bottom"/>
          </w:tcPr>
          <w:p>
            <w:pPr>
              <w:ind w:left="340"/>
              <w:spacing w:after="0" w:line="202" w:lineRule="exact"/>
              <w:rPr>
                <w:sz w:val="20"/>
                <w:szCs w:val="20"/>
                <w:color w:val="auto"/>
              </w:rPr>
            </w:pPr>
            <w:r>
              <w:rPr>
                <w:rFonts w:ascii="Arial" w:cs="Arial" w:eastAsia="Arial" w:hAnsi="Arial"/>
                <w:sz w:val="18"/>
                <w:szCs w:val="18"/>
                <w:color w:val="auto"/>
              </w:rPr>
              <w:t>James A. Champy(9)</w:t>
            </w:r>
          </w:p>
        </w:tc>
        <w:tc>
          <w:tcPr>
            <w:tcW w:w="1420" w:type="dxa"/>
            <w:vAlign w:val="bottom"/>
          </w:tcPr>
          <w:p>
            <w:pPr>
              <w:jc w:val="right"/>
              <w:ind w:right="92"/>
              <w:spacing w:after="0" w:line="202" w:lineRule="exact"/>
              <w:rPr>
                <w:sz w:val="20"/>
                <w:szCs w:val="20"/>
                <w:color w:val="auto"/>
              </w:rPr>
            </w:pPr>
            <w:r>
              <w:rPr>
                <w:rFonts w:ascii="Arial" w:cs="Arial" w:eastAsia="Arial" w:hAnsi="Arial"/>
                <w:sz w:val="18"/>
                <w:szCs w:val="18"/>
                <w:color w:val="auto"/>
              </w:rPr>
              <w:t>58,605</w:t>
            </w:r>
          </w:p>
        </w:tc>
        <w:tc>
          <w:tcPr>
            <w:tcW w:w="114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37,620</w:t>
            </w:r>
          </w:p>
        </w:tc>
        <w:tc>
          <w:tcPr>
            <w:tcW w:w="132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96,225</w:t>
            </w:r>
          </w:p>
        </w:tc>
        <w:tc>
          <w:tcPr>
            <w:tcW w:w="134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800" w:type="dxa"/>
            <w:vAlign w:val="bottom"/>
            <w:shd w:val="clear" w:color="auto" w:fill="E8EDF4"/>
          </w:tcPr>
          <w:p>
            <w:pPr>
              <w:ind w:left="340"/>
              <w:spacing w:after="0" w:line="202" w:lineRule="exact"/>
              <w:rPr>
                <w:sz w:val="20"/>
                <w:szCs w:val="20"/>
                <w:color w:val="auto"/>
              </w:rPr>
            </w:pPr>
            <w:r>
              <w:rPr>
                <w:rFonts w:ascii="Arial" w:cs="Arial" w:eastAsia="Arial" w:hAnsi="Arial"/>
                <w:sz w:val="18"/>
                <w:szCs w:val="18"/>
                <w:color w:val="auto"/>
              </w:rPr>
              <w:t>Anantha P. Chandrakasan</w:t>
            </w:r>
          </w:p>
        </w:tc>
        <w:tc>
          <w:tcPr>
            <w:tcW w:w="1420" w:type="dxa"/>
            <w:vAlign w:val="bottom"/>
            <w:shd w:val="clear" w:color="auto" w:fill="E8EDF4"/>
          </w:tcPr>
          <w:p>
            <w:pPr>
              <w:jc w:val="right"/>
              <w:ind w:right="92"/>
              <w:spacing w:after="0" w:line="202" w:lineRule="exact"/>
              <w:rPr>
                <w:sz w:val="20"/>
                <w:szCs w:val="20"/>
                <w:color w:val="auto"/>
              </w:rPr>
            </w:pPr>
            <w:r>
              <w:rPr>
                <w:rFonts w:ascii="Arial" w:cs="Arial" w:eastAsia="Arial" w:hAnsi="Arial"/>
                <w:sz w:val="18"/>
                <w:szCs w:val="18"/>
                <w:color w:val="auto"/>
              </w:rPr>
              <w:t>450</w:t>
            </w:r>
          </w:p>
        </w:tc>
        <w:tc>
          <w:tcPr>
            <w:tcW w:w="1140" w:type="dxa"/>
            <w:vAlign w:val="bottom"/>
            <w:shd w:val="clear" w:color="auto" w:fill="E8EDF4"/>
          </w:tcPr>
          <w:p>
            <w:pPr>
              <w:jc w:val="right"/>
              <w:ind w:right="213"/>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E8EDF4"/>
          </w:tcPr>
          <w:p>
            <w:pPr>
              <w:jc w:val="right"/>
              <w:ind w:right="132"/>
              <w:spacing w:after="0" w:line="202" w:lineRule="exact"/>
              <w:rPr>
                <w:sz w:val="20"/>
                <w:szCs w:val="20"/>
                <w:color w:val="auto"/>
              </w:rPr>
            </w:pPr>
            <w:r>
              <w:rPr>
                <w:rFonts w:ascii="Arial" w:cs="Arial" w:eastAsia="Arial" w:hAnsi="Arial"/>
                <w:sz w:val="18"/>
                <w:szCs w:val="18"/>
                <w:color w:val="auto"/>
              </w:rPr>
              <w:t>450</w:t>
            </w:r>
          </w:p>
        </w:tc>
        <w:tc>
          <w:tcPr>
            <w:tcW w:w="1340" w:type="dxa"/>
            <w:vAlign w:val="bottom"/>
            <w:shd w:val="clear" w:color="auto" w:fill="E8EDF4"/>
          </w:tcPr>
          <w:p>
            <w:pPr>
              <w:jc w:val="right"/>
              <w:ind w:right="153"/>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800" w:type="dxa"/>
            <w:vAlign w:val="bottom"/>
          </w:tcPr>
          <w:p>
            <w:pPr>
              <w:ind w:left="340"/>
              <w:spacing w:after="0" w:line="202" w:lineRule="exact"/>
              <w:rPr>
                <w:sz w:val="20"/>
                <w:szCs w:val="20"/>
                <w:color w:val="auto"/>
              </w:rPr>
            </w:pPr>
            <w:r>
              <w:rPr>
                <w:rFonts w:ascii="Arial" w:cs="Arial" w:eastAsia="Arial" w:hAnsi="Arial"/>
                <w:sz w:val="18"/>
                <w:szCs w:val="18"/>
                <w:color w:val="auto"/>
              </w:rPr>
              <w:t>Martin Cotter</w:t>
            </w:r>
          </w:p>
        </w:tc>
        <w:tc>
          <w:tcPr>
            <w:tcW w:w="1420" w:type="dxa"/>
            <w:vAlign w:val="bottom"/>
          </w:tcPr>
          <w:p>
            <w:pPr>
              <w:jc w:val="right"/>
              <w:ind w:right="92"/>
              <w:spacing w:after="0" w:line="202" w:lineRule="exact"/>
              <w:rPr>
                <w:sz w:val="20"/>
                <w:szCs w:val="20"/>
                <w:color w:val="auto"/>
              </w:rPr>
            </w:pPr>
            <w:r>
              <w:rPr>
                <w:rFonts w:ascii="Arial" w:cs="Arial" w:eastAsia="Arial" w:hAnsi="Arial"/>
                <w:sz w:val="18"/>
                <w:szCs w:val="18"/>
                <w:color w:val="auto"/>
              </w:rPr>
              <w:t>173</w:t>
            </w:r>
          </w:p>
        </w:tc>
        <w:tc>
          <w:tcPr>
            <w:tcW w:w="114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74,396</w:t>
            </w:r>
          </w:p>
        </w:tc>
        <w:tc>
          <w:tcPr>
            <w:tcW w:w="132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74,569</w:t>
            </w:r>
          </w:p>
        </w:tc>
        <w:tc>
          <w:tcPr>
            <w:tcW w:w="134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800" w:type="dxa"/>
            <w:vAlign w:val="bottom"/>
            <w:shd w:val="clear" w:color="auto" w:fill="E8EDF4"/>
          </w:tcPr>
          <w:p>
            <w:pPr>
              <w:ind w:left="340"/>
              <w:spacing w:after="0" w:line="202" w:lineRule="exact"/>
              <w:rPr>
                <w:sz w:val="20"/>
                <w:szCs w:val="20"/>
                <w:color w:val="auto"/>
              </w:rPr>
            </w:pPr>
            <w:r>
              <w:rPr>
                <w:rFonts w:ascii="Arial" w:cs="Arial" w:eastAsia="Arial" w:hAnsi="Arial"/>
                <w:sz w:val="18"/>
                <w:szCs w:val="18"/>
                <w:color w:val="auto"/>
              </w:rPr>
              <w:t>Bruce R. Evans</w:t>
            </w:r>
          </w:p>
        </w:tc>
        <w:tc>
          <w:tcPr>
            <w:tcW w:w="1420" w:type="dxa"/>
            <w:vAlign w:val="bottom"/>
            <w:shd w:val="clear" w:color="auto" w:fill="E8EDF4"/>
          </w:tcPr>
          <w:p>
            <w:pPr>
              <w:jc w:val="right"/>
              <w:ind w:right="92"/>
              <w:spacing w:after="0" w:line="202" w:lineRule="exact"/>
              <w:rPr>
                <w:sz w:val="20"/>
                <w:szCs w:val="20"/>
                <w:color w:val="auto"/>
              </w:rPr>
            </w:pPr>
            <w:r>
              <w:rPr>
                <w:rFonts w:ascii="Arial" w:cs="Arial" w:eastAsia="Arial" w:hAnsi="Arial"/>
                <w:sz w:val="18"/>
                <w:szCs w:val="18"/>
                <w:color w:val="auto"/>
              </w:rPr>
              <w:t>85,140</w:t>
            </w:r>
          </w:p>
        </w:tc>
        <w:tc>
          <w:tcPr>
            <w:tcW w:w="1140" w:type="dxa"/>
            <w:vAlign w:val="bottom"/>
            <w:shd w:val="clear" w:color="auto" w:fill="E8EDF4"/>
          </w:tcPr>
          <w:p>
            <w:pPr>
              <w:jc w:val="right"/>
              <w:ind w:right="213"/>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E8EDF4"/>
          </w:tcPr>
          <w:p>
            <w:pPr>
              <w:jc w:val="right"/>
              <w:ind w:right="132"/>
              <w:spacing w:after="0" w:line="202" w:lineRule="exact"/>
              <w:rPr>
                <w:sz w:val="20"/>
                <w:szCs w:val="20"/>
                <w:color w:val="auto"/>
              </w:rPr>
            </w:pPr>
            <w:r>
              <w:rPr>
                <w:rFonts w:ascii="Arial" w:cs="Arial" w:eastAsia="Arial" w:hAnsi="Arial"/>
                <w:sz w:val="18"/>
                <w:szCs w:val="18"/>
                <w:color w:val="auto"/>
              </w:rPr>
              <w:t>85,140</w:t>
            </w:r>
          </w:p>
        </w:tc>
        <w:tc>
          <w:tcPr>
            <w:tcW w:w="1340" w:type="dxa"/>
            <w:vAlign w:val="bottom"/>
            <w:shd w:val="clear" w:color="auto" w:fill="E8EDF4"/>
          </w:tcPr>
          <w:p>
            <w:pPr>
              <w:jc w:val="right"/>
              <w:ind w:right="153"/>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800" w:type="dxa"/>
            <w:vAlign w:val="bottom"/>
          </w:tcPr>
          <w:p>
            <w:pPr>
              <w:ind w:left="340"/>
              <w:spacing w:after="0" w:line="202" w:lineRule="exact"/>
              <w:rPr>
                <w:sz w:val="20"/>
                <w:szCs w:val="20"/>
                <w:color w:val="auto"/>
              </w:rPr>
            </w:pPr>
            <w:r>
              <w:rPr>
                <w:rFonts w:ascii="Arial" w:cs="Arial" w:eastAsia="Arial" w:hAnsi="Arial"/>
                <w:sz w:val="18"/>
                <w:szCs w:val="18"/>
                <w:color w:val="auto"/>
              </w:rPr>
              <w:t>Edward H. Frank</w:t>
            </w:r>
          </w:p>
        </w:tc>
        <w:tc>
          <w:tcPr>
            <w:tcW w:w="1420" w:type="dxa"/>
            <w:vAlign w:val="bottom"/>
          </w:tcPr>
          <w:p>
            <w:pPr>
              <w:jc w:val="right"/>
              <w:ind w:right="92"/>
              <w:spacing w:after="0" w:line="202" w:lineRule="exact"/>
              <w:rPr>
                <w:sz w:val="20"/>
                <w:szCs w:val="20"/>
                <w:color w:val="auto"/>
              </w:rPr>
            </w:pPr>
            <w:r>
              <w:rPr>
                <w:rFonts w:ascii="Arial" w:cs="Arial" w:eastAsia="Arial" w:hAnsi="Arial"/>
                <w:sz w:val="18"/>
                <w:szCs w:val="18"/>
                <w:color w:val="auto"/>
              </w:rPr>
              <w:t>9,280</w:t>
            </w:r>
          </w:p>
        </w:tc>
        <w:tc>
          <w:tcPr>
            <w:tcW w:w="114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8,460</w:t>
            </w:r>
          </w:p>
        </w:tc>
        <w:tc>
          <w:tcPr>
            <w:tcW w:w="132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17,740</w:t>
            </w:r>
          </w:p>
        </w:tc>
        <w:tc>
          <w:tcPr>
            <w:tcW w:w="134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800" w:type="dxa"/>
            <w:vAlign w:val="bottom"/>
            <w:shd w:val="clear" w:color="auto" w:fill="E8EDF4"/>
          </w:tcPr>
          <w:p>
            <w:pPr>
              <w:ind w:left="340"/>
              <w:spacing w:after="0" w:line="202" w:lineRule="exact"/>
              <w:rPr>
                <w:sz w:val="20"/>
                <w:szCs w:val="20"/>
                <w:color w:val="auto"/>
              </w:rPr>
            </w:pPr>
            <w:r>
              <w:rPr>
                <w:rFonts w:ascii="Arial" w:cs="Arial" w:eastAsia="Arial" w:hAnsi="Arial"/>
                <w:sz w:val="18"/>
                <w:szCs w:val="18"/>
                <w:color w:val="auto"/>
              </w:rPr>
              <w:t>Karen M. Golz</w:t>
            </w:r>
          </w:p>
        </w:tc>
        <w:tc>
          <w:tcPr>
            <w:tcW w:w="1420" w:type="dxa"/>
            <w:vAlign w:val="bottom"/>
            <w:shd w:val="clear" w:color="auto" w:fill="E8EDF4"/>
          </w:tcPr>
          <w:p>
            <w:pPr>
              <w:jc w:val="right"/>
              <w:ind w:right="92"/>
              <w:spacing w:after="0" w:line="202" w:lineRule="exact"/>
              <w:rPr>
                <w:sz w:val="20"/>
                <w:szCs w:val="20"/>
                <w:color w:val="auto"/>
              </w:rPr>
            </w:pPr>
            <w:r>
              <w:rPr>
                <w:rFonts w:ascii="Arial" w:cs="Arial" w:eastAsia="Arial" w:hAnsi="Arial"/>
                <w:sz w:val="18"/>
                <w:szCs w:val="18"/>
                <w:color w:val="auto"/>
              </w:rPr>
              <w:t>1,504</w:t>
            </w:r>
          </w:p>
        </w:tc>
        <w:tc>
          <w:tcPr>
            <w:tcW w:w="1140" w:type="dxa"/>
            <w:vAlign w:val="bottom"/>
            <w:shd w:val="clear" w:color="auto" w:fill="E8EDF4"/>
          </w:tcPr>
          <w:p>
            <w:pPr>
              <w:jc w:val="right"/>
              <w:ind w:right="213"/>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E8EDF4"/>
          </w:tcPr>
          <w:p>
            <w:pPr>
              <w:jc w:val="right"/>
              <w:ind w:right="132"/>
              <w:spacing w:after="0" w:line="202" w:lineRule="exact"/>
              <w:rPr>
                <w:sz w:val="20"/>
                <w:szCs w:val="20"/>
                <w:color w:val="auto"/>
              </w:rPr>
            </w:pPr>
            <w:r>
              <w:rPr>
                <w:rFonts w:ascii="Arial" w:cs="Arial" w:eastAsia="Arial" w:hAnsi="Arial"/>
                <w:sz w:val="18"/>
                <w:szCs w:val="18"/>
                <w:color w:val="auto"/>
              </w:rPr>
              <w:t>1,504</w:t>
            </w:r>
          </w:p>
        </w:tc>
        <w:tc>
          <w:tcPr>
            <w:tcW w:w="1340" w:type="dxa"/>
            <w:vAlign w:val="bottom"/>
            <w:shd w:val="clear" w:color="auto" w:fill="E8EDF4"/>
          </w:tcPr>
          <w:p>
            <w:pPr>
              <w:jc w:val="right"/>
              <w:ind w:right="153"/>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800" w:type="dxa"/>
            <w:vAlign w:val="bottom"/>
          </w:tcPr>
          <w:p>
            <w:pPr>
              <w:ind w:left="340"/>
              <w:spacing w:after="0" w:line="202" w:lineRule="exact"/>
              <w:rPr>
                <w:sz w:val="20"/>
                <w:szCs w:val="20"/>
                <w:color w:val="auto"/>
              </w:rPr>
            </w:pPr>
            <w:r>
              <w:rPr>
                <w:rFonts w:ascii="Arial" w:cs="Arial" w:eastAsia="Arial" w:hAnsi="Arial"/>
                <w:sz w:val="18"/>
                <w:szCs w:val="18"/>
                <w:color w:val="auto"/>
              </w:rPr>
              <w:t>Joseph (John) Hassett</w:t>
            </w:r>
          </w:p>
        </w:tc>
        <w:tc>
          <w:tcPr>
            <w:tcW w:w="1420" w:type="dxa"/>
            <w:vAlign w:val="bottom"/>
          </w:tcPr>
          <w:p>
            <w:pPr>
              <w:jc w:val="right"/>
              <w:ind w:right="92"/>
              <w:spacing w:after="0" w:line="202" w:lineRule="exact"/>
              <w:rPr>
                <w:sz w:val="20"/>
                <w:szCs w:val="20"/>
                <w:color w:val="auto"/>
              </w:rPr>
            </w:pPr>
            <w:r>
              <w:rPr>
                <w:rFonts w:ascii="Arial" w:cs="Arial" w:eastAsia="Arial" w:hAnsi="Arial"/>
                <w:sz w:val="18"/>
                <w:szCs w:val="18"/>
                <w:color w:val="auto"/>
              </w:rPr>
              <w:t>12,202</w:t>
            </w:r>
          </w:p>
        </w:tc>
        <w:tc>
          <w:tcPr>
            <w:tcW w:w="114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20,178</w:t>
            </w:r>
          </w:p>
        </w:tc>
        <w:tc>
          <w:tcPr>
            <w:tcW w:w="132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32,380</w:t>
            </w:r>
          </w:p>
        </w:tc>
        <w:tc>
          <w:tcPr>
            <w:tcW w:w="134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800" w:type="dxa"/>
            <w:vAlign w:val="bottom"/>
            <w:shd w:val="clear" w:color="auto" w:fill="E8EDF4"/>
          </w:tcPr>
          <w:p>
            <w:pPr>
              <w:ind w:left="340"/>
              <w:spacing w:after="0" w:line="202" w:lineRule="exact"/>
              <w:rPr>
                <w:sz w:val="20"/>
                <w:szCs w:val="20"/>
                <w:color w:val="auto"/>
              </w:rPr>
            </w:pPr>
            <w:r>
              <w:rPr>
                <w:rFonts w:ascii="Arial" w:cs="Arial" w:eastAsia="Arial" w:hAnsi="Arial"/>
                <w:sz w:val="18"/>
                <w:szCs w:val="18"/>
                <w:color w:val="auto"/>
              </w:rPr>
              <w:t>Mark M. Little</w:t>
            </w:r>
          </w:p>
        </w:tc>
        <w:tc>
          <w:tcPr>
            <w:tcW w:w="1420" w:type="dxa"/>
            <w:vAlign w:val="bottom"/>
            <w:shd w:val="clear" w:color="auto" w:fill="E8EDF4"/>
          </w:tcPr>
          <w:p>
            <w:pPr>
              <w:jc w:val="right"/>
              <w:ind w:right="92"/>
              <w:spacing w:after="0" w:line="202" w:lineRule="exact"/>
              <w:rPr>
                <w:sz w:val="20"/>
                <w:szCs w:val="20"/>
                <w:color w:val="auto"/>
              </w:rPr>
            </w:pPr>
            <w:r>
              <w:rPr>
                <w:rFonts w:ascii="Arial" w:cs="Arial" w:eastAsia="Arial" w:hAnsi="Arial"/>
                <w:sz w:val="18"/>
                <w:szCs w:val="18"/>
                <w:color w:val="auto"/>
              </w:rPr>
              <w:t>4,805</w:t>
            </w:r>
          </w:p>
        </w:tc>
        <w:tc>
          <w:tcPr>
            <w:tcW w:w="1140" w:type="dxa"/>
            <w:vAlign w:val="bottom"/>
            <w:shd w:val="clear" w:color="auto" w:fill="E8EDF4"/>
          </w:tcPr>
          <w:p>
            <w:pPr>
              <w:jc w:val="right"/>
              <w:ind w:right="113"/>
              <w:spacing w:after="0" w:line="202" w:lineRule="exact"/>
              <w:rPr>
                <w:sz w:val="20"/>
                <w:szCs w:val="20"/>
                <w:color w:val="auto"/>
              </w:rPr>
            </w:pPr>
            <w:r>
              <w:rPr>
                <w:rFonts w:ascii="Arial" w:cs="Arial" w:eastAsia="Arial" w:hAnsi="Arial"/>
                <w:sz w:val="18"/>
                <w:szCs w:val="18"/>
                <w:color w:val="auto"/>
              </w:rPr>
              <w:t>1,040</w:t>
            </w:r>
          </w:p>
        </w:tc>
        <w:tc>
          <w:tcPr>
            <w:tcW w:w="1320" w:type="dxa"/>
            <w:vAlign w:val="bottom"/>
            <w:shd w:val="clear" w:color="auto" w:fill="E8EDF4"/>
          </w:tcPr>
          <w:p>
            <w:pPr>
              <w:jc w:val="right"/>
              <w:ind w:right="132"/>
              <w:spacing w:after="0" w:line="202" w:lineRule="exact"/>
              <w:rPr>
                <w:sz w:val="20"/>
                <w:szCs w:val="20"/>
                <w:color w:val="auto"/>
              </w:rPr>
            </w:pPr>
            <w:r>
              <w:rPr>
                <w:rFonts w:ascii="Arial" w:cs="Arial" w:eastAsia="Arial" w:hAnsi="Arial"/>
                <w:sz w:val="18"/>
                <w:szCs w:val="18"/>
                <w:color w:val="auto"/>
              </w:rPr>
              <w:t>5,845</w:t>
            </w:r>
          </w:p>
        </w:tc>
        <w:tc>
          <w:tcPr>
            <w:tcW w:w="1340" w:type="dxa"/>
            <w:vAlign w:val="bottom"/>
            <w:shd w:val="clear" w:color="auto" w:fill="E8EDF4"/>
          </w:tcPr>
          <w:p>
            <w:pPr>
              <w:jc w:val="right"/>
              <w:ind w:right="153"/>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800" w:type="dxa"/>
            <w:vAlign w:val="bottom"/>
          </w:tcPr>
          <w:p>
            <w:pPr>
              <w:ind w:left="340"/>
              <w:spacing w:after="0" w:line="202" w:lineRule="exact"/>
              <w:rPr>
                <w:sz w:val="20"/>
                <w:szCs w:val="20"/>
                <w:color w:val="auto"/>
              </w:rPr>
            </w:pPr>
            <w:r>
              <w:rPr>
                <w:rFonts w:ascii="Arial" w:cs="Arial" w:eastAsia="Arial" w:hAnsi="Arial"/>
                <w:sz w:val="18"/>
                <w:szCs w:val="18"/>
                <w:color w:val="auto"/>
              </w:rPr>
              <w:t>Prashanth Mahendra-Rajah</w:t>
            </w:r>
          </w:p>
        </w:tc>
        <w:tc>
          <w:tcPr>
            <w:tcW w:w="142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8,694</w:t>
            </w:r>
          </w:p>
        </w:tc>
        <w:tc>
          <w:tcPr>
            <w:tcW w:w="132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8,694</w:t>
            </w:r>
          </w:p>
        </w:tc>
        <w:tc>
          <w:tcPr>
            <w:tcW w:w="134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800" w:type="dxa"/>
            <w:vAlign w:val="bottom"/>
            <w:shd w:val="clear" w:color="auto" w:fill="E8EDF4"/>
          </w:tcPr>
          <w:p>
            <w:pPr>
              <w:ind w:left="340"/>
              <w:spacing w:after="0" w:line="202" w:lineRule="exact"/>
              <w:rPr>
                <w:sz w:val="20"/>
                <w:szCs w:val="20"/>
                <w:color w:val="auto"/>
              </w:rPr>
            </w:pPr>
            <w:r>
              <w:rPr>
                <w:rFonts w:ascii="Arial" w:cs="Arial" w:eastAsia="Arial" w:hAnsi="Arial"/>
                <w:sz w:val="18"/>
                <w:szCs w:val="18"/>
                <w:color w:val="auto"/>
              </w:rPr>
              <w:t>Neil Novich</w:t>
            </w:r>
          </w:p>
        </w:tc>
        <w:tc>
          <w:tcPr>
            <w:tcW w:w="1420" w:type="dxa"/>
            <w:vAlign w:val="bottom"/>
            <w:shd w:val="clear" w:color="auto" w:fill="E8EDF4"/>
          </w:tcPr>
          <w:p>
            <w:pPr>
              <w:jc w:val="right"/>
              <w:ind w:right="92"/>
              <w:spacing w:after="0" w:line="202" w:lineRule="exact"/>
              <w:rPr>
                <w:sz w:val="20"/>
                <w:szCs w:val="20"/>
                <w:color w:val="auto"/>
              </w:rPr>
            </w:pPr>
            <w:r>
              <w:rPr>
                <w:rFonts w:ascii="Arial" w:cs="Arial" w:eastAsia="Arial" w:hAnsi="Arial"/>
                <w:sz w:val="18"/>
                <w:szCs w:val="18"/>
                <w:color w:val="auto"/>
              </w:rPr>
              <w:t>24,895</w:t>
            </w:r>
          </w:p>
        </w:tc>
        <w:tc>
          <w:tcPr>
            <w:tcW w:w="1140" w:type="dxa"/>
            <w:vAlign w:val="bottom"/>
            <w:shd w:val="clear" w:color="auto" w:fill="E8EDF4"/>
          </w:tcPr>
          <w:p>
            <w:pPr>
              <w:jc w:val="right"/>
              <w:ind w:right="213"/>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E8EDF4"/>
          </w:tcPr>
          <w:p>
            <w:pPr>
              <w:jc w:val="right"/>
              <w:ind w:right="132"/>
              <w:spacing w:after="0" w:line="202" w:lineRule="exact"/>
              <w:rPr>
                <w:sz w:val="20"/>
                <w:szCs w:val="20"/>
                <w:color w:val="auto"/>
              </w:rPr>
            </w:pPr>
            <w:r>
              <w:rPr>
                <w:rFonts w:ascii="Arial" w:cs="Arial" w:eastAsia="Arial" w:hAnsi="Arial"/>
                <w:sz w:val="18"/>
                <w:szCs w:val="18"/>
                <w:color w:val="auto"/>
              </w:rPr>
              <w:t>24,895</w:t>
            </w:r>
          </w:p>
        </w:tc>
        <w:tc>
          <w:tcPr>
            <w:tcW w:w="1340" w:type="dxa"/>
            <w:vAlign w:val="bottom"/>
            <w:shd w:val="clear" w:color="auto" w:fill="E8EDF4"/>
          </w:tcPr>
          <w:p>
            <w:pPr>
              <w:jc w:val="right"/>
              <w:ind w:right="153"/>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800" w:type="dxa"/>
            <w:vAlign w:val="bottom"/>
          </w:tcPr>
          <w:p>
            <w:pPr>
              <w:ind w:left="340"/>
              <w:spacing w:after="0" w:line="202" w:lineRule="exact"/>
              <w:rPr>
                <w:sz w:val="20"/>
                <w:szCs w:val="20"/>
                <w:color w:val="auto"/>
              </w:rPr>
            </w:pPr>
            <w:r>
              <w:rPr>
                <w:rFonts w:ascii="Arial" w:cs="Arial" w:eastAsia="Arial" w:hAnsi="Arial"/>
                <w:sz w:val="18"/>
                <w:szCs w:val="18"/>
                <w:color w:val="auto"/>
              </w:rPr>
              <w:t>Steve Pietkiewicz</w:t>
            </w:r>
          </w:p>
        </w:tc>
        <w:tc>
          <w:tcPr>
            <w:tcW w:w="1420" w:type="dxa"/>
            <w:vAlign w:val="bottom"/>
          </w:tcPr>
          <w:p>
            <w:pPr>
              <w:jc w:val="right"/>
              <w:ind w:right="92"/>
              <w:spacing w:after="0" w:line="202" w:lineRule="exact"/>
              <w:rPr>
                <w:sz w:val="20"/>
                <w:szCs w:val="20"/>
                <w:color w:val="auto"/>
              </w:rPr>
            </w:pPr>
            <w:r>
              <w:rPr>
                <w:rFonts w:ascii="Arial" w:cs="Arial" w:eastAsia="Arial" w:hAnsi="Arial"/>
                <w:sz w:val="18"/>
                <w:szCs w:val="18"/>
                <w:color w:val="auto"/>
              </w:rPr>
              <w:t>28,447</w:t>
            </w:r>
          </w:p>
        </w:tc>
        <w:tc>
          <w:tcPr>
            <w:tcW w:w="114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18,084</w:t>
            </w:r>
          </w:p>
        </w:tc>
        <w:tc>
          <w:tcPr>
            <w:tcW w:w="132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46,531</w:t>
            </w:r>
          </w:p>
        </w:tc>
        <w:tc>
          <w:tcPr>
            <w:tcW w:w="134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800" w:type="dxa"/>
            <w:vAlign w:val="bottom"/>
            <w:shd w:val="clear" w:color="auto" w:fill="E8EDF4"/>
          </w:tcPr>
          <w:p>
            <w:pPr>
              <w:ind w:left="340"/>
              <w:spacing w:after="0" w:line="202" w:lineRule="exact"/>
              <w:rPr>
                <w:sz w:val="20"/>
                <w:szCs w:val="20"/>
                <w:color w:val="auto"/>
              </w:rPr>
            </w:pPr>
            <w:r>
              <w:rPr>
                <w:rFonts w:ascii="Arial" w:cs="Arial" w:eastAsia="Arial" w:hAnsi="Arial"/>
                <w:sz w:val="18"/>
                <w:szCs w:val="18"/>
                <w:color w:val="auto"/>
              </w:rPr>
              <w:t>Vincent Roche</w:t>
            </w:r>
          </w:p>
        </w:tc>
        <w:tc>
          <w:tcPr>
            <w:tcW w:w="1420" w:type="dxa"/>
            <w:vAlign w:val="bottom"/>
            <w:shd w:val="clear" w:color="auto" w:fill="E8EDF4"/>
          </w:tcPr>
          <w:p>
            <w:pPr>
              <w:jc w:val="right"/>
              <w:ind w:right="92"/>
              <w:spacing w:after="0" w:line="202" w:lineRule="exact"/>
              <w:rPr>
                <w:sz w:val="20"/>
                <w:szCs w:val="20"/>
                <w:color w:val="auto"/>
              </w:rPr>
            </w:pPr>
            <w:r>
              <w:rPr>
                <w:rFonts w:ascii="Arial" w:cs="Arial" w:eastAsia="Arial" w:hAnsi="Arial"/>
                <w:sz w:val="18"/>
                <w:szCs w:val="18"/>
                <w:color w:val="auto"/>
              </w:rPr>
              <w:t>21,206</w:t>
            </w:r>
          </w:p>
        </w:tc>
        <w:tc>
          <w:tcPr>
            <w:tcW w:w="1140" w:type="dxa"/>
            <w:vAlign w:val="bottom"/>
            <w:shd w:val="clear" w:color="auto" w:fill="E8EDF4"/>
          </w:tcPr>
          <w:p>
            <w:pPr>
              <w:jc w:val="right"/>
              <w:ind w:right="113"/>
              <w:spacing w:after="0" w:line="202" w:lineRule="exact"/>
              <w:rPr>
                <w:sz w:val="20"/>
                <w:szCs w:val="20"/>
                <w:color w:val="auto"/>
              </w:rPr>
            </w:pPr>
            <w:r>
              <w:rPr>
                <w:rFonts w:ascii="Arial" w:cs="Arial" w:eastAsia="Arial" w:hAnsi="Arial"/>
                <w:sz w:val="18"/>
                <w:szCs w:val="18"/>
                <w:color w:val="auto"/>
              </w:rPr>
              <w:t>148,283</w:t>
            </w:r>
          </w:p>
        </w:tc>
        <w:tc>
          <w:tcPr>
            <w:tcW w:w="1320" w:type="dxa"/>
            <w:vAlign w:val="bottom"/>
            <w:shd w:val="clear" w:color="auto" w:fill="E8EDF4"/>
          </w:tcPr>
          <w:p>
            <w:pPr>
              <w:jc w:val="right"/>
              <w:ind w:right="132"/>
              <w:spacing w:after="0" w:line="202" w:lineRule="exact"/>
              <w:rPr>
                <w:sz w:val="20"/>
                <w:szCs w:val="20"/>
                <w:color w:val="auto"/>
              </w:rPr>
            </w:pPr>
            <w:r>
              <w:rPr>
                <w:rFonts w:ascii="Arial" w:cs="Arial" w:eastAsia="Arial" w:hAnsi="Arial"/>
                <w:sz w:val="18"/>
                <w:szCs w:val="18"/>
                <w:color w:val="auto"/>
              </w:rPr>
              <w:t>169,489</w:t>
            </w:r>
          </w:p>
        </w:tc>
        <w:tc>
          <w:tcPr>
            <w:tcW w:w="1340" w:type="dxa"/>
            <w:vAlign w:val="bottom"/>
            <w:shd w:val="clear" w:color="auto" w:fill="E8EDF4"/>
          </w:tcPr>
          <w:p>
            <w:pPr>
              <w:jc w:val="right"/>
              <w:ind w:right="153"/>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800" w:type="dxa"/>
            <w:vAlign w:val="bottom"/>
          </w:tcPr>
          <w:p>
            <w:pPr>
              <w:ind w:left="340"/>
              <w:spacing w:after="0" w:line="202" w:lineRule="exact"/>
              <w:rPr>
                <w:sz w:val="20"/>
                <w:szCs w:val="20"/>
                <w:color w:val="auto"/>
              </w:rPr>
            </w:pPr>
            <w:r>
              <w:rPr>
                <w:rFonts w:ascii="Arial" w:cs="Arial" w:eastAsia="Arial" w:hAnsi="Arial"/>
                <w:sz w:val="18"/>
                <w:szCs w:val="18"/>
                <w:color w:val="auto"/>
              </w:rPr>
              <w:t>Kenton J. Sicchitano</w:t>
            </w:r>
          </w:p>
        </w:tc>
        <w:tc>
          <w:tcPr>
            <w:tcW w:w="1420" w:type="dxa"/>
            <w:vAlign w:val="bottom"/>
          </w:tcPr>
          <w:p>
            <w:pPr>
              <w:jc w:val="right"/>
              <w:ind w:right="92"/>
              <w:spacing w:after="0" w:line="202" w:lineRule="exact"/>
              <w:rPr>
                <w:sz w:val="20"/>
                <w:szCs w:val="20"/>
                <w:color w:val="auto"/>
              </w:rPr>
            </w:pPr>
            <w:r>
              <w:rPr>
                <w:rFonts w:ascii="Arial" w:cs="Arial" w:eastAsia="Arial" w:hAnsi="Arial"/>
                <w:sz w:val="18"/>
                <w:szCs w:val="18"/>
                <w:color w:val="auto"/>
              </w:rPr>
              <w:t>22,395</w:t>
            </w:r>
          </w:p>
        </w:tc>
        <w:tc>
          <w:tcPr>
            <w:tcW w:w="114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37,620</w:t>
            </w:r>
          </w:p>
        </w:tc>
        <w:tc>
          <w:tcPr>
            <w:tcW w:w="132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60,015</w:t>
            </w:r>
          </w:p>
        </w:tc>
        <w:tc>
          <w:tcPr>
            <w:tcW w:w="134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800" w:type="dxa"/>
            <w:vAlign w:val="bottom"/>
            <w:shd w:val="clear" w:color="auto" w:fill="E8EDF4"/>
          </w:tcPr>
          <w:p>
            <w:pPr>
              <w:ind w:left="340"/>
              <w:spacing w:after="0" w:line="202" w:lineRule="exact"/>
              <w:rPr>
                <w:sz w:val="20"/>
                <w:szCs w:val="20"/>
                <w:color w:val="auto"/>
              </w:rPr>
            </w:pPr>
            <w:r>
              <w:rPr>
                <w:rFonts w:ascii="Arial" w:cs="Arial" w:eastAsia="Arial" w:hAnsi="Arial"/>
                <w:sz w:val="18"/>
                <w:szCs w:val="18"/>
                <w:color w:val="auto"/>
              </w:rPr>
              <w:t>Ray Stata(10)</w:t>
            </w:r>
          </w:p>
        </w:tc>
        <w:tc>
          <w:tcPr>
            <w:tcW w:w="1420" w:type="dxa"/>
            <w:vAlign w:val="bottom"/>
            <w:shd w:val="clear" w:color="auto" w:fill="E8EDF4"/>
          </w:tcPr>
          <w:p>
            <w:pPr>
              <w:jc w:val="right"/>
              <w:ind w:right="92"/>
              <w:spacing w:after="0" w:line="202" w:lineRule="exact"/>
              <w:rPr>
                <w:sz w:val="20"/>
                <w:szCs w:val="20"/>
                <w:color w:val="auto"/>
              </w:rPr>
            </w:pPr>
            <w:r>
              <w:rPr>
                <w:rFonts w:ascii="Arial" w:cs="Arial" w:eastAsia="Arial" w:hAnsi="Arial"/>
                <w:sz w:val="18"/>
                <w:szCs w:val="18"/>
                <w:color w:val="auto"/>
              </w:rPr>
              <w:t>822,800</w:t>
            </w:r>
          </w:p>
        </w:tc>
        <w:tc>
          <w:tcPr>
            <w:tcW w:w="1140" w:type="dxa"/>
            <w:vAlign w:val="bottom"/>
            <w:shd w:val="clear" w:color="auto" w:fill="E8EDF4"/>
          </w:tcPr>
          <w:p>
            <w:pPr>
              <w:jc w:val="right"/>
              <w:ind w:right="113"/>
              <w:spacing w:after="0" w:line="202" w:lineRule="exact"/>
              <w:rPr>
                <w:sz w:val="20"/>
                <w:szCs w:val="20"/>
                <w:color w:val="auto"/>
              </w:rPr>
            </w:pPr>
            <w:r>
              <w:rPr>
                <w:rFonts w:ascii="Arial" w:cs="Arial" w:eastAsia="Arial" w:hAnsi="Arial"/>
                <w:sz w:val="18"/>
                <w:szCs w:val="18"/>
                <w:color w:val="auto"/>
              </w:rPr>
              <w:t>37,620</w:t>
            </w:r>
          </w:p>
        </w:tc>
        <w:tc>
          <w:tcPr>
            <w:tcW w:w="1320" w:type="dxa"/>
            <w:vAlign w:val="bottom"/>
            <w:shd w:val="clear" w:color="auto" w:fill="E8EDF4"/>
          </w:tcPr>
          <w:p>
            <w:pPr>
              <w:jc w:val="right"/>
              <w:ind w:right="132"/>
              <w:spacing w:after="0" w:line="202" w:lineRule="exact"/>
              <w:rPr>
                <w:sz w:val="20"/>
                <w:szCs w:val="20"/>
                <w:color w:val="auto"/>
              </w:rPr>
            </w:pPr>
            <w:r>
              <w:rPr>
                <w:rFonts w:ascii="Arial" w:cs="Arial" w:eastAsia="Arial" w:hAnsi="Arial"/>
                <w:sz w:val="18"/>
                <w:szCs w:val="18"/>
                <w:color w:val="auto"/>
              </w:rPr>
              <w:t>860,420</w:t>
            </w:r>
          </w:p>
        </w:tc>
        <w:tc>
          <w:tcPr>
            <w:tcW w:w="1340" w:type="dxa"/>
            <w:vAlign w:val="bottom"/>
            <w:shd w:val="clear" w:color="auto" w:fill="E8EDF4"/>
          </w:tcPr>
          <w:p>
            <w:pPr>
              <w:jc w:val="right"/>
              <w:ind w:right="153"/>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800" w:type="dxa"/>
            <w:vAlign w:val="bottom"/>
          </w:tcPr>
          <w:p>
            <w:pPr>
              <w:ind w:left="340"/>
              <w:spacing w:after="0" w:line="202" w:lineRule="exact"/>
              <w:rPr>
                <w:sz w:val="20"/>
                <w:szCs w:val="20"/>
                <w:color w:val="auto"/>
              </w:rPr>
            </w:pPr>
            <w:r>
              <w:rPr>
                <w:rFonts w:ascii="Arial" w:cs="Arial" w:eastAsia="Arial" w:hAnsi="Arial"/>
                <w:sz w:val="18"/>
                <w:szCs w:val="18"/>
                <w:color w:val="auto"/>
              </w:rPr>
              <w:t>Lisa Su</w:t>
            </w:r>
          </w:p>
        </w:tc>
        <w:tc>
          <w:tcPr>
            <w:tcW w:w="1420" w:type="dxa"/>
            <w:vAlign w:val="bottom"/>
          </w:tcPr>
          <w:p>
            <w:pPr>
              <w:jc w:val="right"/>
              <w:ind w:right="92"/>
              <w:spacing w:after="0" w:line="202" w:lineRule="exact"/>
              <w:rPr>
                <w:sz w:val="20"/>
                <w:szCs w:val="20"/>
                <w:color w:val="auto"/>
              </w:rPr>
            </w:pPr>
            <w:r>
              <w:rPr>
                <w:rFonts w:ascii="Arial" w:cs="Arial" w:eastAsia="Arial" w:hAnsi="Arial"/>
                <w:sz w:val="18"/>
                <w:szCs w:val="18"/>
                <w:color w:val="auto"/>
              </w:rPr>
              <w:t>12,995</w:t>
            </w:r>
          </w:p>
        </w:tc>
        <w:tc>
          <w:tcPr>
            <w:tcW w:w="114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25,760</w:t>
            </w:r>
          </w:p>
        </w:tc>
        <w:tc>
          <w:tcPr>
            <w:tcW w:w="132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38,755</w:t>
            </w:r>
          </w:p>
        </w:tc>
        <w:tc>
          <w:tcPr>
            <w:tcW w:w="134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800" w:type="dxa"/>
            <w:vAlign w:val="bottom"/>
            <w:shd w:val="clear" w:color="auto" w:fill="E8EDF4"/>
          </w:tcPr>
          <w:p>
            <w:pPr>
              <w:ind w:left="340"/>
              <w:spacing w:after="0" w:line="202" w:lineRule="exact"/>
              <w:rPr>
                <w:sz w:val="20"/>
                <w:szCs w:val="20"/>
                <w:color w:val="auto"/>
              </w:rPr>
            </w:pPr>
            <w:r>
              <w:rPr>
                <w:rFonts w:ascii="Arial" w:cs="Arial" w:eastAsia="Arial" w:hAnsi="Arial"/>
                <w:sz w:val="18"/>
                <w:szCs w:val="18"/>
                <w:color w:val="auto"/>
              </w:rPr>
              <w:t>Susie Wee(11)</w:t>
            </w:r>
          </w:p>
        </w:tc>
        <w:tc>
          <w:tcPr>
            <w:tcW w:w="1420" w:type="dxa"/>
            <w:vAlign w:val="bottom"/>
            <w:shd w:val="clear" w:color="auto" w:fill="E8EDF4"/>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E8EDF4"/>
          </w:tcPr>
          <w:p>
            <w:pPr>
              <w:jc w:val="right"/>
              <w:ind w:right="213"/>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E8EDF4"/>
          </w:tcPr>
          <w:p>
            <w:pPr>
              <w:jc w:val="right"/>
              <w:ind w:right="232"/>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E8EDF4"/>
          </w:tcPr>
          <w:p>
            <w:pPr>
              <w:jc w:val="right"/>
              <w:ind w:right="153"/>
              <w:spacing w:after="0" w:line="202" w:lineRule="exact"/>
              <w:rPr>
                <w:sz w:val="20"/>
                <w:szCs w:val="20"/>
                <w:color w:val="auto"/>
              </w:rPr>
            </w:pPr>
            <w:r>
              <w:rPr>
                <w:rFonts w:ascii="Arial" w:cs="Arial" w:eastAsia="Arial" w:hAnsi="Arial"/>
                <w:sz w:val="18"/>
                <w:szCs w:val="18"/>
                <w:color w:val="auto"/>
              </w:rPr>
              <w:t>*</w:t>
            </w:r>
          </w:p>
        </w:tc>
      </w:tr>
      <w:tr>
        <w:trPr>
          <w:trHeight w:val="269"/>
        </w:trPr>
        <w:tc>
          <w:tcPr>
            <w:tcW w:w="5820" w:type="dxa"/>
            <w:vAlign w:val="bottom"/>
            <w:gridSpan w:val="2"/>
          </w:tcPr>
          <w:p>
            <w:pPr>
              <w:spacing w:after="0"/>
              <w:rPr>
                <w:sz w:val="20"/>
                <w:szCs w:val="20"/>
                <w:color w:val="auto"/>
              </w:rPr>
            </w:pPr>
            <w:r>
              <w:rPr>
                <w:rFonts w:ascii="Arial" w:cs="Arial" w:eastAsia="Arial" w:hAnsi="Arial"/>
                <w:sz w:val="18"/>
                <w:szCs w:val="18"/>
                <w:color w:val="auto"/>
              </w:rPr>
              <w:t>All directors and executive officers as a group</w:t>
            </w:r>
          </w:p>
        </w:tc>
        <w:tc>
          <w:tcPr>
            <w:tcW w:w="14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5800" w:type="dxa"/>
            <w:vAlign w:val="bottom"/>
          </w:tcPr>
          <w:p>
            <w:pPr>
              <w:ind w:left="160"/>
              <w:spacing w:after="0" w:line="202" w:lineRule="exact"/>
              <w:rPr>
                <w:sz w:val="20"/>
                <w:szCs w:val="20"/>
                <w:color w:val="auto"/>
              </w:rPr>
            </w:pPr>
            <w:r>
              <w:rPr>
                <w:rFonts w:ascii="Arial" w:cs="Arial" w:eastAsia="Arial" w:hAnsi="Arial"/>
                <w:sz w:val="18"/>
                <w:szCs w:val="18"/>
                <w:color w:val="auto"/>
              </w:rPr>
              <w:t>(17 persons, consisting of 6 executive officers and 11 non-employee</w:t>
            </w:r>
          </w:p>
        </w:tc>
        <w:tc>
          <w:tcPr>
            <w:tcW w:w="1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auto"/>
              </w:rPr>
              <w:t>directors)(12)</w:t>
            </w:r>
          </w:p>
        </w:tc>
        <w:tc>
          <w:tcPr>
            <w:tcW w:w="1420" w:type="dxa"/>
            <w:vAlign w:val="bottom"/>
          </w:tcPr>
          <w:p>
            <w:pPr>
              <w:jc w:val="right"/>
              <w:ind w:right="92"/>
              <w:spacing w:after="0"/>
              <w:rPr>
                <w:sz w:val="20"/>
                <w:szCs w:val="20"/>
                <w:color w:val="auto"/>
              </w:rPr>
            </w:pPr>
            <w:r>
              <w:rPr>
                <w:rFonts w:ascii="Arial" w:cs="Arial" w:eastAsia="Arial" w:hAnsi="Arial"/>
                <w:sz w:val="18"/>
                <w:szCs w:val="18"/>
                <w:color w:val="auto"/>
              </w:rPr>
              <w:t>1,110,723</w:t>
            </w: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438,185</w:t>
            </w:r>
          </w:p>
        </w:tc>
        <w:tc>
          <w:tcPr>
            <w:tcW w:w="1320" w:type="dxa"/>
            <w:vAlign w:val="bottom"/>
          </w:tcPr>
          <w:p>
            <w:pPr>
              <w:jc w:val="right"/>
              <w:ind w:right="132"/>
              <w:spacing w:after="0"/>
              <w:rPr>
                <w:sz w:val="20"/>
                <w:szCs w:val="20"/>
                <w:color w:val="auto"/>
              </w:rPr>
            </w:pPr>
            <w:r>
              <w:rPr>
                <w:rFonts w:ascii="Arial" w:cs="Arial" w:eastAsia="Arial" w:hAnsi="Arial"/>
                <w:sz w:val="18"/>
                <w:szCs w:val="18"/>
                <w:color w:val="auto"/>
              </w:rPr>
              <w:t>1,548,908</w:t>
            </w:r>
          </w:p>
        </w:tc>
        <w:tc>
          <w:tcPr>
            <w:tcW w:w="1340" w:type="dxa"/>
            <w:vAlign w:val="bottom"/>
          </w:tcPr>
          <w:p>
            <w:pPr>
              <w:jc w:val="right"/>
              <w:ind w:right="153"/>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77470</wp:posOffset>
            </wp:positionV>
            <wp:extent cx="7632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0" w:lineRule="exact"/>
        <w:rPr>
          <w:sz w:val="20"/>
          <w:szCs w:val="20"/>
          <w:color w:val="auto"/>
        </w:rPr>
      </w:pPr>
    </w:p>
    <w:p>
      <w:pPr>
        <w:ind w:left="640" w:hanging="43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less than 1% of the outstanding shares of our common stock.</w:t>
      </w:r>
    </w:p>
    <w:p>
      <w:pPr>
        <w:ind w:left="640" w:right="140" w:hanging="436"/>
        <w:spacing w:after="0" w:line="246" w:lineRule="auto"/>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Unless otherwise indicated, the address of each beneficial owner listed is c/o Analog Devices, Inc., One Technology Way, Norwood, Massachusetts 02062.</w:t>
      </w:r>
    </w:p>
    <w:p>
      <w:pPr>
        <w:spacing w:after="0" w:line="129" w:lineRule="exact"/>
        <w:rPr>
          <w:sz w:val="20"/>
          <w:szCs w:val="20"/>
          <w:color w:val="auto"/>
        </w:rPr>
      </w:pPr>
    </w:p>
    <w:p>
      <w:pPr>
        <w:ind w:left="9320"/>
        <w:spacing w:after="0"/>
        <w:tabs>
          <w:tab w:leader="none" w:pos="11000" w:val="left"/>
        </w:tabs>
        <w:rPr>
          <w:sz w:val="20"/>
          <w:szCs w:val="20"/>
          <w:color w:val="auto"/>
        </w:rPr>
      </w:pPr>
      <w:r>
        <w:rPr>
          <w:rFonts w:ascii="Arial" w:cs="Arial" w:eastAsia="Arial" w:hAnsi="Arial"/>
          <w:sz w:val="14"/>
          <w:szCs w:val="14"/>
          <w:b w:val="1"/>
          <w:bCs w:val="1"/>
          <w:color w:val="052B82"/>
        </w:rPr>
        <w:t>2020 Proxy Statement</w:t>
      </w:r>
      <w:r>
        <w:rPr>
          <w:sz w:val="20"/>
          <w:szCs w:val="20"/>
          <w:color w:val="auto"/>
        </w:rPr>
        <w:tab/>
      </w:r>
      <w:r>
        <w:rPr>
          <w:rFonts w:ascii="Arial" w:cs="Arial" w:eastAsia="Arial" w:hAnsi="Arial"/>
          <w:sz w:val="17"/>
          <w:szCs w:val="17"/>
          <w:color w:val="999999"/>
        </w:rPr>
        <w:t>15</w:t>
      </w:r>
    </w:p>
    <w:p>
      <w:pPr>
        <w:sectPr>
          <w:pgSz w:w="11900" w:h="16838" w:orient="portrait"/>
          <w:cols w:equalWidth="0" w:num="1">
            <w:col w:w="11240"/>
          </w:cols>
          <w:pgMar w:left="240" w:top="459" w:right="4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2649855"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40" w:right="180" w:hanging="436"/>
        <w:spacing w:after="0" w:line="234" w:lineRule="auto"/>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 each person, the “Shares Beneficially Owned” column may include shares of common stock attributable to the person because of that person’s voting or investment power. Unless otherwise indicated, each person in the table has sole voting and investment power over the shares listed. The inclusion in the table of any shares, however, does not constitute an admission of beneficial ownership of those shares by the named shareholder.</w:t>
      </w:r>
    </w:p>
    <w:p>
      <w:pPr>
        <w:spacing w:after="0" w:line="3" w:lineRule="exact"/>
        <w:rPr>
          <w:rFonts w:ascii="Arial" w:cs="Arial" w:eastAsia="Arial" w:hAnsi="Arial"/>
          <w:sz w:val="18"/>
          <w:szCs w:val="18"/>
          <w:color w:val="auto"/>
        </w:rPr>
      </w:pPr>
    </w:p>
    <w:p>
      <w:pPr>
        <w:ind w:left="640" w:right="100" w:hanging="436"/>
        <w:spacing w:after="0" w:line="234" w:lineRule="auto"/>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number of shares of common stock beneficially owned by each person is determined under applicable SEC rules. Under these rules, a person is deemed to have “beneficial ownership” of any shares over which that person has or shares voting or investment power, plus any shares that the person has the right to acquire within 60 days, including through the exercise of stock options. Unless otherwise indicated, for each person named in the table, the number in the “Shares Acquirable within 60 Days” column consists of shares covered by stock options that may be exercised and restricted stock units, or RSUs, that vest within 60 days after January 3, 2020.</w:t>
      </w:r>
    </w:p>
    <w:p>
      <w:pPr>
        <w:spacing w:after="0" w:line="4" w:lineRule="exact"/>
        <w:rPr>
          <w:rFonts w:ascii="Arial" w:cs="Arial" w:eastAsia="Arial" w:hAnsi="Arial"/>
          <w:sz w:val="18"/>
          <w:szCs w:val="18"/>
          <w:color w:val="auto"/>
        </w:rPr>
      </w:pPr>
    </w:p>
    <w:p>
      <w:pPr>
        <w:ind w:left="640" w:right="40" w:hanging="436"/>
        <w:spacing w:after="0" w:line="234" w:lineRule="auto"/>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percent ownership for each shareholder on January 3, 2020 is calculated by dividing (1) the total number of shares beneficially owned by the shareholder by (2) the number of shares of our common stock outstanding on January 3, 2020 (369,010,543 shares) plus any shares acquirable (including exercisable stock options) by the shareholder in question within 60 days after January 3, 2020.</w:t>
      </w:r>
    </w:p>
    <w:p>
      <w:pPr>
        <w:spacing w:after="0" w:line="2" w:lineRule="exact"/>
        <w:rPr>
          <w:rFonts w:ascii="Arial" w:cs="Arial" w:eastAsia="Arial" w:hAnsi="Arial"/>
          <w:sz w:val="18"/>
          <w:szCs w:val="18"/>
          <w:color w:val="auto"/>
        </w:rPr>
      </w:pPr>
    </w:p>
    <w:p>
      <w:pPr>
        <w:ind w:left="640" w:right="40" w:hanging="436"/>
        <w:spacing w:after="0" w:line="234" w:lineRule="auto"/>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solely on a Form 13F-HR filed by Vanguard Group Inc. on November 14, 2019 reporting stock ownership as of September 30, 2019. Vanguard Group Inc. also reported that, as of September 30, 2019, it had sole voting power for 442,205 shares, sole investment power for 31,609,212 shares, shared voting power for 98,896 shares, shared investment power for 509,903 shares and no voting power with respect to 31,578,014 shares.</w:t>
      </w:r>
    </w:p>
    <w:p>
      <w:pPr>
        <w:spacing w:after="0" w:line="3" w:lineRule="exact"/>
        <w:rPr>
          <w:rFonts w:ascii="Arial" w:cs="Arial" w:eastAsia="Arial" w:hAnsi="Arial"/>
          <w:sz w:val="18"/>
          <w:szCs w:val="18"/>
          <w:color w:val="auto"/>
        </w:rPr>
      </w:pPr>
    </w:p>
    <w:p>
      <w:pPr>
        <w:ind w:left="640" w:right="100" w:hanging="436"/>
        <w:spacing w:after="0" w:line="234" w:lineRule="auto"/>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solely on a Form 13F-HR filed by BlackRock Inc. on November 8, 2019 reporting stock ownership as of September 30, 2019. BlackRock Inc. also reported that, as of September 30, 2019, it had sole voting power for 21,064,353 shares and no voting power with respect to 3,368,050 shares.</w:t>
      </w:r>
    </w:p>
    <w:p>
      <w:pPr>
        <w:spacing w:after="0" w:line="2" w:lineRule="exact"/>
        <w:rPr>
          <w:rFonts w:ascii="Arial" w:cs="Arial" w:eastAsia="Arial" w:hAnsi="Arial"/>
          <w:sz w:val="18"/>
          <w:szCs w:val="18"/>
          <w:color w:val="auto"/>
        </w:rPr>
      </w:pPr>
    </w:p>
    <w:p>
      <w:pPr>
        <w:ind w:left="640" w:right="240" w:hanging="436"/>
        <w:spacing w:after="0" w:line="234" w:lineRule="auto"/>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solely on a Schedule 13G/A filed by JPMorgan Chase &amp; Co. on January 8, 2020 reporting stock ownership as of December 31, 2019. JPMorgan Chase &amp; Co. also reported that, as of December 31, 2019, it had sole voting power for 19,440,819 shares, sole dispositive power for 20,939,936 shares, shared voting power for 112,902 shares and shared dispositive power for 181,789 shares.</w:t>
      </w:r>
    </w:p>
    <w:p>
      <w:pPr>
        <w:spacing w:after="0" w:line="3" w:lineRule="exact"/>
        <w:rPr>
          <w:rFonts w:ascii="Arial" w:cs="Arial" w:eastAsia="Arial" w:hAnsi="Arial"/>
          <w:sz w:val="18"/>
          <w:szCs w:val="18"/>
          <w:color w:val="auto"/>
        </w:rPr>
      </w:pPr>
    </w:p>
    <w:p>
      <w:pPr>
        <w:ind w:left="640" w:hanging="436"/>
        <w:spacing w:after="0" w:line="234" w:lineRule="auto"/>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solely on a Form 13F-HR filed by Massachusetts Financial Services Co. on November 5, 2019 reporting stock ownership as of September 30, 2019. Massachusetts Financial Services Co. also reported that, as of September 30, 2019, it had sole voting power for 15,706,708 shares, sole investment power for 15,984,038 shares, shared voting power for 2,323,451 shares, shared investment power for 2,906,801 shares and no voting power with respect to 860,680 shares.</w:t>
      </w:r>
    </w:p>
    <w:p>
      <w:pPr>
        <w:spacing w:after="0" w:line="3" w:lineRule="exact"/>
        <w:rPr>
          <w:rFonts w:ascii="Arial" w:cs="Arial" w:eastAsia="Arial" w:hAnsi="Arial"/>
          <w:sz w:val="18"/>
          <w:szCs w:val="18"/>
          <w:color w:val="auto"/>
        </w:rPr>
      </w:pPr>
    </w:p>
    <w:p>
      <w:pPr>
        <w:ind w:left="640" w:right="300" w:hanging="436"/>
        <w:spacing w:after="0" w:line="234" w:lineRule="auto"/>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45,645 shares held in trust for the benefit of Mr. Champy’s spouse and son, as to which Mr. Champy disclaims beneficial ownership.</w:t>
      </w:r>
    </w:p>
    <w:p>
      <w:pPr>
        <w:spacing w:after="0" w:line="1" w:lineRule="exact"/>
        <w:rPr>
          <w:rFonts w:ascii="Arial" w:cs="Arial" w:eastAsia="Arial" w:hAnsi="Arial"/>
          <w:sz w:val="18"/>
          <w:szCs w:val="18"/>
          <w:color w:val="auto"/>
        </w:rPr>
      </w:pPr>
    </w:p>
    <w:p>
      <w:pPr>
        <w:ind w:left="640" w:right="160" w:hanging="436"/>
        <w:spacing w:after="0" w:line="234" w:lineRule="auto"/>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668,709 shares held by Mr. Stata’s spouse, as to which Mr. Stata disclaims beneficial ownership. Includes 648,709 shares held by Mr. Stata’s spouse and 133,138 shares held directly by Mr. Stata that are pledged as collateral for a line of credit from a bank. Since January 2013, we have prohibited our directors and executive officers from future pledging of their Company securities as collateral for a loan.</w:t>
      </w:r>
    </w:p>
    <w:p>
      <w:pPr>
        <w:spacing w:after="0" w:line="3" w:lineRule="exact"/>
        <w:rPr>
          <w:rFonts w:ascii="Arial" w:cs="Arial" w:eastAsia="Arial" w:hAnsi="Arial"/>
          <w:sz w:val="18"/>
          <w:szCs w:val="18"/>
          <w:color w:val="auto"/>
        </w:rPr>
      </w:pPr>
    </w:p>
    <w:p>
      <w:pPr>
        <w:ind w:left="640" w:hanging="436"/>
        <w:spacing w:after="0" w:line="234" w:lineRule="auto"/>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Susie Wee joined the Board of Directors on November 29, 2019.</w:t>
      </w:r>
    </w:p>
    <w:p>
      <w:pPr>
        <w:ind w:left="640" w:hanging="43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 directors and executive officers as a group disclaim beneficial ownership of a total of 714,354 shares.</w:t>
      </w:r>
    </w:p>
    <w:p>
      <w:pPr>
        <w:spacing w:after="0" w:line="142" w:lineRule="exact"/>
        <w:rPr>
          <w:sz w:val="20"/>
          <w:szCs w:val="20"/>
          <w:color w:val="auto"/>
        </w:rPr>
      </w:pPr>
    </w:p>
    <w:p>
      <w:pPr>
        <w:ind w:left="600" w:hanging="396"/>
        <w:spacing w:after="0"/>
        <w:tabs>
          <w:tab w:leader="none" w:pos="600" w:val="left"/>
        </w:tabs>
        <w:numPr>
          <w:ilvl w:val="0"/>
          <w:numId w:val="49"/>
        </w:numPr>
        <w:rPr>
          <w:rFonts w:ascii="Arial" w:cs="Arial" w:eastAsia="Arial" w:hAnsi="Arial"/>
          <w:sz w:val="18"/>
          <w:szCs w:val="18"/>
          <w:color w:val="999999"/>
        </w:rPr>
      </w:pPr>
      <w:r>
        <w:rPr>
          <w:rFonts w:ascii="Arial" w:cs="Arial" w:eastAsia="Arial" w:hAnsi="Arial"/>
          <w:sz w:val="14"/>
          <w:szCs w:val="14"/>
          <w:b w:val="1"/>
          <w:bCs w:val="1"/>
          <w:color w:val="052B82"/>
        </w:rPr>
        <w:t>Analog Devices, Inc.</w:t>
      </w:r>
    </w:p>
    <w:p>
      <w:pPr>
        <w:sectPr>
          <w:pgSz w:w="11900" w:h="16838" w:orient="portrait"/>
          <w:cols w:equalWidth="0" w:num="1">
            <w:col w:w="11220"/>
          </w:cols>
          <w:pgMar w:left="24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205740</wp:posOffset>
            </wp:positionV>
            <wp:extent cx="2649855"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0"/>
        <w:spacing w:after="0"/>
        <w:rPr>
          <w:sz w:val="20"/>
          <w:szCs w:val="20"/>
          <w:color w:val="auto"/>
        </w:rPr>
      </w:pPr>
      <w:r>
        <w:rPr>
          <w:rFonts w:ascii="Arial" w:cs="Arial" w:eastAsia="Arial" w:hAnsi="Arial"/>
          <w:sz w:val="32"/>
          <w:szCs w:val="32"/>
          <w:color w:val="052B82"/>
        </w:rPr>
        <w:t>DELINQUENT SECTION 16(A) REPORTS</w:t>
      </w:r>
    </w:p>
    <w:p>
      <w:pPr>
        <w:spacing w:after="0" w:line="222" w:lineRule="exact"/>
        <w:rPr>
          <w:sz w:val="20"/>
          <w:szCs w:val="20"/>
          <w:color w:val="auto"/>
        </w:rPr>
      </w:pPr>
    </w:p>
    <w:p>
      <w:pPr>
        <w:ind w:left="200" w:right="120" w:firstLine="441"/>
        <w:spacing w:after="0" w:line="237" w:lineRule="auto"/>
        <w:rPr>
          <w:sz w:val="20"/>
          <w:szCs w:val="20"/>
          <w:color w:val="auto"/>
        </w:rPr>
      </w:pPr>
      <w:r>
        <w:rPr>
          <w:rFonts w:ascii="Arial" w:cs="Arial" w:eastAsia="Arial" w:hAnsi="Arial"/>
          <w:sz w:val="18"/>
          <w:szCs w:val="18"/>
          <w:color w:val="auto"/>
        </w:rPr>
        <w:t>Section 16(a) of the Exchange Act requires our executive officers, directors and the holders of more than 10% of our common stock to file with the SEC initial reports of ownership of our common stock and other equity securities on a Form 3 and reports of changes in such ownership on a Form 4 or Form 5. Officers, directors and 10% shareholders are required by SEC regulations to furnish us with copies of all Section 16(a) forms they file. To our knowledge, based solely on a review of our records and written representations by the persons required to file these reports, all filing requirements of Section 16(a) were satisfied on a timely basis with respect to fiscal 2019, with the exception of a late filing by Mr. Champy to report a gift of 162 shares to an educational institution.</w:t>
      </w:r>
    </w:p>
    <w:p>
      <w:pPr>
        <w:spacing w:after="0" w:line="138"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4"/>
          <w:szCs w:val="14"/>
          <w:b w:val="1"/>
          <w:bCs w:val="1"/>
          <w:color w:val="052B82"/>
        </w:rPr>
        <w:t>2020 Proxy Statement</w:t>
      </w:r>
      <w:r>
        <w:rPr>
          <w:sz w:val="20"/>
          <w:szCs w:val="20"/>
          <w:color w:val="auto"/>
        </w:rPr>
        <w:tab/>
      </w:r>
      <w:r>
        <w:rPr>
          <w:rFonts w:ascii="Arial" w:cs="Arial" w:eastAsia="Arial" w:hAnsi="Arial"/>
          <w:sz w:val="17"/>
          <w:szCs w:val="17"/>
          <w:color w:val="999999"/>
        </w:rPr>
        <w:t>17</w:t>
      </w:r>
    </w:p>
    <w:p>
      <w:pPr>
        <w:sectPr>
          <w:pgSz w:w="11900" w:h="16838" w:orient="portrait"/>
          <w:cols w:equalWidth="0" w:num="1">
            <w:col w:w="11220"/>
          </w:cols>
          <w:pgMar w:left="24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437515</wp:posOffset>
            </wp:positionV>
            <wp:extent cx="6997700" cy="4032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7700" cy="40322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205740</wp:posOffset>
            </wp:positionV>
            <wp:extent cx="2649855"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00"/>
        <w:spacing w:after="0"/>
        <w:rPr>
          <w:sz w:val="20"/>
          <w:szCs w:val="20"/>
          <w:color w:val="auto"/>
        </w:rPr>
      </w:pPr>
      <w:r>
        <w:rPr>
          <w:rFonts w:ascii="Arial" w:cs="Arial" w:eastAsia="Arial" w:hAnsi="Arial"/>
          <w:sz w:val="32"/>
          <w:szCs w:val="32"/>
          <w:b w:val="1"/>
          <w:bCs w:val="1"/>
          <w:color w:val="FFFFFF"/>
        </w:rPr>
        <w:t>PROPOSAL 1</w:t>
      </w:r>
    </w:p>
    <w:p>
      <w:pPr>
        <w:spacing w:after="0" w:line="200" w:lineRule="exact"/>
        <w:rPr>
          <w:sz w:val="20"/>
          <w:szCs w:val="20"/>
          <w:color w:val="auto"/>
        </w:rPr>
      </w:pPr>
    </w:p>
    <w:p>
      <w:pPr>
        <w:spacing w:after="0" w:line="309" w:lineRule="exact"/>
        <w:rPr>
          <w:sz w:val="20"/>
          <w:szCs w:val="20"/>
          <w:color w:val="auto"/>
        </w:rPr>
      </w:pPr>
    </w:p>
    <w:p>
      <w:pPr>
        <w:ind w:left="200"/>
        <w:spacing w:after="0"/>
        <w:rPr>
          <w:sz w:val="20"/>
          <w:szCs w:val="20"/>
          <w:color w:val="auto"/>
        </w:rPr>
      </w:pPr>
      <w:r>
        <w:rPr>
          <w:rFonts w:ascii="Arial" w:cs="Arial" w:eastAsia="Arial" w:hAnsi="Arial"/>
          <w:sz w:val="32"/>
          <w:szCs w:val="32"/>
          <w:color w:val="052B82"/>
        </w:rPr>
        <w:t>ELECTION OF DIRECTORS</w:t>
      </w:r>
    </w:p>
    <w:p>
      <w:pPr>
        <w:spacing w:after="0" w:line="20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52B82"/>
        </w:rPr>
        <w:t>ELECTION PROCESS</w:t>
      </w:r>
    </w:p>
    <w:p>
      <w:pPr>
        <w:spacing w:after="0" w:line="126"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Our entire Board of Directors is elected annually by our shareholders and currently consists of twelve directors, of whom ten are deemed to be “independent directors.” Lisa Su and Neil Novich are retiring from the Board of Directors and therefore are not standing for re-election at the Annual Meeting. Dr. Su and Mr. Novich will continue to serve as directors until their terms expire at the Annual Meeting. At the Annual Meeting, shareholders will accordingly have an opportunity to vote for each of the ten nominees listed below. The persons named in the proxy card, upon receipt of a properly executed proxy, will vote for each of these nominees, unless you instruct them to vote otherwise on the proxy card (whether executed by you or through Internet or telephonic voting). Each of the nominees has indicated his or her willingness to serve, if elected. However, if any or all of the nominees should be unable or unwilling to serve, the proxies may be voted for a substitute nominee designated by our Board of Directors or our Board of Directors may reduce the number of directors.</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52B82"/>
        </w:rPr>
        <w:t>DIRECTOR CRITERIA, QUALIFICATIONS AND EXPERIENCE</w:t>
      </w:r>
    </w:p>
    <w:p>
      <w:pPr>
        <w:spacing w:after="0" w:line="126" w:lineRule="exact"/>
        <w:rPr>
          <w:sz w:val="20"/>
          <w:szCs w:val="20"/>
          <w:color w:val="auto"/>
        </w:rPr>
      </w:pPr>
    </w:p>
    <w:p>
      <w:pPr>
        <w:ind w:left="200" w:right="160" w:firstLine="441"/>
        <w:spacing w:after="0" w:line="238" w:lineRule="auto"/>
        <w:rPr>
          <w:sz w:val="20"/>
          <w:szCs w:val="20"/>
          <w:color w:val="auto"/>
        </w:rPr>
      </w:pPr>
      <w:r>
        <w:rPr>
          <w:rFonts w:ascii="Arial" w:cs="Arial" w:eastAsia="Arial" w:hAnsi="Arial"/>
          <w:sz w:val="18"/>
          <w:szCs w:val="18"/>
          <w:color w:val="auto"/>
        </w:rPr>
        <w:t>The Board of Directors is committed to ensuring that it is composed of a highly capable group of directors who collectively span a broad range of leadership skills and provide a significant breadth of experience, knowledge and abilities, relevant to the Company’s strategic vision, long-term objectives and business activities to effectively represent the interests of shareholders, exercise sound judgment and reflect our corporate values of integrity, honesty and adherence to high ethical standards. Key factors that the Board of Directors and the Nominating and Corporate Governance Committee consider when selecting directors include:</w:t>
      </w:r>
    </w:p>
    <w:p>
      <w:pPr>
        <w:spacing w:after="0" w:line="207" w:lineRule="exact"/>
        <w:rPr>
          <w:sz w:val="20"/>
          <w:szCs w:val="20"/>
          <w:color w:val="auto"/>
        </w:rPr>
      </w:pPr>
    </w:p>
    <w:p>
      <w:pPr>
        <w:ind w:left="3200"/>
        <w:spacing w:after="0"/>
        <w:rPr>
          <w:sz w:val="20"/>
          <w:szCs w:val="20"/>
          <w:color w:val="auto"/>
        </w:rPr>
      </w:pPr>
      <w:r>
        <w:rPr>
          <w:rFonts w:ascii="Arial" w:cs="Arial" w:eastAsia="Arial" w:hAnsi="Arial"/>
          <w:sz w:val="32"/>
          <w:szCs w:val="32"/>
          <w:color w:val="052B82"/>
        </w:rPr>
        <w:t>BOARD EXPERTISE AND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158750</wp:posOffset>
            </wp:positionV>
            <wp:extent cx="5188585" cy="30873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88585"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00" w:hanging="396"/>
        <w:spacing w:after="0"/>
        <w:tabs>
          <w:tab w:leader="none" w:pos="600" w:val="left"/>
        </w:tabs>
        <w:numPr>
          <w:ilvl w:val="0"/>
          <w:numId w:val="50"/>
        </w:numPr>
        <w:rPr>
          <w:rFonts w:ascii="Arial" w:cs="Arial" w:eastAsia="Arial" w:hAnsi="Arial"/>
          <w:sz w:val="18"/>
          <w:szCs w:val="18"/>
          <w:color w:val="999999"/>
        </w:rPr>
      </w:pPr>
      <w:r>
        <w:rPr>
          <w:rFonts w:ascii="Arial" w:cs="Arial" w:eastAsia="Arial" w:hAnsi="Arial"/>
          <w:sz w:val="14"/>
          <w:szCs w:val="14"/>
          <w:b w:val="1"/>
          <w:bCs w:val="1"/>
          <w:color w:val="052B82"/>
        </w:rPr>
        <w:t>Analog Devices, Inc.</w:t>
      </w:r>
    </w:p>
    <w:p>
      <w:pPr>
        <w:sectPr>
          <w:pgSz w:w="11900" w:h="16838" w:orient="portrait"/>
          <w:cols w:equalWidth="0" w:num="1">
            <w:col w:w="11060"/>
          </w:cols>
          <w:pgMar w:left="240" w:top="459" w:right="5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205740</wp:posOffset>
            </wp:positionV>
            <wp:extent cx="6097270" cy="31388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97270" cy="3138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0" w:right="80" w:firstLine="441"/>
        <w:spacing w:after="0" w:line="236" w:lineRule="auto"/>
        <w:rPr>
          <w:sz w:val="20"/>
          <w:szCs w:val="20"/>
          <w:color w:val="auto"/>
        </w:rPr>
      </w:pPr>
      <w:r>
        <w:rPr>
          <w:rFonts w:ascii="Arial" w:cs="Arial" w:eastAsia="Arial" w:hAnsi="Arial"/>
          <w:sz w:val="18"/>
          <w:szCs w:val="18"/>
          <w:color w:val="auto"/>
        </w:rPr>
        <w:t>The following paragraphs provide information as of the date of this proxy statement about each nominee. The information presented includes information each director has given us about his or her age, all positions he or she holds, his or her principal occupation and business experience, and the names of other publicly-held companies of which he or she currently serves as a director or has served as a director during the past five years. In addition to the information presented below regarding each nominee’s specific experience, qualifications, attributes and skills that led our Board of Directors to the conclusion that he or she should serve as a director, we also believe that all of our director nominees have a reputation for integrity, honesty and adherence to high ethical standards. They each have demonstrated business acumen and an ability to exercise sound judgment, as well as a commitment of service to ADI and our Board of Directors. Finally, we value their significant experience on other public company boards of directors and board committees.</w:t>
      </w:r>
    </w:p>
    <w:p>
      <w:pPr>
        <w:spacing w:after="0" w:line="208" w:lineRule="exact"/>
        <w:rPr>
          <w:sz w:val="20"/>
          <w:szCs w:val="20"/>
          <w:color w:val="auto"/>
        </w:rPr>
      </w:pPr>
    </w:p>
    <w:p>
      <w:pPr>
        <w:ind w:left="200" w:right="220" w:firstLine="441"/>
        <w:spacing w:after="0"/>
        <w:rPr>
          <w:sz w:val="20"/>
          <w:szCs w:val="20"/>
          <w:color w:val="auto"/>
        </w:rPr>
      </w:pPr>
      <w:r>
        <w:rPr>
          <w:rFonts w:ascii="Arial" w:cs="Arial" w:eastAsia="Arial" w:hAnsi="Arial"/>
          <w:sz w:val="18"/>
          <w:szCs w:val="18"/>
          <w:color w:val="auto"/>
        </w:rPr>
        <w:t>Information about the number of shares of common stock beneficially owned by each director appears above under the heading “Security Ownership of Certain Beneficial Owners and Management.” See also “Certain Relationships and Related Transactions.” There are no family relationships among any of the directors and executive officers of ADI.</w:t>
      </w:r>
    </w:p>
    <w:p>
      <w:pPr>
        <w:spacing w:after="0" w:line="211" w:lineRule="exact"/>
        <w:rPr>
          <w:sz w:val="20"/>
          <w:szCs w:val="20"/>
          <w:color w:val="auto"/>
        </w:rPr>
      </w:pPr>
    </w:p>
    <w:tbl>
      <w:tblPr>
        <w:tblLayout w:type="fixed"/>
        <w:tblInd w:w="230" w:type="dxa"/>
        <w:tblCellMar>
          <w:top w:w="0" w:type="dxa"/>
          <w:left w:w="0" w:type="dxa"/>
          <w:bottom w:w="0" w:type="dxa"/>
          <w:right w:w="0" w:type="dxa"/>
        </w:tblCellMar>
      </w:tblPr>
      <w:tr>
        <w:trPr>
          <w:trHeight w:val="283"/>
        </w:trPr>
        <w:tc>
          <w:tcPr>
            <w:tcW w:w="2580" w:type="dxa"/>
            <w:vAlign w:val="bottom"/>
            <w:tcBorders>
              <w:top w:val="single" w:sz="8" w:color="4C4C4C"/>
              <w:left w:val="single" w:sz="8" w:color="4C4C4C"/>
            </w:tcBorders>
            <w:shd w:val="clear" w:color="auto" w:fill="052B82"/>
          </w:tcPr>
          <w:p>
            <w:pPr>
              <w:ind w:left="200"/>
              <w:spacing w:after="0"/>
              <w:rPr>
                <w:sz w:val="20"/>
                <w:szCs w:val="20"/>
                <w:color w:val="auto"/>
              </w:rPr>
            </w:pPr>
            <w:r>
              <w:rPr>
                <w:rFonts w:ascii="Arial" w:cs="Arial" w:eastAsia="Arial" w:hAnsi="Arial"/>
                <w:sz w:val="22"/>
                <w:szCs w:val="22"/>
                <w:b w:val="1"/>
                <w:bCs w:val="1"/>
                <w:color w:val="FFFFFF"/>
              </w:rPr>
              <w:t>Ray Stata</w:t>
            </w:r>
          </w:p>
        </w:tc>
        <w:tc>
          <w:tcPr>
            <w:tcW w:w="100" w:type="dxa"/>
            <w:vAlign w:val="bottom"/>
            <w:tcBorders>
              <w:top w:val="single" w:sz="8" w:color="4C4C4C"/>
            </w:tcBorders>
            <w:shd w:val="clear" w:color="auto" w:fill="E8EDF4"/>
          </w:tcPr>
          <w:p>
            <w:pPr>
              <w:spacing w:after="0"/>
              <w:rPr>
                <w:sz w:val="24"/>
                <w:szCs w:val="24"/>
                <w:color w:val="auto"/>
              </w:rPr>
            </w:pPr>
          </w:p>
        </w:tc>
        <w:tc>
          <w:tcPr>
            <w:tcW w:w="4040" w:type="dxa"/>
            <w:vAlign w:val="bottom"/>
            <w:tcBorders>
              <w:top w:val="single" w:sz="8" w:color="4C4C4C"/>
            </w:tcBorders>
            <w:shd w:val="clear" w:color="auto" w:fill="E8EDF4"/>
          </w:tcPr>
          <w:p>
            <w:pPr>
              <w:spacing w:after="0"/>
              <w:rPr>
                <w:sz w:val="20"/>
                <w:szCs w:val="20"/>
                <w:color w:val="auto"/>
              </w:rPr>
            </w:pPr>
            <w:r>
              <w:rPr>
                <w:rFonts w:ascii="Arial" w:cs="Arial" w:eastAsia="Arial" w:hAnsi="Arial"/>
                <w:sz w:val="18"/>
                <w:szCs w:val="18"/>
                <w:b w:val="1"/>
                <w:bCs w:val="1"/>
                <w:color w:val="auto"/>
              </w:rPr>
              <w:t>Professional Experience and Background</w:t>
            </w:r>
          </w:p>
        </w:tc>
        <w:tc>
          <w:tcPr>
            <w:tcW w:w="4320" w:type="dxa"/>
            <w:vAlign w:val="bottom"/>
            <w:tcBorders>
              <w:top w:val="single" w:sz="8" w:color="4C4C4C"/>
              <w:right w:val="single" w:sz="8" w:color="4C4C4C"/>
            </w:tcBorders>
            <w:shd w:val="clear" w:color="auto" w:fill="E8EDF4"/>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580" w:type="dxa"/>
            <w:vAlign w:val="bottom"/>
            <w:tcBorders>
              <w:left w:val="single" w:sz="8" w:color="4C4C4C"/>
            </w:tcBorders>
            <w:vMerge w:val="restart"/>
            <w:shd w:val="clear" w:color="auto" w:fill="052B82"/>
          </w:tcPr>
          <w:p>
            <w:pPr>
              <w:ind w:left="200"/>
              <w:spacing w:after="0"/>
              <w:rPr>
                <w:sz w:val="20"/>
                <w:szCs w:val="20"/>
                <w:color w:val="auto"/>
              </w:rPr>
            </w:pPr>
            <w:r>
              <w:rPr>
                <w:rFonts w:ascii="Arial" w:cs="Arial" w:eastAsia="Arial" w:hAnsi="Arial"/>
                <w:sz w:val="18"/>
                <w:szCs w:val="18"/>
                <w:b w:val="1"/>
                <w:bCs w:val="1"/>
                <w:color w:val="FFFFFF"/>
              </w:rPr>
              <w:t>Chairman of the</w:t>
            </w:r>
          </w:p>
        </w:tc>
        <w:tc>
          <w:tcPr>
            <w:tcW w:w="100" w:type="dxa"/>
            <w:vAlign w:val="bottom"/>
            <w:shd w:val="clear" w:color="auto" w:fill="E8EDF4"/>
          </w:tcPr>
          <w:p>
            <w:pPr>
              <w:spacing w:after="0"/>
              <w:rPr>
                <w:sz w:val="17"/>
                <w:szCs w:val="17"/>
                <w:color w:val="auto"/>
              </w:rPr>
            </w:pPr>
          </w:p>
        </w:tc>
        <w:tc>
          <w:tcPr>
            <w:tcW w:w="8360" w:type="dxa"/>
            <w:vAlign w:val="bottom"/>
            <w:tcBorders>
              <w:right w:val="single" w:sz="8" w:color="4C4C4C"/>
            </w:tcBorders>
            <w:gridSpan w:val="2"/>
            <w:shd w:val="clear" w:color="auto" w:fill="E8EDF4"/>
          </w:tcPr>
          <w:p>
            <w:pPr>
              <w:spacing w:after="0" w:line="202" w:lineRule="exact"/>
              <w:rPr>
                <w:sz w:val="20"/>
                <w:szCs w:val="20"/>
                <w:color w:val="auto"/>
              </w:rPr>
            </w:pPr>
            <w:r>
              <w:rPr>
                <w:rFonts w:ascii="Arial" w:cs="Arial" w:eastAsia="Arial" w:hAnsi="Arial"/>
                <w:sz w:val="18"/>
                <w:szCs w:val="18"/>
                <w:color w:val="auto"/>
              </w:rPr>
              <w:t>Mr. Stata has served as our Chairman of the Board of Directors since 1973 and served as an executive</w:t>
            </w:r>
          </w:p>
        </w:tc>
        <w:tc>
          <w:tcPr>
            <w:tcW w:w="0" w:type="dxa"/>
            <w:vAlign w:val="bottom"/>
          </w:tcPr>
          <w:p>
            <w:pPr>
              <w:spacing w:after="0"/>
              <w:rPr>
                <w:sz w:val="1"/>
                <w:szCs w:val="1"/>
                <w:color w:val="auto"/>
              </w:rPr>
            </w:pPr>
          </w:p>
        </w:tc>
      </w:tr>
      <w:tr>
        <w:trPr>
          <w:trHeight w:val="113"/>
        </w:trPr>
        <w:tc>
          <w:tcPr>
            <w:tcW w:w="2580" w:type="dxa"/>
            <w:vAlign w:val="bottom"/>
            <w:tcBorders>
              <w:left w:val="single" w:sz="8" w:color="4C4C4C"/>
            </w:tcBorders>
            <w:vMerge w:val="continue"/>
            <w:shd w:val="clear" w:color="auto" w:fill="052B82"/>
          </w:tcPr>
          <w:p>
            <w:pPr>
              <w:spacing w:after="0"/>
              <w:rPr>
                <w:sz w:val="9"/>
                <w:szCs w:val="9"/>
                <w:color w:val="auto"/>
              </w:rPr>
            </w:pPr>
          </w:p>
        </w:tc>
        <w:tc>
          <w:tcPr>
            <w:tcW w:w="100" w:type="dxa"/>
            <w:vAlign w:val="bottom"/>
            <w:shd w:val="clear" w:color="auto" w:fill="E8EDF4"/>
          </w:tcPr>
          <w:p>
            <w:pPr>
              <w:spacing w:after="0"/>
              <w:rPr>
                <w:sz w:val="9"/>
                <w:szCs w:val="9"/>
                <w:color w:val="auto"/>
              </w:rPr>
            </w:pPr>
          </w:p>
        </w:tc>
        <w:tc>
          <w:tcPr>
            <w:tcW w:w="8360" w:type="dxa"/>
            <w:vAlign w:val="bottom"/>
            <w:tcBorders>
              <w:right w:val="single" w:sz="8" w:color="4C4C4C"/>
            </w:tcBorders>
            <w:gridSpan w:val="2"/>
            <w:vMerge w:val="restart"/>
            <w:shd w:val="clear" w:color="auto" w:fill="E8EDF4"/>
          </w:tcPr>
          <w:p>
            <w:pPr>
              <w:spacing w:after="0" w:line="202" w:lineRule="exact"/>
              <w:rPr>
                <w:sz w:val="20"/>
                <w:szCs w:val="20"/>
                <w:color w:val="auto"/>
              </w:rPr>
            </w:pPr>
            <w:r>
              <w:rPr>
                <w:rFonts w:ascii="Arial" w:cs="Arial" w:eastAsia="Arial" w:hAnsi="Arial"/>
                <w:sz w:val="18"/>
                <w:szCs w:val="18"/>
                <w:color w:val="auto"/>
              </w:rPr>
              <w:t>officer of our Company from its inception until April 2012. Mr. Stata served as our Chief Executive</w:t>
            </w:r>
          </w:p>
        </w:tc>
        <w:tc>
          <w:tcPr>
            <w:tcW w:w="0" w:type="dxa"/>
            <w:vAlign w:val="bottom"/>
          </w:tcPr>
          <w:p>
            <w:pPr>
              <w:spacing w:after="0"/>
              <w:rPr>
                <w:sz w:val="1"/>
                <w:szCs w:val="1"/>
                <w:color w:val="auto"/>
              </w:rPr>
            </w:pPr>
          </w:p>
        </w:tc>
      </w:tr>
      <w:tr>
        <w:trPr>
          <w:trHeight w:val="90"/>
        </w:trPr>
        <w:tc>
          <w:tcPr>
            <w:tcW w:w="2580" w:type="dxa"/>
            <w:vAlign w:val="bottom"/>
            <w:tcBorders>
              <w:left w:val="single" w:sz="8" w:color="4C4C4C"/>
            </w:tcBorders>
            <w:vMerge w:val="restart"/>
            <w:shd w:val="clear" w:color="auto" w:fill="052B82"/>
          </w:tcPr>
          <w:p>
            <w:pPr>
              <w:ind w:left="200"/>
              <w:spacing w:after="0"/>
              <w:rPr>
                <w:sz w:val="20"/>
                <w:szCs w:val="20"/>
                <w:color w:val="auto"/>
              </w:rPr>
            </w:pPr>
            <w:r>
              <w:rPr>
                <w:rFonts w:ascii="Arial" w:cs="Arial" w:eastAsia="Arial" w:hAnsi="Arial"/>
                <w:sz w:val="18"/>
                <w:szCs w:val="18"/>
                <w:b w:val="1"/>
                <w:bCs w:val="1"/>
                <w:color w:val="FFFFFF"/>
              </w:rPr>
              <w:t>Board of Directors</w:t>
            </w:r>
          </w:p>
        </w:tc>
        <w:tc>
          <w:tcPr>
            <w:tcW w:w="100" w:type="dxa"/>
            <w:vAlign w:val="bottom"/>
            <w:shd w:val="clear" w:color="auto" w:fill="E8EDF4"/>
          </w:tcPr>
          <w:p>
            <w:pPr>
              <w:spacing w:after="0"/>
              <w:rPr>
                <w:sz w:val="7"/>
                <w:szCs w:val="7"/>
                <w:color w:val="auto"/>
              </w:rPr>
            </w:pPr>
          </w:p>
        </w:tc>
        <w:tc>
          <w:tcPr>
            <w:tcW w:w="8360" w:type="dxa"/>
            <w:vAlign w:val="bottom"/>
            <w:tcBorders>
              <w:right w:val="single" w:sz="8" w:color="4C4C4C"/>
            </w:tcBorders>
            <w:gridSpan w:val="2"/>
            <w:vMerge w:val="continue"/>
            <w:shd w:val="clear" w:color="auto" w:fill="E8EDF4"/>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580" w:type="dxa"/>
            <w:vAlign w:val="bottom"/>
            <w:tcBorders>
              <w:left w:val="single" w:sz="8" w:color="4C4C4C"/>
            </w:tcBorders>
            <w:vMerge w:val="continue"/>
            <w:shd w:val="clear" w:color="auto" w:fill="052B82"/>
          </w:tcPr>
          <w:p>
            <w:pPr>
              <w:spacing w:after="0"/>
              <w:rPr>
                <w:sz w:val="12"/>
                <w:szCs w:val="12"/>
                <w:color w:val="auto"/>
              </w:rPr>
            </w:pPr>
          </w:p>
        </w:tc>
        <w:tc>
          <w:tcPr>
            <w:tcW w:w="100" w:type="dxa"/>
            <w:vAlign w:val="bottom"/>
            <w:shd w:val="clear" w:color="auto" w:fill="E8EDF4"/>
          </w:tcPr>
          <w:p>
            <w:pPr>
              <w:spacing w:after="0"/>
              <w:rPr>
                <w:sz w:val="12"/>
                <w:szCs w:val="12"/>
                <w:color w:val="auto"/>
              </w:rPr>
            </w:pPr>
          </w:p>
        </w:tc>
        <w:tc>
          <w:tcPr>
            <w:tcW w:w="8360" w:type="dxa"/>
            <w:vAlign w:val="bottom"/>
            <w:tcBorders>
              <w:right w:val="single" w:sz="8" w:color="4C4C4C"/>
            </w:tcBorders>
            <w:gridSpan w:val="2"/>
            <w:vMerge w:val="restart"/>
            <w:shd w:val="clear" w:color="auto" w:fill="E8EDF4"/>
          </w:tcPr>
          <w:p>
            <w:pPr>
              <w:spacing w:after="0"/>
              <w:rPr>
                <w:sz w:val="20"/>
                <w:szCs w:val="20"/>
                <w:color w:val="auto"/>
              </w:rPr>
            </w:pPr>
            <w:r>
              <w:rPr>
                <w:rFonts w:ascii="Arial" w:cs="Arial" w:eastAsia="Arial" w:hAnsi="Arial"/>
                <w:sz w:val="18"/>
                <w:szCs w:val="18"/>
                <w:color w:val="auto"/>
              </w:rPr>
              <w:t>Officer from 1973 to November 1996 and as our President from 1971 to November 1991.</w:t>
            </w:r>
          </w:p>
        </w:tc>
        <w:tc>
          <w:tcPr>
            <w:tcW w:w="0" w:type="dxa"/>
            <w:vAlign w:val="bottom"/>
          </w:tcPr>
          <w:p>
            <w:pPr>
              <w:spacing w:after="0"/>
              <w:rPr>
                <w:sz w:val="1"/>
                <w:szCs w:val="1"/>
                <w:color w:val="auto"/>
              </w:rPr>
            </w:pPr>
          </w:p>
        </w:tc>
      </w:tr>
      <w:tr>
        <w:trPr>
          <w:trHeight w:val="68"/>
        </w:trPr>
        <w:tc>
          <w:tcPr>
            <w:tcW w:w="2580" w:type="dxa"/>
            <w:vAlign w:val="bottom"/>
            <w:tcBorders>
              <w:left w:val="single" w:sz="8" w:color="4C4C4C"/>
            </w:tcBorders>
            <w:shd w:val="clear" w:color="auto" w:fill="052B82"/>
          </w:tcPr>
          <w:p>
            <w:pPr>
              <w:spacing w:after="0"/>
              <w:rPr>
                <w:sz w:val="5"/>
                <w:szCs w:val="5"/>
                <w:color w:val="auto"/>
              </w:rPr>
            </w:pPr>
          </w:p>
        </w:tc>
        <w:tc>
          <w:tcPr>
            <w:tcW w:w="100" w:type="dxa"/>
            <w:vAlign w:val="bottom"/>
            <w:shd w:val="clear" w:color="auto" w:fill="E8EDF4"/>
          </w:tcPr>
          <w:p>
            <w:pPr>
              <w:spacing w:after="0"/>
              <w:rPr>
                <w:sz w:val="5"/>
                <w:szCs w:val="5"/>
                <w:color w:val="auto"/>
              </w:rPr>
            </w:pPr>
          </w:p>
        </w:tc>
        <w:tc>
          <w:tcPr>
            <w:tcW w:w="8360" w:type="dxa"/>
            <w:vAlign w:val="bottom"/>
            <w:tcBorders>
              <w:right w:val="single" w:sz="8" w:color="4C4C4C"/>
            </w:tcBorders>
            <w:gridSpan w:val="2"/>
            <w:vMerge w:val="continue"/>
            <w:shd w:val="clear" w:color="auto" w:fill="E8EDF4"/>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2580" w:type="dxa"/>
            <w:vAlign w:val="bottom"/>
            <w:tcBorders>
              <w:left w:val="single" w:sz="8" w:color="4C4C4C"/>
            </w:tcBorders>
            <w:shd w:val="clear" w:color="auto" w:fill="052B82"/>
          </w:tcPr>
          <w:p>
            <w:pPr>
              <w:ind w:left="200"/>
              <w:spacing w:after="0"/>
              <w:rPr>
                <w:sz w:val="20"/>
                <w:szCs w:val="20"/>
                <w:color w:val="auto"/>
              </w:rPr>
            </w:pPr>
            <w:r>
              <w:rPr>
                <w:rFonts w:ascii="Arial" w:cs="Arial" w:eastAsia="Arial" w:hAnsi="Arial"/>
                <w:sz w:val="18"/>
                <w:szCs w:val="18"/>
                <w:b w:val="1"/>
                <w:bCs w:val="1"/>
                <w:color w:val="FFFFFF"/>
              </w:rPr>
              <w:t xml:space="preserve">Director since: </w:t>
            </w:r>
            <w:r>
              <w:rPr>
                <w:rFonts w:ascii="Arial" w:cs="Arial" w:eastAsia="Arial" w:hAnsi="Arial"/>
                <w:sz w:val="18"/>
                <w:szCs w:val="18"/>
                <w:color w:val="FFFFFF"/>
              </w:rPr>
              <w:t>1965</w:t>
            </w:r>
          </w:p>
        </w:tc>
        <w:tc>
          <w:tcPr>
            <w:tcW w:w="100" w:type="dxa"/>
            <w:vAlign w:val="bottom"/>
            <w:shd w:val="clear" w:color="auto" w:fill="E8EDF4"/>
          </w:tcPr>
          <w:p>
            <w:pPr>
              <w:spacing w:after="0"/>
              <w:rPr>
                <w:sz w:val="24"/>
                <w:szCs w:val="24"/>
                <w:color w:val="auto"/>
              </w:rPr>
            </w:pPr>
          </w:p>
        </w:tc>
        <w:tc>
          <w:tcPr>
            <w:tcW w:w="4040" w:type="dxa"/>
            <w:vAlign w:val="bottom"/>
            <w:shd w:val="clear" w:color="auto" w:fill="E8EDF4"/>
          </w:tcPr>
          <w:p>
            <w:pPr>
              <w:spacing w:after="0"/>
              <w:rPr>
                <w:sz w:val="20"/>
                <w:szCs w:val="20"/>
                <w:color w:val="auto"/>
              </w:rPr>
            </w:pPr>
            <w:r>
              <w:rPr>
                <w:rFonts w:ascii="Arial" w:cs="Arial" w:eastAsia="Arial" w:hAnsi="Arial"/>
                <w:sz w:val="18"/>
                <w:szCs w:val="18"/>
                <w:b w:val="1"/>
                <w:bCs w:val="1"/>
                <w:color w:val="auto"/>
              </w:rPr>
              <w:t>Key Qualifications and Expertise</w:t>
            </w:r>
          </w:p>
        </w:tc>
        <w:tc>
          <w:tcPr>
            <w:tcW w:w="4320" w:type="dxa"/>
            <w:vAlign w:val="bottom"/>
            <w:tcBorders>
              <w:right w:val="single" w:sz="8" w:color="4C4C4C"/>
            </w:tcBorders>
            <w:shd w:val="clear" w:color="auto" w:fill="E8EDF4"/>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2580" w:type="dxa"/>
            <w:vAlign w:val="bottom"/>
            <w:tcBorders>
              <w:left w:val="single" w:sz="8" w:color="4C4C4C"/>
            </w:tcBorders>
            <w:shd w:val="clear" w:color="auto" w:fill="052B82"/>
          </w:tcPr>
          <w:p>
            <w:pPr>
              <w:ind w:left="200"/>
              <w:spacing w:after="0"/>
              <w:rPr>
                <w:sz w:val="20"/>
                <w:szCs w:val="20"/>
                <w:color w:val="auto"/>
              </w:rPr>
            </w:pPr>
            <w:r>
              <w:rPr>
                <w:rFonts w:ascii="Arial" w:cs="Arial" w:eastAsia="Arial" w:hAnsi="Arial"/>
                <w:sz w:val="18"/>
                <w:szCs w:val="18"/>
                <w:b w:val="1"/>
                <w:bCs w:val="1"/>
                <w:color w:val="FFFFFF"/>
              </w:rPr>
              <w:t xml:space="preserve">Age: </w:t>
            </w:r>
            <w:r>
              <w:rPr>
                <w:rFonts w:ascii="Arial" w:cs="Arial" w:eastAsia="Arial" w:hAnsi="Arial"/>
                <w:sz w:val="18"/>
                <w:szCs w:val="18"/>
                <w:color w:val="FFFFFF"/>
              </w:rPr>
              <w:t>85</w:t>
            </w:r>
          </w:p>
        </w:tc>
        <w:tc>
          <w:tcPr>
            <w:tcW w:w="100" w:type="dxa"/>
            <w:vAlign w:val="bottom"/>
            <w:shd w:val="clear" w:color="auto" w:fill="E8EDF4"/>
          </w:tcPr>
          <w:p>
            <w:pPr>
              <w:spacing w:after="0"/>
              <w:rPr>
                <w:sz w:val="24"/>
                <w:szCs w:val="24"/>
                <w:color w:val="auto"/>
              </w:rPr>
            </w:pPr>
          </w:p>
        </w:tc>
        <w:tc>
          <w:tcPr>
            <w:tcW w:w="8360" w:type="dxa"/>
            <w:vAlign w:val="bottom"/>
            <w:tcBorders>
              <w:right w:val="single" w:sz="8" w:color="4C4C4C"/>
            </w:tcBorders>
            <w:gridSpan w:val="2"/>
            <w:shd w:val="clear" w:color="auto" w:fill="E8EDF4"/>
          </w:tcPr>
          <w:p>
            <w:pPr>
              <w:spacing w:after="0"/>
              <w:rPr>
                <w:sz w:val="20"/>
                <w:szCs w:val="20"/>
                <w:color w:val="auto"/>
              </w:rPr>
            </w:pPr>
            <w:r>
              <w:rPr>
                <w:rFonts w:ascii="Arial" w:cs="Arial" w:eastAsia="Arial" w:hAnsi="Arial"/>
                <w:sz w:val="18"/>
                <w:szCs w:val="18"/>
                <w:color w:val="auto"/>
              </w:rPr>
              <w:t>We believe Mr. Stata’s qualifications to serve on our Board of Directors include more than 50 years of</w:t>
            </w:r>
          </w:p>
        </w:tc>
        <w:tc>
          <w:tcPr>
            <w:tcW w:w="0" w:type="dxa"/>
            <w:vAlign w:val="bottom"/>
          </w:tcPr>
          <w:p>
            <w:pPr>
              <w:spacing w:after="0"/>
              <w:rPr>
                <w:sz w:val="1"/>
                <w:szCs w:val="1"/>
                <w:color w:val="auto"/>
              </w:rPr>
            </w:pPr>
          </w:p>
        </w:tc>
      </w:tr>
      <w:tr>
        <w:trPr>
          <w:trHeight w:val="203"/>
        </w:trPr>
        <w:tc>
          <w:tcPr>
            <w:tcW w:w="2580" w:type="dxa"/>
            <w:vAlign w:val="bottom"/>
            <w:tcBorders>
              <w:left w:val="single" w:sz="8" w:color="4C4C4C"/>
            </w:tcBorders>
            <w:vMerge w:val="restart"/>
            <w:shd w:val="clear" w:color="auto" w:fill="052B82"/>
          </w:tcPr>
          <w:p>
            <w:pPr>
              <w:ind w:left="200"/>
              <w:spacing w:after="0"/>
              <w:rPr>
                <w:sz w:val="20"/>
                <w:szCs w:val="20"/>
                <w:color w:val="auto"/>
              </w:rPr>
            </w:pPr>
            <w:r>
              <w:rPr>
                <w:rFonts w:ascii="Arial" w:cs="Arial" w:eastAsia="Arial" w:hAnsi="Arial"/>
                <w:sz w:val="18"/>
                <w:szCs w:val="18"/>
                <w:b w:val="1"/>
                <w:bCs w:val="1"/>
                <w:color w:val="FFFFFF"/>
              </w:rPr>
              <w:t>Committee(s):</w:t>
            </w:r>
          </w:p>
        </w:tc>
        <w:tc>
          <w:tcPr>
            <w:tcW w:w="100" w:type="dxa"/>
            <w:vAlign w:val="bottom"/>
            <w:shd w:val="clear" w:color="auto" w:fill="E8EDF4"/>
          </w:tcPr>
          <w:p>
            <w:pPr>
              <w:spacing w:after="0"/>
              <w:rPr>
                <w:sz w:val="17"/>
                <w:szCs w:val="17"/>
                <w:color w:val="auto"/>
              </w:rPr>
            </w:pPr>
          </w:p>
        </w:tc>
        <w:tc>
          <w:tcPr>
            <w:tcW w:w="8360" w:type="dxa"/>
            <w:vAlign w:val="bottom"/>
            <w:tcBorders>
              <w:right w:val="single" w:sz="8" w:color="4C4C4C"/>
            </w:tcBorders>
            <w:gridSpan w:val="2"/>
            <w:shd w:val="clear" w:color="auto" w:fill="E8EDF4"/>
          </w:tcPr>
          <w:p>
            <w:pPr>
              <w:spacing w:after="0" w:line="202" w:lineRule="exact"/>
              <w:rPr>
                <w:sz w:val="20"/>
                <w:szCs w:val="20"/>
                <w:color w:val="auto"/>
              </w:rPr>
            </w:pPr>
            <w:r>
              <w:rPr>
                <w:rFonts w:ascii="Arial" w:cs="Arial" w:eastAsia="Arial" w:hAnsi="Arial"/>
                <w:sz w:val="18"/>
                <w:szCs w:val="18"/>
                <w:color w:val="auto"/>
              </w:rPr>
              <w:t>experience and leadership in the semiconductor industry, including as our founder, our Chairman for 44</w:t>
            </w:r>
          </w:p>
        </w:tc>
        <w:tc>
          <w:tcPr>
            <w:tcW w:w="0" w:type="dxa"/>
            <w:vAlign w:val="bottom"/>
          </w:tcPr>
          <w:p>
            <w:pPr>
              <w:spacing w:after="0"/>
              <w:rPr>
                <w:sz w:val="1"/>
                <w:szCs w:val="1"/>
                <w:color w:val="auto"/>
              </w:rPr>
            </w:pPr>
          </w:p>
        </w:tc>
      </w:tr>
      <w:tr>
        <w:trPr>
          <w:trHeight w:val="203"/>
        </w:trPr>
        <w:tc>
          <w:tcPr>
            <w:tcW w:w="2580" w:type="dxa"/>
            <w:vAlign w:val="bottom"/>
            <w:tcBorders>
              <w:left w:val="single" w:sz="8" w:color="4C4C4C"/>
            </w:tcBorders>
            <w:vMerge w:val="continue"/>
            <w:shd w:val="clear" w:color="auto" w:fill="052B82"/>
          </w:tcPr>
          <w:p>
            <w:pPr>
              <w:spacing w:after="0"/>
              <w:rPr>
                <w:sz w:val="17"/>
                <w:szCs w:val="17"/>
                <w:color w:val="auto"/>
              </w:rPr>
            </w:pPr>
          </w:p>
        </w:tc>
        <w:tc>
          <w:tcPr>
            <w:tcW w:w="100" w:type="dxa"/>
            <w:vAlign w:val="bottom"/>
            <w:shd w:val="clear" w:color="auto" w:fill="E8EDF4"/>
          </w:tcPr>
          <w:p>
            <w:pPr>
              <w:spacing w:after="0"/>
              <w:rPr>
                <w:sz w:val="17"/>
                <w:szCs w:val="17"/>
                <w:color w:val="auto"/>
              </w:rPr>
            </w:pPr>
          </w:p>
        </w:tc>
        <w:tc>
          <w:tcPr>
            <w:tcW w:w="8360" w:type="dxa"/>
            <w:vAlign w:val="bottom"/>
            <w:tcBorders>
              <w:right w:val="single" w:sz="8" w:color="4C4C4C"/>
            </w:tcBorders>
            <w:gridSpan w:val="2"/>
            <w:shd w:val="clear" w:color="auto" w:fill="E8EDF4"/>
          </w:tcPr>
          <w:p>
            <w:pPr>
              <w:spacing w:after="0" w:line="202" w:lineRule="exact"/>
              <w:rPr>
                <w:sz w:val="20"/>
                <w:szCs w:val="20"/>
                <w:color w:val="auto"/>
              </w:rPr>
            </w:pPr>
            <w:r>
              <w:rPr>
                <w:rFonts w:ascii="Arial" w:cs="Arial" w:eastAsia="Arial" w:hAnsi="Arial"/>
                <w:sz w:val="18"/>
                <w:szCs w:val="18"/>
                <w:color w:val="auto"/>
              </w:rPr>
              <w:t>years and formerly as our President for 20 years. If re-elected, the Company expects that Mr. Stata will</w:t>
            </w:r>
          </w:p>
        </w:tc>
        <w:tc>
          <w:tcPr>
            <w:tcW w:w="0" w:type="dxa"/>
            <w:vAlign w:val="bottom"/>
          </w:tcPr>
          <w:p>
            <w:pPr>
              <w:spacing w:after="0"/>
              <w:rPr>
                <w:sz w:val="1"/>
                <w:szCs w:val="1"/>
                <w:color w:val="auto"/>
              </w:rPr>
            </w:pPr>
          </w:p>
        </w:tc>
      </w:tr>
      <w:tr>
        <w:trPr>
          <w:trHeight w:val="230"/>
        </w:trPr>
        <w:tc>
          <w:tcPr>
            <w:tcW w:w="2580" w:type="dxa"/>
            <w:vAlign w:val="bottom"/>
            <w:tcBorders>
              <w:left w:val="single" w:sz="8" w:color="4C4C4C"/>
            </w:tcBorders>
            <w:shd w:val="clear" w:color="auto" w:fill="052B82"/>
          </w:tcPr>
          <w:p>
            <w:pPr>
              <w:ind w:left="200"/>
              <w:spacing w:after="0"/>
              <w:rPr>
                <w:sz w:val="20"/>
                <w:szCs w:val="20"/>
                <w:color w:val="auto"/>
              </w:rPr>
            </w:pPr>
            <w:r>
              <w:rPr>
                <w:rFonts w:ascii="Arial" w:cs="Arial" w:eastAsia="Arial" w:hAnsi="Arial"/>
                <w:sz w:val="18"/>
                <w:szCs w:val="18"/>
                <w:color w:val="FFFFFF"/>
              </w:rPr>
              <w:t>None</w:t>
            </w:r>
          </w:p>
        </w:tc>
        <w:tc>
          <w:tcPr>
            <w:tcW w:w="100" w:type="dxa"/>
            <w:vAlign w:val="bottom"/>
            <w:shd w:val="clear" w:color="auto" w:fill="E8EDF4"/>
          </w:tcPr>
          <w:p>
            <w:pPr>
              <w:spacing w:after="0"/>
              <w:rPr>
                <w:sz w:val="20"/>
                <w:szCs w:val="20"/>
                <w:color w:val="auto"/>
              </w:rPr>
            </w:pPr>
          </w:p>
        </w:tc>
        <w:tc>
          <w:tcPr>
            <w:tcW w:w="8360" w:type="dxa"/>
            <w:vAlign w:val="bottom"/>
            <w:tcBorders>
              <w:right w:val="single" w:sz="8" w:color="4C4C4C"/>
            </w:tcBorders>
            <w:gridSpan w:val="2"/>
            <w:shd w:val="clear" w:color="auto" w:fill="E8EDF4"/>
          </w:tcPr>
          <w:p>
            <w:pPr>
              <w:spacing w:after="0"/>
              <w:rPr>
                <w:sz w:val="20"/>
                <w:szCs w:val="20"/>
                <w:color w:val="auto"/>
              </w:rPr>
            </w:pPr>
            <w:r>
              <w:rPr>
                <w:rFonts w:ascii="Arial" w:cs="Arial" w:eastAsia="Arial" w:hAnsi="Arial"/>
                <w:sz w:val="18"/>
                <w:szCs w:val="18"/>
                <w:color w:val="auto"/>
              </w:rPr>
              <w:t>continue to serve as our Chairman of the Board of Directors in 2020.</w:t>
            </w:r>
          </w:p>
        </w:tc>
        <w:tc>
          <w:tcPr>
            <w:tcW w:w="0" w:type="dxa"/>
            <w:vAlign w:val="bottom"/>
          </w:tcPr>
          <w:p>
            <w:pPr>
              <w:spacing w:after="0"/>
              <w:rPr>
                <w:sz w:val="1"/>
                <w:szCs w:val="1"/>
                <w:color w:val="auto"/>
              </w:rPr>
            </w:pPr>
          </w:p>
        </w:tc>
      </w:tr>
      <w:tr>
        <w:trPr>
          <w:trHeight w:val="311"/>
        </w:trPr>
        <w:tc>
          <w:tcPr>
            <w:tcW w:w="2580" w:type="dxa"/>
            <w:vAlign w:val="bottom"/>
            <w:tcBorders>
              <w:left w:val="single" w:sz="8" w:color="4C4C4C"/>
            </w:tcBorders>
            <w:shd w:val="clear" w:color="auto" w:fill="052B82"/>
          </w:tcPr>
          <w:p>
            <w:pPr>
              <w:spacing w:after="0"/>
              <w:rPr>
                <w:sz w:val="24"/>
                <w:szCs w:val="24"/>
                <w:color w:val="auto"/>
              </w:rPr>
            </w:pPr>
          </w:p>
        </w:tc>
        <w:tc>
          <w:tcPr>
            <w:tcW w:w="100" w:type="dxa"/>
            <w:vAlign w:val="bottom"/>
            <w:shd w:val="clear" w:color="auto" w:fill="E8EDF4"/>
          </w:tcPr>
          <w:p>
            <w:pPr>
              <w:spacing w:after="0"/>
              <w:rPr>
                <w:sz w:val="24"/>
                <w:szCs w:val="24"/>
                <w:color w:val="auto"/>
              </w:rPr>
            </w:pPr>
          </w:p>
        </w:tc>
        <w:tc>
          <w:tcPr>
            <w:tcW w:w="4040" w:type="dxa"/>
            <w:vAlign w:val="bottom"/>
            <w:shd w:val="clear" w:color="auto" w:fill="E8EDF4"/>
          </w:tcPr>
          <w:p>
            <w:pPr>
              <w:spacing w:after="0"/>
              <w:rPr>
                <w:sz w:val="20"/>
                <w:szCs w:val="20"/>
                <w:color w:val="auto"/>
              </w:rPr>
            </w:pPr>
            <w:r>
              <w:rPr>
                <w:rFonts w:ascii="Arial" w:cs="Arial" w:eastAsia="Arial" w:hAnsi="Arial"/>
                <w:sz w:val="18"/>
                <w:szCs w:val="18"/>
                <w:b w:val="1"/>
                <w:bCs w:val="1"/>
                <w:color w:val="auto"/>
              </w:rPr>
              <w:t>Other Public Company Boards</w:t>
            </w:r>
          </w:p>
        </w:tc>
        <w:tc>
          <w:tcPr>
            <w:tcW w:w="4320" w:type="dxa"/>
            <w:vAlign w:val="bottom"/>
            <w:tcBorders>
              <w:right w:val="single" w:sz="8" w:color="4C4C4C"/>
            </w:tcBorders>
            <w:shd w:val="clear" w:color="auto" w:fill="E8EDF4"/>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580" w:type="dxa"/>
            <w:vAlign w:val="bottom"/>
            <w:tcBorders>
              <w:left w:val="single" w:sz="8" w:color="4C4C4C"/>
            </w:tcBorders>
            <w:shd w:val="clear" w:color="auto" w:fill="052B82"/>
          </w:tcPr>
          <w:p>
            <w:pPr>
              <w:spacing w:after="0"/>
              <w:rPr>
                <w:sz w:val="24"/>
                <w:szCs w:val="24"/>
                <w:color w:val="auto"/>
              </w:rPr>
            </w:pPr>
          </w:p>
        </w:tc>
        <w:tc>
          <w:tcPr>
            <w:tcW w:w="100" w:type="dxa"/>
            <w:vAlign w:val="bottom"/>
            <w:shd w:val="clear" w:color="auto" w:fill="E8EDF4"/>
          </w:tcPr>
          <w:p>
            <w:pPr>
              <w:spacing w:after="0"/>
              <w:rPr>
                <w:sz w:val="24"/>
                <w:szCs w:val="24"/>
                <w:color w:val="auto"/>
              </w:rPr>
            </w:pPr>
          </w:p>
        </w:tc>
        <w:tc>
          <w:tcPr>
            <w:tcW w:w="4040" w:type="dxa"/>
            <w:vAlign w:val="bottom"/>
            <w:shd w:val="clear" w:color="auto" w:fill="E8EDF4"/>
          </w:tcPr>
          <w:p>
            <w:pPr>
              <w:spacing w:after="0"/>
              <w:rPr>
                <w:sz w:val="20"/>
                <w:szCs w:val="20"/>
                <w:color w:val="auto"/>
              </w:rPr>
            </w:pPr>
            <w:r>
              <w:rPr>
                <w:rFonts w:ascii="Arial" w:cs="Arial" w:eastAsia="Arial" w:hAnsi="Arial"/>
                <w:sz w:val="18"/>
                <w:szCs w:val="18"/>
                <w:b w:val="1"/>
                <w:bCs w:val="1"/>
                <w:color w:val="auto"/>
              </w:rPr>
              <w:t>Current</w:t>
            </w:r>
          </w:p>
        </w:tc>
        <w:tc>
          <w:tcPr>
            <w:tcW w:w="4320" w:type="dxa"/>
            <w:vAlign w:val="bottom"/>
            <w:tcBorders>
              <w:right w:val="single" w:sz="8" w:color="4C4C4C"/>
            </w:tcBorders>
            <w:shd w:val="clear" w:color="auto" w:fill="E8EDF4"/>
          </w:tcPr>
          <w:p>
            <w:pPr>
              <w:ind w:left="120"/>
              <w:spacing w:after="0"/>
              <w:rPr>
                <w:sz w:val="20"/>
                <w:szCs w:val="20"/>
                <w:color w:val="auto"/>
              </w:rPr>
            </w:pPr>
            <w:r>
              <w:rPr>
                <w:rFonts w:ascii="Arial" w:cs="Arial" w:eastAsia="Arial" w:hAnsi="Arial"/>
                <w:sz w:val="18"/>
                <w:szCs w:val="18"/>
                <w:b w:val="1"/>
                <w:bCs w:val="1"/>
                <w:color w:val="auto"/>
              </w:rPr>
              <w:t>Past 5 Years</w:t>
            </w:r>
          </w:p>
        </w:tc>
        <w:tc>
          <w:tcPr>
            <w:tcW w:w="0" w:type="dxa"/>
            <w:vAlign w:val="bottom"/>
          </w:tcPr>
          <w:p>
            <w:pPr>
              <w:spacing w:after="0"/>
              <w:rPr>
                <w:sz w:val="1"/>
                <w:szCs w:val="1"/>
                <w:color w:val="auto"/>
              </w:rPr>
            </w:pPr>
          </w:p>
        </w:tc>
      </w:tr>
      <w:tr>
        <w:trPr>
          <w:trHeight w:val="217"/>
        </w:trPr>
        <w:tc>
          <w:tcPr>
            <w:tcW w:w="2580" w:type="dxa"/>
            <w:vAlign w:val="bottom"/>
            <w:tcBorders>
              <w:left w:val="single" w:sz="8" w:color="4C4C4C"/>
            </w:tcBorders>
            <w:shd w:val="clear" w:color="auto" w:fill="052B82"/>
          </w:tcPr>
          <w:p>
            <w:pPr>
              <w:spacing w:after="0"/>
              <w:rPr>
                <w:sz w:val="18"/>
                <w:szCs w:val="18"/>
                <w:color w:val="auto"/>
              </w:rPr>
            </w:pPr>
          </w:p>
        </w:tc>
        <w:tc>
          <w:tcPr>
            <w:tcW w:w="100" w:type="dxa"/>
            <w:vAlign w:val="bottom"/>
            <w:shd w:val="clear" w:color="auto" w:fill="E8EDF4"/>
          </w:tcPr>
          <w:p>
            <w:pPr>
              <w:spacing w:after="0"/>
              <w:rPr>
                <w:sz w:val="18"/>
                <w:szCs w:val="18"/>
                <w:color w:val="auto"/>
              </w:rPr>
            </w:pPr>
          </w:p>
        </w:tc>
        <w:tc>
          <w:tcPr>
            <w:tcW w:w="4040" w:type="dxa"/>
            <w:vAlign w:val="bottom"/>
            <w:shd w:val="clear" w:color="auto" w:fill="E8EDF4"/>
          </w:tcPr>
          <w:p>
            <w:pPr>
              <w:spacing w:after="0"/>
              <w:rPr>
                <w:sz w:val="20"/>
                <w:szCs w:val="20"/>
                <w:color w:val="auto"/>
              </w:rPr>
            </w:pPr>
            <w:r>
              <w:rPr>
                <w:rFonts w:ascii="Arial" w:cs="Arial" w:eastAsia="Arial" w:hAnsi="Arial"/>
                <w:sz w:val="18"/>
                <w:szCs w:val="18"/>
                <w:color w:val="auto"/>
              </w:rPr>
              <w:t>None</w:t>
            </w:r>
          </w:p>
        </w:tc>
        <w:tc>
          <w:tcPr>
            <w:tcW w:w="4320" w:type="dxa"/>
            <w:vAlign w:val="bottom"/>
            <w:tcBorders>
              <w:right w:val="single" w:sz="8" w:color="4C4C4C"/>
            </w:tcBorders>
            <w:shd w:val="clear" w:color="auto" w:fill="E8EDF4"/>
          </w:tcPr>
          <w:p>
            <w:pPr>
              <w:ind w:left="1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68"/>
        </w:trPr>
        <w:tc>
          <w:tcPr>
            <w:tcW w:w="2580" w:type="dxa"/>
            <w:vAlign w:val="bottom"/>
            <w:tcBorders>
              <w:left w:val="single" w:sz="8" w:color="4C4C4C"/>
              <w:bottom w:val="single" w:sz="8" w:color="4C4C4C"/>
            </w:tcBorders>
            <w:shd w:val="clear" w:color="auto" w:fill="052B82"/>
          </w:tcPr>
          <w:p>
            <w:pPr>
              <w:spacing w:after="0"/>
              <w:rPr>
                <w:sz w:val="5"/>
                <w:szCs w:val="5"/>
                <w:color w:val="auto"/>
              </w:rPr>
            </w:pPr>
          </w:p>
        </w:tc>
        <w:tc>
          <w:tcPr>
            <w:tcW w:w="100" w:type="dxa"/>
            <w:vAlign w:val="bottom"/>
            <w:tcBorders>
              <w:bottom w:val="single" w:sz="8" w:color="4C4C4C"/>
            </w:tcBorders>
            <w:shd w:val="clear" w:color="auto" w:fill="E8EDF4"/>
          </w:tcPr>
          <w:p>
            <w:pPr>
              <w:spacing w:after="0"/>
              <w:rPr>
                <w:sz w:val="5"/>
                <w:szCs w:val="5"/>
                <w:color w:val="auto"/>
              </w:rPr>
            </w:pPr>
          </w:p>
        </w:tc>
        <w:tc>
          <w:tcPr>
            <w:tcW w:w="4040" w:type="dxa"/>
            <w:vAlign w:val="bottom"/>
            <w:tcBorders>
              <w:bottom w:val="single" w:sz="8" w:color="4C4C4C"/>
            </w:tcBorders>
            <w:shd w:val="clear" w:color="auto" w:fill="E8EDF4"/>
          </w:tcPr>
          <w:p>
            <w:pPr>
              <w:spacing w:after="0"/>
              <w:rPr>
                <w:sz w:val="5"/>
                <w:szCs w:val="5"/>
                <w:color w:val="auto"/>
              </w:rPr>
            </w:pPr>
          </w:p>
        </w:tc>
        <w:tc>
          <w:tcPr>
            <w:tcW w:w="4320" w:type="dxa"/>
            <w:vAlign w:val="bottom"/>
            <w:tcBorders>
              <w:bottom w:val="single" w:sz="8" w:color="4C4C4C"/>
              <w:right w:val="single" w:sz="8" w:color="4C4C4C"/>
            </w:tcBorders>
            <w:shd w:val="clear" w:color="auto" w:fill="E8EDF4"/>
          </w:tcPr>
          <w:p>
            <w:pPr>
              <w:spacing w:after="0"/>
              <w:rPr>
                <w:sz w:val="5"/>
                <w:szCs w:val="5"/>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9320"/>
        <w:spacing w:after="0"/>
        <w:tabs>
          <w:tab w:leader="none" w:pos="11000" w:val="left"/>
        </w:tabs>
        <w:rPr>
          <w:sz w:val="20"/>
          <w:szCs w:val="20"/>
          <w:color w:val="auto"/>
        </w:rPr>
      </w:pPr>
      <w:r>
        <w:rPr>
          <w:rFonts w:ascii="Arial" w:cs="Arial" w:eastAsia="Arial" w:hAnsi="Arial"/>
          <w:sz w:val="14"/>
          <w:szCs w:val="14"/>
          <w:b w:val="1"/>
          <w:bCs w:val="1"/>
          <w:color w:val="052B82"/>
        </w:rPr>
        <w:t>2020 Proxy Statement</w:t>
      </w:r>
      <w:r>
        <w:rPr>
          <w:sz w:val="20"/>
          <w:szCs w:val="20"/>
          <w:color w:val="auto"/>
        </w:rPr>
        <w:tab/>
      </w:r>
      <w:r>
        <w:rPr>
          <w:rFonts w:ascii="Arial" w:cs="Arial" w:eastAsia="Arial" w:hAnsi="Arial"/>
          <w:sz w:val="17"/>
          <w:szCs w:val="17"/>
          <w:color w:val="999999"/>
        </w:rPr>
        <w:t>19</w:t>
      </w:r>
    </w:p>
    <w:p>
      <w:pPr>
        <w:sectPr>
          <w:pgSz w:w="11900" w:h="16838" w:orient="portrait"/>
          <w:cols w:equalWidth="0" w:num="1">
            <w:col w:w="11240"/>
          </w:cols>
          <w:pgMar w:left="240" w:top="459" w:right="4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2649855"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230" w:type="dxa"/>
        <w:tblCellMar>
          <w:top w:w="0" w:type="dxa"/>
          <w:left w:w="0" w:type="dxa"/>
          <w:bottom w:w="0" w:type="dxa"/>
          <w:right w:w="0" w:type="dxa"/>
        </w:tblCellMar>
      </w:tblPr>
      <w:tr>
        <w:trPr>
          <w:trHeight w:val="283"/>
        </w:trPr>
        <w:tc>
          <w:tcPr>
            <w:tcW w:w="2620" w:type="dxa"/>
            <w:vAlign w:val="bottom"/>
            <w:tcBorders>
              <w:top w:val="single" w:sz="8" w:color="4C4C4C"/>
              <w:left w:val="single" w:sz="8" w:color="4C4C4C"/>
            </w:tcBorders>
            <w:shd w:val="clear" w:color="auto" w:fill="052B82"/>
          </w:tcPr>
          <w:p>
            <w:pPr>
              <w:ind w:left="200"/>
              <w:spacing w:after="0"/>
              <w:rPr>
                <w:sz w:val="20"/>
                <w:szCs w:val="20"/>
                <w:color w:val="auto"/>
              </w:rPr>
            </w:pPr>
            <w:r>
              <w:rPr>
                <w:rFonts w:ascii="Arial" w:cs="Arial" w:eastAsia="Arial" w:hAnsi="Arial"/>
                <w:sz w:val="22"/>
                <w:szCs w:val="22"/>
                <w:b w:val="1"/>
                <w:bCs w:val="1"/>
                <w:color w:val="FFFFFF"/>
              </w:rPr>
              <w:t>Vincent Roche</w:t>
            </w:r>
          </w:p>
        </w:tc>
        <w:tc>
          <w:tcPr>
            <w:tcW w:w="120" w:type="dxa"/>
            <w:vAlign w:val="bottom"/>
            <w:tcBorders>
              <w:top w:val="single" w:sz="8" w:color="4C4C4C"/>
            </w:tcBorders>
            <w:shd w:val="clear" w:color="auto" w:fill="E8EDF4"/>
          </w:tcPr>
          <w:p>
            <w:pPr>
              <w:spacing w:after="0"/>
              <w:rPr>
                <w:sz w:val="24"/>
                <w:szCs w:val="24"/>
                <w:color w:val="auto"/>
              </w:rPr>
            </w:pPr>
          </w:p>
        </w:tc>
        <w:tc>
          <w:tcPr>
            <w:tcW w:w="4060" w:type="dxa"/>
            <w:vAlign w:val="bottom"/>
            <w:tcBorders>
              <w:top w:val="single" w:sz="8" w:color="4C4C4C"/>
            </w:tcBorders>
            <w:shd w:val="clear" w:color="auto" w:fill="E8EDF4"/>
          </w:tcPr>
          <w:p>
            <w:pPr>
              <w:spacing w:after="0"/>
              <w:rPr>
                <w:sz w:val="20"/>
                <w:szCs w:val="20"/>
                <w:color w:val="auto"/>
              </w:rPr>
            </w:pPr>
            <w:r>
              <w:rPr>
                <w:rFonts w:ascii="Arial" w:cs="Arial" w:eastAsia="Arial" w:hAnsi="Arial"/>
                <w:sz w:val="18"/>
                <w:szCs w:val="18"/>
                <w:b w:val="1"/>
                <w:bCs w:val="1"/>
                <w:color w:val="auto"/>
              </w:rPr>
              <w:t>Professional Experience and Background</w:t>
            </w:r>
          </w:p>
        </w:tc>
        <w:tc>
          <w:tcPr>
            <w:tcW w:w="4240" w:type="dxa"/>
            <w:vAlign w:val="bottom"/>
            <w:tcBorders>
              <w:top w:val="single" w:sz="8" w:color="4C4C4C"/>
              <w:right w:val="single" w:sz="8" w:color="4C4C4C"/>
            </w:tcBorders>
            <w:shd w:val="clear" w:color="auto" w:fill="E8EDF4"/>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620" w:type="dxa"/>
            <w:vAlign w:val="bottom"/>
            <w:tcBorders>
              <w:left w:val="single" w:sz="8" w:color="4C4C4C"/>
            </w:tcBorders>
            <w:vMerge w:val="restart"/>
            <w:shd w:val="clear" w:color="auto" w:fill="052B82"/>
          </w:tcPr>
          <w:p>
            <w:pPr>
              <w:ind w:left="200"/>
              <w:spacing w:after="0"/>
              <w:rPr>
                <w:sz w:val="20"/>
                <w:szCs w:val="20"/>
                <w:color w:val="auto"/>
              </w:rPr>
            </w:pPr>
            <w:r>
              <w:rPr>
                <w:rFonts w:ascii="Arial" w:cs="Arial" w:eastAsia="Arial" w:hAnsi="Arial"/>
                <w:sz w:val="18"/>
                <w:szCs w:val="18"/>
                <w:b w:val="1"/>
                <w:bCs w:val="1"/>
                <w:color w:val="FFFFFF"/>
              </w:rPr>
              <w:t>President and Chief</w:t>
            </w:r>
          </w:p>
        </w:tc>
        <w:tc>
          <w:tcPr>
            <w:tcW w:w="120" w:type="dxa"/>
            <w:vAlign w:val="bottom"/>
            <w:shd w:val="clear" w:color="auto" w:fill="E8EDF4"/>
          </w:tcPr>
          <w:p>
            <w:pPr>
              <w:spacing w:after="0"/>
              <w:rPr>
                <w:sz w:val="17"/>
                <w:szCs w:val="17"/>
                <w:color w:val="auto"/>
              </w:rPr>
            </w:pPr>
          </w:p>
        </w:tc>
        <w:tc>
          <w:tcPr>
            <w:tcW w:w="8300" w:type="dxa"/>
            <w:vAlign w:val="bottom"/>
            <w:tcBorders>
              <w:right w:val="single" w:sz="8" w:color="4C4C4C"/>
            </w:tcBorders>
            <w:gridSpan w:val="2"/>
            <w:shd w:val="clear" w:color="auto" w:fill="E8EDF4"/>
          </w:tcPr>
          <w:p>
            <w:pPr>
              <w:spacing w:after="0" w:line="202" w:lineRule="exact"/>
              <w:rPr>
                <w:sz w:val="20"/>
                <w:szCs w:val="20"/>
                <w:color w:val="auto"/>
              </w:rPr>
            </w:pPr>
            <w:r>
              <w:rPr>
                <w:rFonts w:ascii="Arial" w:cs="Arial" w:eastAsia="Arial" w:hAnsi="Arial"/>
                <w:sz w:val="18"/>
                <w:szCs w:val="18"/>
                <w:color w:val="auto"/>
              </w:rPr>
              <w:t>Mr. Roche has served as President of Analog Devices since 2012 and was appointed Chief Executive</w:t>
            </w:r>
          </w:p>
        </w:tc>
        <w:tc>
          <w:tcPr>
            <w:tcW w:w="0" w:type="dxa"/>
            <w:vAlign w:val="bottom"/>
          </w:tcPr>
          <w:p>
            <w:pPr>
              <w:spacing w:after="0"/>
              <w:rPr>
                <w:sz w:val="1"/>
                <w:szCs w:val="1"/>
                <w:color w:val="auto"/>
              </w:rPr>
            </w:pPr>
          </w:p>
        </w:tc>
      </w:tr>
      <w:tr>
        <w:trPr>
          <w:trHeight w:val="113"/>
        </w:trPr>
        <w:tc>
          <w:tcPr>
            <w:tcW w:w="2620" w:type="dxa"/>
            <w:vAlign w:val="bottom"/>
            <w:tcBorders>
              <w:left w:val="single" w:sz="8" w:color="4C4C4C"/>
            </w:tcBorders>
            <w:vMerge w:val="continue"/>
            <w:shd w:val="clear" w:color="auto" w:fill="052B82"/>
          </w:tcPr>
          <w:p>
            <w:pPr>
              <w:spacing w:after="0"/>
              <w:rPr>
                <w:sz w:val="9"/>
                <w:szCs w:val="9"/>
                <w:color w:val="auto"/>
              </w:rPr>
            </w:pPr>
          </w:p>
        </w:tc>
        <w:tc>
          <w:tcPr>
            <w:tcW w:w="120" w:type="dxa"/>
            <w:vAlign w:val="bottom"/>
            <w:shd w:val="clear" w:color="auto" w:fill="E8EDF4"/>
          </w:tcPr>
          <w:p>
            <w:pPr>
              <w:spacing w:after="0"/>
              <w:rPr>
                <w:sz w:val="9"/>
                <w:szCs w:val="9"/>
                <w:color w:val="auto"/>
              </w:rPr>
            </w:pPr>
          </w:p>
        </w:tc>
        <w:tc>
          <w:tcPr>
            <w:tcW w:w="8300" w:type="dxa"/>
            <w:vAlign w:val="bottom"/>
            <w:tcBorders>
              <w:right w:val="single" w:sz="8" w:color="4C4C4C"/>
            </w:tcBorders>
            <w:gridSpan w:val="2"/>
            <w:vMerge w:val="restart"/>
            <w:shd w:val="clear" w:color="auto" w:fill="E8EDF4"/>
          </w:tcPr>
          <w:p>
            <w:pPr>
              <w:spacing w:after="0" w:line="202" w:lineRule="exact"/>
              <w:rPr>
                <w:sz w:val="20"/>
                <w:szCs w:val="20"/>
                <w:color w:val="auto"/>
              </w:rPr>
            </w:pPr>
            <w:r>
              <w:rPr>
                <w:rFonts w:ascii="Arial" w:cs="Arial" w:eastAsia="Arial" w:hAnsi="Arial"/>
                <w:sz w:val="18"/>
                <w:szCs w:val="18"/>
                <w:color w:val="auto"/>
              </w:rPr>
              <w:t>Officer and elected as a director in 2013. Under his leadership, ADI has extended its market leadership</w:t>
            </w:r>
          </w:p>
        </w:tc>
        <w:tc>
          <w:tcPr>
            <w:tcW w:w="0" w:type="dxa"/>
            <w:vAlign w:val="bottom"/>
          </w:tcPr>
          <w:p>
            <w:pPr>
              <w:spacing w:after="0"/>
              <w:rPr>
                <w:sz w:val="1"/>
                <w:szCs w:val="1"/>
                <w:color w:val="auto"/>
              </w:rPr>
            </w:pPr>
          </w:p>
        </w:tc>
      </w:tr>
      <w:tr>
        <w:trPr>
          <w:trHeight w:val="90"/>
        </w:trPr>
        <w:tc>
          <w:tcPr>
            <w:tcW w:w="2620" w:type="dxa"/>
            <w:vAlign w:val="bottom"/>
            <w:tcBorders>
              <w:left w:val="single" w:sz="8" w:color="4C4C4C"/>
            </w:tcBorders>
            <w:vMerge w:val="restart"/>
            <w:shd w:val="clear" w:color="auto" w:fill="052B82"/>
          </w:tcPr>
          <w:p>
            <w:pPr>
              <w:ind w:left="200"/>
              <w:spacing w:after="0"/>
              <w:rPr>
                <w:sz w:val="20"/>
                <w:szCs w:val="20"/>
                <w:color w:val="auto"/>
              </w:rPr>
            </w:pPr>
            <w:r>
              <w:rPr>
                <w:rFonts w:ascii="Arial" w:cs="Arial" w:eastAsia="Arial" w:hAnsi="Arial"/>
                <w:sz w:val="18"/>
                <w:szCs w:val="18"/>
                <w:b w:val="1"/>
                <w:bCs w:val="1"/>
                <w:color w:val="FFFFFF"/>
              </w:rPr>
              <w:t>Executive Officer</w:t>
            </w:r>
          </w:p>
        </w:tc>
        <w:tc>
          <w:tcPr>
            <w:tcW w:w="120" w:type="dxa"/>
            <w:vAlign w:val="bottom"/>
            <w:shd w:val="clear" w:color="auto" w:fill="E8EDF4"/>
          </w:tcPr>
          <w:p>
            <w:pPr>
              <w:spacing w:after="0"/>
              <w:rPr>
                <w:sz w:val="7"/>
                <w:szCs w:val="7"/>
                <w:color w:val="auto"/>
              </w:rPr>
            </w:pPr>
          </w:p>
        </w:tc>
        <w:tc>
          <w:tcPr>
            <w:tcW w:w="8300" w:type="dxa"/>
            <w:vAlign w:val="bottom"/>
            <w:tcBorders>
              <w:right w:val="single" w:sz="8" w:color="4C4C4C"/>
            </w:tcBorders>
            <w:gridSpan w:val="2"/>
            <w:vMerge w:val="continue"/>
            <w:shd w:val="clear" w:color="auto" w:fill="E8EDF4"/>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620" w:type="dxa"/>
            <w:vAlign w:val="bottom"/>
            <w:tcBorders>
              <w:left w:val="single" w:sz="8" w:color="4C4C4C"/>
            </w:tcBorders>
            <w:vMerge w:val="continue"/>
            <w:shd w:val="clear" w:color="auto" w:fill="052B82"/>
          </w:tcPr>
          <w:p>
            <w:pPr>
              <w:spacing w:after="0"/>
              <w:rPr>
                <w:sz w:val="12"/>
                <w:szCs w:val="12"/>
                <w:color w:val="auto"/>
              </w:rPr>
            </w:pPr>
          </w:p>
        </w:tc>
        <w:tc>
          <w:tcPr>
            <w:tcW w:w="120" w:type="dxa"/>
            <w:vAlign w:val="bottom"/>
            <w:shd w:val="clear" w:color="auto" w:fill="E8EDF4"/>
          </w:tcPr>
          <w:p>
            <w:pPr>
              <w:spacing w:after="0"/>
              <w:rPr>
                <w:sz w:val="12"/>
                <w:szCs w:val="12"/>
                <w:color w:val="auto"/>
              </w:rPr>
            </w:pPr>
          </w:p>
        </w:tc>
        <w:tc>
          <w:tcPr>
            <w:tcW w:w="8300" w:type="dxa"/>
            <w:vAlign w:val="bottom"/>
            <w:tcBorders>
              <w:right w:val="single" w:sz="8" w:color="4C4C4C"/>
            </w:tcBorders>
            <w:gridSpan w:val="2"/>
            <w:vMerge w:val="restart"/>
            <w:shd w:val="clear" w:color="auto" w:fill="E8EDF4"/>
          </w:tcPr>
          <w:p>
            <w:pPr>
              <w:spacing w:after="0" w:line="202" w:lineRule="exact"/>
              <w:rPr>
                <w:sz w:val="20"/>
                <w:szCs w:val="20"/>
                <w:color w:val="auto"/>
              </w:rPr>
            </w:pPr>
            <w:r>
              <w:rPr>
                <w:rFonts w:ascii="Arial" w:cs="Arial" w:eastAsia="Arial" w:hAnsi="Arial"/>
                <w:sz w:val="18"/>
                <w:szCs w:val="18"/>
                <w:color w:val="auto"/>
              </w:rPr>
              <w:t>and grown to approximately $6 billion in revenue in fiscal 2019. Mr. Roche began his career at ADI in</w:t>
            </w:r>
          </w:p>
        </w:tc>
        <w:tc>
          <w:tcPr>
            <w:tcW w:w="0" w:type="dxa"/>
            <w:vAlign w:val="bottom"/>
          </w:tcPr>
          <w:p>
            <w:pPr>
              <w:spacing w:after="0"/>
              <w:rPr>
                <w:sz w:val="1"/>
                <w:szCs w:val="1"/>
                <w:color w:val="auto"/>
              </w:rPr>
            </w:pPr>
          </w:p>
        </w:tc>
      </w:tr>
      <w:tr>
        <w:trPr>
          <w:trHeight w:val="53"/>
        </w:trPr>
        <w:tc>
          <w:tcPr>
            <w:tcW w:w="2620" w:type="dxa"/>
            <w:vAlign w:val="bottom"/>
            <w:tcBorders>
              <w:left w:val="single" w:sz="8" w:color="4C4C4C"/>
            </w:tcBorders>
            <w:shd w:val="clear" w:color="auto" w:fill="052B82"/>
          </w:tcPr>
          <w:p>
            <w:pPr>
              <w:spacing w:after="0"/>
              <w:rPr>
                <w:sz w:val="4"/>
                <w:szCs w:val="4"/>
                <w:color w:val="auto"/>
              </w:rPr>
            </w:pPr>
          </w:p>
        </w:tc>
        <w:tc>
          <w:tcPr>
            <w:tcW w:w="120" w:type="dxa"/>
            <w:vAlign w:val="bottom"/>
            <w:shd w:val="clear" w:color="auto" w:fill="E8EDF4"/>
          </w:tcPr>
          <w:p>
            <w:pPr>
              <w:spacing w:after="0"/>
              <w:rPr>
                <w:sz w:val="4"/>
                <w:szCs w:val="4"/>
                <w:color w:val="auto"/>
              </w:rPr>
            </w:pPr>
          </w:p>
        </w:tc>
        <w:tc>
          <w:tcPr>
            <w:tcW w:w="8300" w:type="dxa"/>
            <w:vAlign w:val="bottom"/>
            <w:tcBorders>
              <w:right w:val="single" w:sz="8" w:color="4C4C4C"/>
            </w:tcBorders>
            <w:gridSpan w:val="2"/>
            <w:vMerge w:val="continue"/>
            <w:shd w:val="clear" w:color="auto" w:fill="E8EDF4"/>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620" w:type="dxa"/>
            <w:vAlign w:val="bottom"/>
            <w:tcBorders>
              <w:left w:val="single" w:sz="8" w:color="4C4C4C"/>
            </w:tcBorders>
            <w:vMerge w:val="restart"/>
            <w:shd w:val="clear" w:color="auto" w:fill="052B82"/>
          </w:tcPr>
          <w:p>
            <w:pPr>
              <w:ind w:left="200"/>
              <w:spacing w:after="0"/>
              <w:rPr>
                <w:sz w:val="20"/>
                <w:szCs w:val="20"/>
                <w:color w:val="auto"/>
              </w:rPr>
            </w:pPr>
            <w:r>
              <w:rPr>
                <w:rFonts w:ascii="Arial" w:cs="Arial" w:eastAsia="Arial" w:hAnsi="Arial"/>
                <w:sz w:val="18"/>
                <w:szCs w:val="18"/>
                <w:b w:val="1"/>
                <w:bCs w:val="1"/>
                <w:color w:val="FFFFFF"/>
              </w:rPr>
              <w:t>Director since: 2013</w:t>
            </w:r>
          </w:p>
        </w:tc>
        <w:tc>
          <w:tcPr>
            <w:tcW w:w="120" w:type="dxa"/>
            <w:vAlign w:val="bottom"/>
            <w:shd w:val="clear" w:color="auto" w:fill="E8EDF4"/>
          </w:tcPr>
          <w:p>
            <w:pPr>
              <w:spacing w:after="0"/>
              <w:rPr>
                <w:sz w:val="17"/>
                <w:szCs w:val="17"/>
                <w:color w:val="auto"/>
              </w:rPr>
            </w:pPr>
          </w:p>
        </w:tc>
        <w:tc>
          <w:tcPr>
            <w:tcW w:w="8300" w:type="dxa"/>
            <w:vAlign w:val="bottom"/>
            <w:tcBorders>
              <w:right w:val="single" w:sz="8" w:color="4C4C4C"/>
            </w:tcBorders>
            <w:gridSpan w:val="2"/>
            <w:shd w:val="clear" w:color="auto" w:fill="E8EDF4"/>
          </w:tcPr>
          <w:p>
            <w:pPr>
              <w:spacing w:after="0" w:line="202" w:lineRule="exact"/>
              <w:rPr>
                <w:sz w:val="20"/>
                <w:szCs w:val="20"/>
                <w:color w:val="auto"/>
              </w:rPr>
            </w:pPr>
            <w:r>
              <w:rPr>
                <w:rFonts w:ascii="Arial" w:cs="Arial" w:eastAsia="Arial" w:hAnsi="Arial"/>
                <w:sz w:val="18"/>
                <w:szCs w:val="18"/>
                <w:color w:val="auto"/>
              </w:rPr>
              <w:t>1988 and has served in key positions spanning corporate leadership, worldwide sales, strategic</w:t>
            </w:r>
          </w:p>
        </w:tc>
        <w:tc>
          <w:tcPr>
            <w:tcW w:w="0" w:type="dxa"/>
            <w:vAlign w:val="bottom"/>
          </w:tcPr>
          <w:p>
            <w:pPr>
              <w:spacing w:after="0"/>
              <w:rPr>
                <w:sz w:val="1"/>
                <w:szCs w:val="1"/>
                <w:color w:val="auto"/>
              </w:rPr>
            </w:pPr>
          </w:p>
        </w:tc>
      </w:tr>
      <w:tr>
        <w:trPr>
          <w:trHeight w:val="109"/>
        </w:trPr>
        <w:tc>
          <w:tcPr>
            <w:tcW w:w="2620" w:type="dxa"/>
            <w:vAlign w:val="bottom"/>
            <w:tcBorders>
              <w:left w:val="single" w:sz="8" w:color="4C4C4C"/>
            </w:tcBorders>
            <w:vMerge w:val="continue"/>
            <w:shd w:val="clear" w:color="auto" w:fill="052B82"/>
          </w:tcPr>
          <w:p>
            <w:pPr>
              <w:spacing w:after="0"/>
              <w:rPr>
                <w:sz w:val="9"/>
                <w:szCs w:val="9"/>
                <w:color w:val="auto"/>
              </w:rPr>
            </w:pPr>
          </w:p>
        </w:tc>
        <w:tc>
          <w:tcPr>
            <w:tcW w:w="120" w:type="dxa"/>
            <w:vAlign w:val="bottom"/>
            <w:shd w:val="clear" w:color="auto" w:fill="E8EDF4"/>
          </w:tcPr>
          <w:p>
            <w:pPr>
              <w:spacing w:after="0"/>
              <w:rPr>
                <w:sz w:val="9"/>
                <w:szCs w:val="9"/>
                <w:color w:val="auto"/>
              </w:rPr>
            </w:pPr>
          </w:p>
        </w:tc>
        <w:tc>
          <w:tcPr>
            <w:tcW w:w="8300" w:type="dxa"/>
            <w:vAlign w:val="bottom"/>
            <w:tcBorders>
              <w:right w:val="single" w:sz="8" w:color="4C4C4C"/>
            </w:tcBorders>
            <w:gridSpan w:val="2"/>
            <w:vMerge w:val="restart"/>
            <w:shd w:val="clear" w:color="auto" w:fill="E8EDF4"/>
          </w:tcPr>
          <w:p>
            <w:pPr>
              <w:spacing w:after="0"/>
              <w:rPr>
                <w:sz w:val="20"/>
                <w:szCs w:val="20"/>
                <w:color w:val="auto"/>
              </w:rPr>
            </w:pPr>
            <w:r>
              <w:rPr>
                <w:rFonts w:ascii="Arial" w:cs="Arial" w:eastAsia="Arial" w:hAnsi="Arial"/>
                <w:sz w:val="18"/>
                <w:szCs w:val="18"/>
                <w:color w:val="auto"/>
              </w:rPr>
              <w:t>marketing, business development, and product management over his more than 30-year tenure at ADI.</w:t>
            </w:r>
          </w:p>
        </w:tc>
        <w:tc>
          <w:tcPr>
            <w:tcW w:w="0" w:type="dxa"/>
            <w:vAlign w:val="bottom"/>
          </w:tcPr>
          <w:p>
            <w:pPr>
              <w:spacing w:after="0"/>
              <w:rPr>
                <w:sz w:val="1"/>
                <w:szCs w:val="1"/>
                <w:color w:val="auto"/>
              </w:rPr>
            </w:pPr>
          </w:p>
        </w:tc>
      </w:tr>
      <w:tr>
        <w:trPr>
          <w:trHeight w:val="108"/>
        </w:trPr>
        <w:tc>
          <w:tcPr>
            <w:tcW w:w="2620" w:type="dxa"/>
            <w:vAlign w:val="bottom"/>
            <w:tcBorders>
              <w:left w:val="single" w:sz="8" w:color="4C4C4C"/>
            </w:tcBorders>
            <w:shd w:val="clear" w:color="auto" w:fill="052B82"/>
          </w:tcPr>
          <w:p>
            <w:pPr>
              <w:spacing w:after="0"/>
              <w:rPr>
                <w:sz w:val="9"/>
                <w:szCs w:val="9"/>
                <w:color w:val="auto"/>
              </w:rPr>
            </w:pPr>
          </w:p>
        </w:tc>
        <w:tc>
          <w:tcPr>
            <w:tcW w:w="120" w:type="dxa"/>
            <w:vAlign w:val="bottom"/>
            <w:shd w:val="clear" w:color="auto" w:fill="E8EDF4"/>
          </w:tcPr>
          <w:p>
            <w:pPr>
              <w:spacing w:after="0"/>
              <w:rPr>
                <w:sz w:val="9"/>
                <w:szCs w:val="9"/>
                <w:color w:val="auto"/>
              </w:rPr>
            </w:pPr>
          </w:p>
        </w:tc>
        <w:tc>
          <w:tcPr>
            <w:tcW w:w="8300" w:type="dxa"/>
            <w:vAlign w:val="bottom"/>
            <w:tcBorders>
              <w:right w:val="single" w:sz="8" w:color="4C4C4C"/>
            </w:tcBorders>
            <w:gridSpan w:val="2"/>
            <w:vMerge w:val="continue"/>
            <w:shd w:val="clear" w:color="auto" w:fill="E8EDF4"/>
          </w:tcPr>
          <w:p>
            <w:pPr>
              <w:spacing w:after="0"/>
              <w:rPr>
                <w:sz w:val="9"/>
                <w:szCs w:val="9"/>
                <w:color w:val="auto"/>
              </w:rPr>
            </w:pPr>
          </w:p>
        </w:tc>
        <w:tc>
          <w:tcPr>
            <w:tcW w:w="0" w:type="dxa"/>
            <w:vAlign w:val="bottom"/>
          </w:tcPr>
          <w:p>
            <w:pPr>
              <w:spacing w:after="0"/>
              <w:rPr>
                <w:sz w:val="1"/>
                <w:szCs w:val="1"/>
                <w:color w:val="auto"/>
              </w:rPr>
            </w:pPr>
          </w:p>
        </w:tc>
      </w:tr>
      <w:tr>
        <w:trPr>
          <w:trHeight w:val="284"/>
        </w:trPr>
        <w:tc>
          <w:tcPr>
            <w:tcW w:w="2620" w:type="dxa"/>
            <w:vAlign w:val="bottom"/>
            <w:tcBorders>
              <w:left w:val="single" w:sz="8" w:color="4C4C4C"/>
            </w:tcBorders>
            <w:shd w:val="clear" w:color="auto" w:fill="052B82"/>
          </w:tcPr>
          <w:p>
            <w:pPr>
              <w:ind w:left="200"/>
              <w:spacing w:after="0"/>
              <w:rPr>
                <w:sz w:val="20"/>
                <w:szCs w:val="20"/>
                <w:color w:val="auto"/>
              </w:rPr>
            </w:pPr>
            <w:r>
              <w:rPr>
                <w:rFonts w:ascii="Arial" w:cs="Arial" w:eastAsia="Arial" w:hAnsi="Arial"/>
                <w:sz w:val="18"/>
                <w:szCs w:val="18"/>
                <w:b w:val="1"/>
                <w:bCs w:val="1"/>
                <w:color w:val="FFFFFF"/>
              </w:rPr>
              <w:t>Age: 59</w:t>
            </w:r>
          </w:p>
        </w:tc>
        <w:tc>
          <w:tcPr>
            <w:tcW w:w="120" w:type="dxa"/>
            <w:vAlign w:val="bottom"/>
            <w:shd w:val="clear" w:color="auto" w:fill="E8EDF4"/>
          </w:tcPr>
          <w:p>
            <w:pPr>
              <w:spacing w:after="0"/>
              <w:rPr>
                <w:sz w:val="24"/>
                <w:szCs w:val="24"/>
                <w:color w:val="auto"/>
              </w:rPr>
            </w:pPr>
          </w:p>
        </w:tc>
        <w:tc>
          <w:tcPr>
            <w:tcW w:w="4060" w:type="dxa"/>
            <w:vAlign w:val="bottom"/>
            <w:shd w:val="clear" w:color="auto" w:fill="E8EDF4"/>
          </w:tcPr>
          <w:p>
            <w:pPr>
              <w:spacing w:after="0"/>
              <w:rPr>
                <w:sz w:val="20"/>
                <w:szCs w:val="20"/>
                <w:color w:val="auto"/>
              </w:rPr>
            </w:pPr>
            <w:r>
              <w:rPr>
                <w:rFonts w:ascii="Arial" w:cs="Arial" w:eastAsia="Arial" w:hAnsi="Arial"/>
                <w:sz w:val="18"/>
                <w:szCs w:val="18"/>
                <w:b w:val="1"/>
                <w:bCs w:val="1"/>
                <w:color w:val="auto"/>
              </w:rPr>
              <w:t>Key Qualifications and Expertise</w:t>
            </w:r>
          </w:p>
        </w:tc>
        <w:tc>
          <w:tcPr>
            <w:tcW w:w="4240" w:type="dxa"/>
            <w:vAlign w:val="bottom"/>
            <w:tcBorders>
              <w:right w:val="single" w:sz="8" w:color="4C4C4C"/>
            </w:tcBorders>
            <w:shd w:val="clear" w:color="auto" w:fill="E8EDF4"/>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620" w:type="dxa"/>
            <w:vAlign w:val="bottom"/>
            <w:tcBorders>
              <w:left w:val="single" w:sz="8" w:color="4C4C4C"/>
            </w:tcBorders>
            <w:shd w:val="clear" w:color="auto" w:fill="052B82"/>
          </w:tcPr>
          <w:p>
            <w:pPr>
              <w:ind w:left="200"/>
              <w:spacing w:after="0"/>
              <w:rPr>
                <w:sz w:val="20"/>
                <w:szCs w:val="20"/>
                <w:color w:val="auto"/>
              </w:rPr>
            </w:pPr>
            <w:r>
              <w:rPr>
                <w:rFonts w:ascii="Arial" w:cs="Arial" w:eastAsia="Arial" w:hAnsi="Arial"/>
                <w:sz w:val="18"/>
                <w:szCs w:val="18"/>
                <w:b w:val="1"/>
                <w:bCs w:val="1"/>
                <w:color w:val="FFFFFF"/>
              </w:rPr>
              <w:t>Committee(s):</w:t>
            </w:r>
          </w:p>
        </w:tc>
        <w:tc>
          <w:tcPr>
            <w:tcW w:w="120" w:type="dxa"/>
            <w:vAlign w:val="bottom"/>
            <w:shd w:val="clear" w:color="auto" w:fill="E8EDF4"/>
          </w:tcPr>
          <w:p>
            <w:pPr>
              <w:spacing w:after="0"/>
              <w:rPr>
                <w:sz w:val="24"/>
                <w:szCs w:val="24"/>
                <w:color w:val="auto"/>
              </w:rPr>
            </w:pPr>
          </w:p>
        </w:tc>
        <w:tc>
          <w:tcPr>
            <w:tcW w:w="8300" w:type="dxa"/>
            <w:vAlign w:val="bottom"/>
            <w:tcBorders>
              <w:right w:val="single" w:sz="8" w:color="4C4C4C"/>
            </w:tcBorders>
            <w:gridSpan w:val="2"/>
            <w:shd w:val="clear" w:color="auto" w:fill="E8EDF4"/>
          </w:tcPr>
          <w:p>
            <w:pPr>
              <w:spacing w:after="0"/>
              <w:rPr>
                <w:sz w:val="20"/>
                <w:szCs w:val="20"/>
                <w:color w:val="auto"/>
              </w:rPr>
            </w:pPr>
            <w:r>
              <w:rPr>
                <w:rFonts w:ascii="Arial" w:cs="Arial" w:eastAsia="Arial" w:hAnsi="Arial"/>
                <w:sz w:val="18"/>
                <w:szCs w:val="18"/>
                <w:color w:val="auto"/>
              </w:rPr>
              <w:t>We believe that Mr. Roche’s qualifications to serve on the Board of Directors include his leadership role</w:t>
            </w:r>
          </w:p>
        </w:tc>
        <w:tc>
          <w:tcPr>
            <w:tcW w:w="0" w:type="dxa"/>
            <w:vAlign w:val="bottom"/>
          </w:tcPr>
          <w:p>
            <w:pPr>
              <w:spacing w:after="0"/>
              <w:rPr>
                <w:sz w:val="1"/>
                <w:szCs w:val="1"/>
                <w:color w:val="auto"/>
              </w:rPr>
            </w:pPr>
          </w:p>
        </w:tc>
      </w:tr>
      <w:tr>
        <w:trPr>
          <w:trHeight w:val="203"/>
        </w:trPr>
        <w:tc>
          <w:tcPr>
            <w:tcW w:w="2620" w:type="dxa"/>
            <w:vAlign w:val="bottom"/>
            <w:tcBorders>
              <w:left w:val="single" w:sz="8" w:color="4C4C4C"/>
            </w:tcBorders>
            <w:shd w:val="clear" w:color="auto" w:fill="052B82"/>
          </w:tcPr>
          <w:p>
            <w:pPr>
              <w:ind w:left="200"/>
              <w:spacing w:after="0" w:line="202" w:lineRule="exact"/>
              <w:rPr>
                <w:sz w:val="20"/>
                <w:szCs w:val="20"/>
                <w:color w:val="auto"/>
              </w:rPr>
            </w:pPr>
            <w:r>
              <w:rPr>
                <w:rFonts w:ascii="Arial" w:cs="Arial" w:eastAsia="Arial" w:hAnsi="Arial"/>
                <w:sz w:val="18"/>
                <w:szCs w:val="18"/>
                <w:color w:val="FFFFFF"/>
              </w:rPr>
              <w:t>None</w:t>
            </w:r>
          </w:p>
        </w:tc>
        <w:tc>
          <w:tcPr>
            <w:tcW w:w="120" w:type="dxa"/>
            <w:vAlign w:val="bottom"/>
            <w:shd w:val="clear" w:color="auto" w:fill="E8EDF4"/>
          </w:tcPr>
          <w:p>
            <w:pPr>
              <w:spacing w:after="0"/>
              <w:rPr>
                <w:sz w:val="17"/>
                <w:szCs w:val="17"/>
                <w:color w:val="auto"/>
              </w:rPr>
            </w:pPr>
          </w:p>
        </w:tc>
        <w:tc>
          <w:tcPr>
            <w:tcW w:w="8300" w:type="dxa"/>
            <w:vAlign w:val="bottom"/>
            <w:tcBorders>
              <w:right w:val="single" w:sz="8" w:color="4C4C4C"/>
            </w:tcBorders>
            <w:gridSpan w:val="2"/>
            <w:shd w:val="clear" w:color="auto" w:fill="E8EDF4"/>
          </w:tcPr>
          <w:p>
            <w:pPr>
              <w:spacing w:after="0" w:line="202" w:lineRule="exact"/>
              <w:rPr>
                <w:sz w:val="20"/>
                <w:szCs w:val="20"/>
                <w:color w:val="auto"/>
              </w:rPr>
            </w:pPr>
            <w:r>
              <w:rPr>
                <w:rFonts w:ascii="Arial" w:cs="Arial" w:eastAsia="Arial" w:hAnsi="Arial"/>
                <w:sz w:val="18"/>
                <w:szCs w:val="18"/>
                <w:color w:val="auto"/>
              </w:rPr>
              <w:t>in the Company and his deep knowledge of the Company’s products, markets, customers, culture and</w:t>
            </w:r>
          </w:p>
        </w:tc>
        <w:tc>
          <w:tcPr>
            <w:tcW w:w="0" w:type="dxa"/>
            <w:vAlign w:val="bottom"/>
          </w:tcPr>
          <w:p>
            <w:pPr>
              <w:spacing w:after="0"/>
              <w:rPr>
                <w:sz w:val="1"/>
                <w:szCs w:val="1"/>
                <w:color w:val="auto"/>
              </w:rPr>
            </w:pPr>
          </w:p>
        </w:tc>
      </w:tr>
      <w:tr>
        <w:trPr>
          <w:trHeight w:val="217"/>
        </w:trPr>
        <w:tc>
          <w:tcPr>
            <w:tcW w:w="2620" w:type="dxa"/>
            <w:vAlign w:val="bottom"/>
            <w:tcBorders>
              <w:left w:val="single" w:sz="8" w:color="4C4C4C"/>
            </w:tcBorders>
            <w:shd w:val="clear" w:color="auto" w:fill="052B82"/>
          </w:tcPr>
          <w:p>
            <w:pPr>
              <w:spacing w:after="0"/>
              <w:rPr>
                <w:sz w:val="18"/>
                <w:szCs w:val="18"/>
                <w:color w:val="auto"/>
              </w:rPr>
            </w:pPr>
          </w:p>
        </w:tc>
        <w:tc>
          <w:tcPr>
            <w:tcW w:w="120" w:type="dxa"/>
            <w:vAlign w:val="bottom"/>
            <w:shd w:val="clear" w:color="auto" w:fill="E8EDF4"/>
          </w:tcPr>
          <w:p>
            <w:pPr>
              <w:spacing w:after="0"/>
              <w:rPr>
                <w:sz w:val="18"/>
                <w:szCs w:val="18"/>
                <w:color w:val="auto"/>
              </w:rPr>
            </w:pPr>
          </w:p>
        </w:tc>
        <w:tc>
          <w:tcPr>
            <w:tcW w:w="4060" w:type="dxa"/>
            <w:vAlign w:val="bottom"/>
            <w:shd w:val="clear" w:color="auto" w:fill="E8EDF4"/>
          </w:tcPr>
          <w:p>
            <w:pPr>
              <w:spacing w:after="0"/>
              <w:rPr>
                <w:sz w:val="20"/>
                <w:szCs w:val="20"/>
                <w:color w:val="auto"/>
              </w:rPr>
            </w:pPr>
            <w:r>
              <w:rPr>
                <w:rFonts w:ascii="Arial" w:cs="Arial" w:eastAsia="Arial" w:hAnsi="Arial"/>
                <w:sz w:val="18"/>
                <w:szCs w:val="18"/>
                <w:color w:val="auto"/>
              </w:rPr>
              <w:t>organization.</w:t>
            </w:r>
          </w:p>
        </w:tc>
        <w:tc>
          <w:tcPr>
            <w:tcW w:w="4240" w:type="dxa"/>
            <w:vAlign w:val="bottom"/>
            <w:tcBorders>
              <w:right w:val="single" w:sz="8" w:color="4C4C4C"/>
            </w:tcBorders>
            <w:shd w:val="clear" w:color="auto" w:fill="E8EDF4"/>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620" w:type="dxa"/>
            <w:vAlign w:val="bottom"/>
            <w:tcBorders>
              <w:left w:val="single" w:sz="8" w:color="4C4C4C"/>
            </w:tcBorders>
            <w:shd w:val="clear" w:color="auto" w:fill="052B82"/>
          </w:tcPr>
          <w:p>
            <w:pPr>
              <w:spacing w:after="0"/>
              <w:rPr>
                <w:sz w:val="24"/>
                <w:szCs w:val="24"/>
                <w:color w:val="auto"/>
              </w:rPr>
            </w:pPr>
          </w:p>
        </w:tc>
        <w:tc>
          <w:tcPr>
            <w:tcW w:w="120" w:type="dxa"/>
            <w:vAlign w:val="bottom"/>
            <w:shd w:val="clear" w:color="auto" w:fill="E8EDF4"/>
          </w:tcPr>
          <w:p>
            <w:pPr>
              <w:spacing w:after="0"/>
              <w:rPr>
                <w:sz w:val="24"/>
                <w:szCs w:val="24"/>
                <w:color w:val="auto"/>
              </w:rPr>
            </w:pPr>
          </w:p>
        </w:tc>
        <w:tc>
          <w:tcPr>
            <w:tcW w:w="4060" w:type="dxa"/>
            <w:vAlign w:val="bottom"/>
            <w:shd w:val="clear" w:color="auto" w:fill="E8EDF4"/>
          </w:tcPr>
          <w:p>
            <w:pPr>
              <w:spacing w:after="0"/>
              <w:rPr>
                <w:sz w:val="20"/>
                <w:szCs w:val="20"/>
                <w:color w:val="auto"/>
              </w:rPr>
            </w:pPr>
            <w:r>
              <w:rPr>
                <w:rFonts w:ascii="Arial" w:cs="Arial" w:eastAsia="Arial" w:hAnsi="Arial"/>
                <w:sz w:val="18"/>
                <w:szCs w:val="18"/>
                <w:b w:val="1"/>
                <w:bCs w:val="1"/>
                <w:color w:val="auto"/>
              </w:rPr>
              <w:t>Other Public Company Boards</w:t>
            </w:r>
          </w:p>
        </w:tc>
        <w:tc>
          <w:tcPr>
            <w:tcW w:w="4240" w:type="dxa"/>
            <w:vAlign w:val="bottom"/>
            <w:tcBorders>
              <w:right w:val="single" w:sz="8" w:color="4C4C4C"/>
            </w:tcBorders>
            <w:shd w:val="clear" w:color="auto" w:fill="E8EDF4"/>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620" w:type="dxa"/>
            <w:vAlign w:val="bottom"/>
            <w:tcBorders>
              <w:left w:val="single" w:sz="8" w:color="4C4C4C"/>
            </w:tcBorders>
            <w:shd w:val="clear" w:color="auto" w:fill="052B82"/>
          </w:tcPr>
          <w:p>
            <w:pPr>
              <w:spacing w:after="0"/>
              <w:rPr>
                <w:sz w:val="24"/>
                <w:szCs w:val="24"/>
                <w:color w:val="auto"/>
              </w:rPr>
            </w:pPr>
          </w:p>
        </w:tc>
        <w:tc>
          <w:tcPr>
            <w:tcW w:w="120" w:type="dxa"/>
            <w:vAlign w:val="bottom"/>
            <w:shd w:val="clear" w:color="auto" w:fill="E8EDF4"/>
          </w:tcPr>
          <w:p>
            <w:pPr>
              <w:spacing w:after="0"/>
              <w:rPr>
                <w:sz w:val="24"/>
                <w:szCs w:val="24"/>
                <w:color w:val="auto"/>
              </w:rPr>
            </w:pPr>
          </w:p>
        </w:tc>
        <w:tc>
          <w:tcPr>
            <w:tcW w:w="4060" w:type="dxa"/>
            <w:vAlign w:val="bottom"/>
            <w:shd w:val="clear" w:color="auto" w:fill="E8EDF4"/>
          </w:tcPr>
          <w:p>
            <w:pPr>
              <w:spacing w:after="0"/>
              <w:rPr>
                <w:sz w:val="20"/>
                <w:szCs w:val="20"/>
                <w:color w:val="auto"/>
              </w:rPr>
            </w:pPr>
            <w:r>
              <w:rPr>
                <w:rFonts w:ascii="Arial" w:cs="Arial" w:eastAsia="Arial" w:hAnsi="Arial"/>
                <w:sz w:val="18"/>
                <w:szCs w:val="18"/>
                <w:b w:val="1"/>
                <w:bCs w:val="1"/>
                <w:color w:val="auto"/>
              </w:rPr>
              <w:t>Current</w:t>
            </w:r>
          </w:p>
        </w:tc>
        <w:tc>
          <w:tcPr>
            <w:tcW w:w="4240" w:type="dxa"/>
            <w:vAlign w:val="bottom"/>
            <w:tcBorders>
              <w:right w:val="single" w:sz="8" w:color="4C4C4C"/>
            </w:tcBorders>
            <w:shd w:val="clear" w:color="auto" w:fill="E8EDF4"/>
          </w:tcPr>
          <w:p>
            <w:pPr>
              <w:ind w:left="140"/>
              <w:spacing w:after="0"/>
              <w:rPr>
                <w:sz w:val="20"/>
                <w:szCs w:val="20"/>
                <w:color w:val="auto"/>
              </w:rPr>
            </w:pPr>
            <w:r>
              <w:rPr>
                <w:rFonts w:ascii="Arial" w:cs="Arial" w:eastAsia="Arial" w:hAnsi="Arial"/>
                <w:sz w:val="18"/>
                <w:szCs w:val="18"/>
                <w:b w:val="1"/>
                <w:bCs w:val="1"/>
                <w:color w:val="auto"/>
              </w:rPr>
              <w:t>Past 5 Years</w:t>
            </w:r>
          </w:p>
        </w:tc>
        <w:tc>
          <w:tcPr>
            <w:tcW w:w="0" w:type="dxa"/>
            <w:vAlign w:val="bottom"/>
          </w:tcPr>
          <w:p>
            <w:pPr>
              <w:spacing w:after="0"/>
              <w:rPr>
                <w:sz w:val="1"/>
                <w:szCs w:val="1"/>
                <w:color w:val="auto"/>
              </w:rPr>
            </w:pPr>
          </w:p>
        </w:tc>
      </w:tr>
      <w:tr>
        <w:trPr>
          <w:trHeight w:val="217"/>
        </w:trPr>
        <w:tc>
          <w:tcPr>
            <w:tcW w:w="2620" w:type="dxa"/>
            <w:vAlign w:val="bottom"/>
            <w:tcBorders>
              <w:left w:val="single" w:sz="8" w:color="4C4C4C"/>
            </w:tcBorders>
            <w:shd w:val="clear" w:color="auto" w:fill="052B82"/>
          </w:tcPr>
          <w:p>
            <w:pPr>
              <w:spacing w:after="0"/>
              <w:rPr>
                <w:sz w:val="18"/>
                <w:szCs w:val="18"/>
                <w:color w:val="auto"/>
              </w:rPr>
            </w:pPr>
          </w:p>
        </w:tc>
        <w:tc>
          <w:tcPr>
            <w:tcW w:w="120" w:type="dxa"/>
            <w:vAlign w:val="bottom"/>
            <w:shd w:val="clear" w:color="auto" w:fill="E8EDF4"/>
          </w:tcPr>
          <w:p>
            <w:pPr>
              <w:spacing w:after="0"/>
              <w:rPr>
                <w:sz w:val="18"/>
                <w:szCs w:val="18"/>
                <w:color w:val="auto"/>
              </w:rPr>
            </w:pPr>
          </w:p>
        </w:tc>
        <w:tc>
          <w:tcPr>
            <w:tcW w:w="4060" w:type="dxa"/>
            <w:vAlign w:val="bottom"/>
            <w:shd w:val="clear" w:color="auto" w:fill="E8EDF4"/>
          </w:tcPr>
          <w:p>
            <w:pPr>
              <w:spacing w:after="0"/>
              <w:rPr>
                <w:sz w:val="20"/>
                <w:szCs w:val="20"/>
                <w:color w:val="auto"/>
              </w:rPr>
            </w:pPr>
            <w:r>
              <w:rPr>
                <w:rFonts w:ascii="Arial" w:cs="Arial" w:eastAsia="Arial" w:hAnsi="Arial"/>
                <w:sz w:val="18"/>
                <w:szCs w:val="18"/>
                <w:color w:val="auto"/>
              </w:rPr>
              <w:t>Acacia Communications, Inc.</w:t>
            </w:r>
          </w:p>
        </w:tc>
        <w:tc>
          <w:tcPr>
            <w:tcW w:w="4240" w:type="dxa"/>
            <w:vAlign w:val="bottom"/>
            <w:tcBorders>
              <w:right w:val="single" w:sz="8" w:color="4C4C4C"/>
            </w:tcBorders>
            <w:shd w:val="clear" w:color="auto" w:fill="E8EDF4"/>
          </w:tcPr>
          <w:p>
            <w:pPr>
              <w:ind w:left="14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68"/>
        </w:trPr>
        <w:tc>
          <w:tcPr>
            <w:tcW w:w="2620" w:type="dxa"/>
            <w:vAlign w:val="bottom"/>
            <w:tcBorders>
              <w:left w:val="single" w:sz="8" w:color="4C4C4C"/>
              <w:bottom w:val="single" w:sz="8" w:color="4C4C4C"/>
            </w:tcBorders>
            <w:shd w:val="clear" w:color="auto" w:fill="052B82"/>
          </w:tcPr>
          <w:p>
            <w:pPr>
              <w:spacing w:after="0"/>
              <w:rPr>
                <w:sz w:val="5"/>
                <w:szCs w:val="5"/>
                <w:color w:val="auto"/>
              </w:rPr>
            </w:pPr>
          </w:p>
        </w:tc>
        <w:tc>
          <w:tcPr>
            <w:tcW w:w="120" w:type="dxa"/>
            <w:vAlign w:val="bottom"/>
            <w:tcBorders>
              <w:bottom w:val="single" w:sz="8" w:color="4C4C4C"/>
            </w:tcBorders>
            <w:shd w:val="clear" w:color="auto" w:fill="E8EDF4"/>
          </w:tcPr>
          <w:p>
            <w:pPr>
              <w:spacing w:after="0"/>
              <w:rPr>
                <w:sz w:val="5"/>
                <w:szCs w:val="5"/>
                <w:color w:val="auto"/>
              </w:rPr>
            </w:pPr>
          </w:p>
        </w:tc>
        <w:tc>
          <w:tcPr>
            <w:tcW w:w="4060" w:type="dxa"/>
            <w:vAlign w:val="bottom"/>
            <w:tcBorders>
              <w:bottom w:val="single" w:sz="8" w:color="4C4C4C"/>
            </w:tcBorders>
            <w:shd w:val="clear" w:color="auto" w:fill="E8EDF4"/>
          </w:tcPr>
          <w:p>
            <w:pPr>
              <w:spacing w:after="0"/>
              <w:rPr>
                <w:sz w:val="5"/>
                <w:szCs w:val="5"/>
                <w:color w:val="auto"/>
              </w:rPr>
            </w:pPr>
          </w:p>
        </w:tc>
        <w:tc>
          <w:tcPr>
            <w:tcW w:w="4240" w:type="dxa"/>
            <w:vAlign w:val="bottom"/>
            <w:tcBorders>
              <w:bottom w:val="single" w:sz="8" w:color="4C4C4C"/>
              <w:right w:val="single" w:sz="8" w:color="4C4C4C"/>
            </w:tcBorders>
            <w:shd w:val="clear" w:color="auto" w:fill="E8EDF4"/>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620" w:type="dxa"/>
            <w:vAlign w:val="bottom"/>
            <w:tcBorders>
              <w:bottom w:val="single" w:sz="8" w:color="4C4C4C"/>
            </w:tcBorders>
          </w:tcPr>
          <w:p>
            <w:pPr>
              <w:spacing w:after="0"/>
              <w:rPr>
                <w:sz w:val="17"/>
                <w:szCs w:val="17"/>
                <w:color w:val="auto"/>
              </w:rPr>
            </w:pPr>
          </w:p>
        </w:tc>
        <w:tc>
          <w:tcPr>
            <w:tcW w:w="120" w:type="dxa"/>
            <w:vAlign w:val="bottom"/>
            <w:tcBorders>
              <w:bottom w:val="single" w:sz="8" w:color="4C4C4C"/>
            </w:tcBorders>
          </w:tcPr>
          <w:p>
            <w:pPr>
              <w:spacing w:after="0"/>
              <w:rPr>
                <w:sz w:val="17"/>
                <w:szCs w:val="17"/>
                <w:color w:val="auto"/>
              </w:rPr>
            </w:pPr>
          </w:p>
        </w:tc>
        <w:tc>
          <w:tcPr>
            <w:tcW w:w="4060" w:type="dxa"/>
            <w:vAlign w:val="bottom"/>
            <w:tcBorders>
              <w:bottom w:val="single" w:sz="8" w:color="4C4C4C"/>
            </w:tcBorders>
          </w:tcPr>
          <w:p>
            <w:pPr>
              <w:spacing w:after="0"/>
              <w:rPr>
                <w:sz w:val="17"/>
                <w:szCs w:val="17"/>
                <w:color w:val="auto"/>
              </w:rPr>
            </w:pPr>
          </w:p>
        </w:tc>
        <w:tc>
          <w:tcPr>
            <w:tcW w:w="4240" w:type="dxa"/>
            <w:vAlign w:val="bottom"/>
            <w:tcBorders>
              <w:bottom w:val="single" w:sz="8" w:color="4C4C4C"/>
            </w:tcBorders>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2620" w:type="dxa"/>
            <w:vAlign w:val="bottom"/>
            <w:tcBorders>
              <w:left w:val="single" w:sz="8" w:color="4C4C4C"/>
            </w:tcBorders>
            <w:shd w:val="clear" w:color="auto" w:fill="052B82"/>
          </w:tcPr>
          <w:p>
            <w:pPr>
              <w:ind w:left="200"/>
              <w:spacing w:after="0"/>
              <w:rPr>
                <w:sz w:val="20"/>
                <w:szCs w:val="20"/>
                <w:color w:val="auto"/>
              </w:rPr>
            </w:pPr>
            <w:r>
              <w:rPr>
                <w:rFonts w:ascii="Arial" w:cs="Arial" w:eastAsia="Arial" w:hAnsi="Arial"/>
                <w:sz w:val="22"/>
                <w:szCs w:val="22"/>
                <w:b w:val="1"/>
                <w:bCs w:val="1"/>
                <w:color w:val="FFFFFF"/>
              </w:rPr>
              <w:t>James A. Champy</w:t>
            </w:r>
          </w:p>
        </w:tc>
        <w:tc>
          <w:tcPr>
            <w:tcW w:w="120" w:type="dxa"/>
            <w:vAlign w:val="bottom"/>
            <w:shd w:val="clear" w:color="auto" w:fill="E8EDF4"/>
          </w:tcPr>
          <w:p>
            <w:pPr>
              <w:spacing w:after="0"/>
              <w:rPr>
                <w:sz w:val="22"/>
                <w:szCs w:val="22"/>
                <w:color w:val="auto"/>
              </w:rPr>
            </w:pPr>
          </w:p>
        </w:tc>
        <w:tc>
          <w:tcPr>
            <w:tcW w:w="4060" w:type="dxa"/>
            <w:vAlign w:val="bottom"/>
            <w:shd w:val="clear" w:color="auto" w:fill="E8EDF4"/>
          </w:tcPr>
          <w:p>
            <w:pPr>
              <w:spacing w:after="0"/>
              <w:rPr>
                <w:sz w:val="20"/>
                <w:szCs w:val="20"/>
                <w:color w:val="auto"/>
              </w:rPr>
            </w:pPr>
            <w:r>
              <w:rPr>
                <w:rFonts w:ascii="Arial" w:cs="Arial" w:eastAsia="Arial" w:hAnsi="Arial"/>
                <w:sz w:val="18"/>
                <w:szCs w:val="18"/>
                <w:b w:val="1"/>
                <w:bCs w:val="1"/>
                <w:color w:val="auto"/>
              </w:rPr>
              <w:t>Professional Experience and Background</w:t>
            </w:r>
          </w:p>
        </w:tc>
        <w:tc>
          <w:tcPr>
            <w:tcW w:w="4240" w:type="dxa"/>
            <w:vAlign w:val="bottom"/>
            <w:tcBorders>
              <w:right w:val="single" w:sz="8" w:color="4C4C4C"/>
            </w:tcBorders>
            <w:shd w:val="clear" w:color="auto" w:fill="E8EDF4"/>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620" w:type="dxa"/>
            <w:vAlign w:val="bottom"/>
            <w:tcBorders>
              <w:left w:val="single" w:sz="8" w:color="4C4C4C"/>
            </w:tcBorders>
            <w:vMerge w:val="restart"/>
            <w:shd w:val="clear" w:color="auto" w:fill="052B82"/>
          </w:tcPr>
          <w:p>
            <w:pPr>
              <w:ind w:left="200"/>
              <w:spacing w:after="0"/>
              <w:rPr>
                <w:sz w:val="20"/>
                <w:szCs w:val="20"/>
                <w:color w:val="auto"/>
              </w:rPr>
            </w:pPr>
            <w:r>
              <w:rPr>
                <w:rFonts w:ascii="Arial" w:cs="Arial" w:eastAsia="Arial" w:hAnsi="Arial"/>
                <w:sz w:val="18"/>
                <w:szCs w:val="18"/>
                <w:b w:val="1"/>
                <w:bCs w:val="1"/>
                <w:color w:val="FFFFFF"/>
              </w:rPr>
              <w:t>Presiding Director</w:t>
            </w:r>
          </w:p>
        </w:tc>
        <w:tc>
          <w:tcPr>
            <w:tcW w:w="120" w:type="dxa"/>
            <w:vAlign w:val="bottom"/>
            <w:shd w:val="clear" w:color="auto" w:fill="E8EDF4"/>
          </w:tcPr>
          <w:p>
            <w:pPr>
              <w:spacing w:after="0"/>
              <w:rPr>
                <w:sz w:val="17"/>
                <w:szCs w:val="17"/>
                <w:color w:val="auto"/>
              </w:rPr>
            </w:pPr>
          </w:p>
        </w:tc>
        <w:tc>
          <w:tcPr>
            <w:tcW w:w="8300" w:type="dxa"/>
            <w:vAlign w:val="bottom"/>
            <w:tcBorders>
              <w:right w:val="single" w:sz="8" w:color="4C4C4C"/>
            </w:tcBorders>
            <w:gridSpan w:val="2"/>
            <w:shd w:val="clear" w:color="auto" w:fill="E8EDF4"/>
          </w:tcPr>
          <w:p>
            <w:pPr>
              <w:spacing w:after="0" w:line="202" w:lineRule="exact"/>
              <w:rPr>
                <w:sz w:val="20"/>
                <w:szCs w:val="20"/>
                <w:color w:val="auto"/>
              </w:rPr>
            </w:pPr>
            <w:r>
              <w:rPr>
                <w:rFonts w:ascii="Arial" w:cs="Arial" w:eastAsia="Arial" w:hAnsi="Arial"/>
                <w:sz w:val="18"/>
                <w:szCs w:val="18"/>
                <w:color w:val="auto"/>
              </w:rPr>
              <w:t>Mr. Champy retired in 2010 as Vice President of the Dell/Perot Systems business unit of Dell, Inc., a</w:t>
            </w:r>
          </w:p>
        </w:tc>
        <w:tc>
          <w:tcPr>
            <w:tcW w:w="0" w:type="dxa"/>
            <w:vAlign w:val="bottom"/>
          </w:tcPr>
          <w:p>
            <w:pPr>
              <w:spacing w:after="0"/>
              <w:rPr>
                <w:sz w:val="1"/>
                <w:szCs w:val="1"/>
                <w:color w:val="auto"/>
              </w:rPr>
            </w:pPr>
          </w:p>
        </w:tc>
      </w:tr>
      <w:tr>
        <w:trPr>
          <w:trHeight w:val="149"/>
        </w:trPr>
        <w:tc>
          <w:tcPr>
            <w:tcW w:w="2620" w:type="dxa"/>
            <w:vAlign w:val="bottom"/>
            <w:tcBorders>
              <w:left w:val="single" w:sz="8" w:color="4C4C4C"/>
            </w:tcBorders>
            <w:vMerge w:val="continue"/>
            <w:shd w:val="clear" w:color="auto" w:fill="052B82"/>
          </w:tcPr>
          <w:p>
            <w:pPr>
              <w:spacing w:after="0"/>
              <w:rPr>
                <w:sz w:val="12"/>
                <w:szCs w:val="12"/>
                <w:color w:val="auto"/>
              </w:rPr>
            </w:pPr>
          </w:p>
        </w:tc>
        <w:tc>
          <w:tcPr>
            <w:tcW w:w="120" w:type="dxa"/>
            <w:vAlign w:val="bottom"/>
            <w:shd w:val="clear" w:color="auto" w:fill="E8EDF4"/>
          </w:tcPr>
          <w:p>
            <w:pPr>
              <w:spacing w:after="0"/>
              <w:rPr>
                <w:sz w:val="12"/>
                <w:szCs w:val="12"/>
                <w:color w:val="auto"/>
              </w:rPr>
            </w:pPr>
          </w:p>
        </w:tc>
        <w:tc>
          <w:tcPr>
            <w:tcW w:w="8300" w:type="dxa"/>
            <w:vAlign w:val="bottom"/>
            <w:tcBorders>
              <w:right w:val="single" w:sz="8" w:color="4C4C4C"/>
            </w:tcBorders>
            <w:gridSpan w:val="2"/>
            <w:vMerge w:val="restart"/>
            <w:shd w:val="clear" w:color="auto" w:fill="E8EDF4"/>
          </w:tcPr>
          <w:p>
            <w:pPr>
              <w:spacing w:after="0" w:line="202" w:lineRule="exact"/>
              <w:rPr>
                <w:sz w:val="20"/>
                <w:szCs w:val="20"/>
                <w:color w:val="auto"/>
              </w:rPr>
            </w:pPr>
            <w:r>
              <w:rPr>
                <w:rFonts w:ascii="Arial" w:cs="Arial" w:eastAsia="Arial" w:hAnsi="Arial"/>
                <w:sz w:val="18"/>
                <w:szCs w:val="18"/>
                <w:color w:val="auto"/>
              </w:rPr>
              <w:t>computer and technology services company. He was previously a Vice President and the Chairman of</w:t>
            </w:r>
          </w:p>
        </w:tc>
        <w:tc>
          <w:tcPr>
            <w:tcW w:w="0" w:type="dxa"/>
            <w:vAlign w:val="bottom"/>
          </w:tcPr>
          <w:p>
            <w:pPr>
              <w:spacing w:after="0"/>
              <w:rPr>
                <w:sz w:val="1"/>
                <w:szCs w:val="1"/>
                <w:color w:val="auto"/>
              </w:rPr>
            </w:pPr>
          </w:p>
        </w:tc>
      </w:tr>
      <w:tr>
        <w:trPr>
          <w:trHeight w:val="53"/>
        </w:trPr>
        <w:tc>
          <w:tcPr>
            <w:tcW w:w="2620" w:type="dxa"/>
            <w:vAlign w:val="bottom"/>
            <w:tcBorders>
              <w:left w:val="single" w:sz="8" w:color="4C4C4C"/>
            </w:tcBorders>
            <w:shd w:val="clear" w:color="auto" w:fill="052B82"/>
          </w:tcPr>
          <w:p>
            <w:pPr>
              <w:spacing w:after="0"/>
              <w:rPr>
                <w:sz w:val="4"/>
                <w:szCs w:val="4"/>
                <w:color w:val="auto"/>
              </w:rPr>
            </w:pPr>
          </w:p>
        </w:tc>
        <w:tc>
          <w:tcPr>
            <w:tcW w:w="120" w:type="dxa"/>
            <w:vAlign w:val="bottom"/>
            <w:shd w:val="clear" w:color="auto" w:fill="E8EDF4"/>
          </w:tcPr>
          <w:p>
            <w:pPr>
              <w:spacing w:after="0"/>
              <w:rPr>
                <w:sz w:val="4"/>
                <w:szCs w:val="4"/>
                <w:color w:val="auto"/>
              </w:rPr>
            </w:pPr>
          </w:p>
        </w:tc>
        <w:tc>
          <w:tcPr>
            <w:tcW w:w="8300" w:type="dxa"/>
            <w:vAlign w:val="bottom"/>
            <w:tcBorders>
              <w:right w:val="single" w:sz="8" w:color="4C4C4C"/>
            </w:tcBorders>
            <w:gridSpan w:val="2"/>
            <w:vMerge w:val="continue"/>
            <w:shd w:val="clear" w:color="auto" w:fill="E8EDF4"/>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620" w:type="dxa"/>
            <w:vAlign w:val="bottom"/>
            <w:tcBorders>
              <w:left w:val="single" w:sz="8" w:color="4C4C4C"/>
            </w:tcBorders>
            <w:vMerge w:val="restart"/>
            <w:shd w:val="clear" w:color="auto" w:fill="052B82"/>
          </w:tcPr>
          <w:p>
            <w:pPr>
              <w:ind w:left="200"/>
              <w:spacing w:after="0"/>
              <w:rPr>
                <w:sz w:val="20"/>
                <w:szCs w:val="20"/>
                <w:color w:val="auto"/>
              </w:rPr>
            </w:pPr>
            <w:r>
              <w:rPr>
                <w:rFonts w:ascii="Arial" w:cs="Arial" w:eastAsia="Arial" w:hAnsi="Arial"/>
                <w:sz w:val="18"/>
                <w:szCs w:val="18"/>
                <w:b w:val="1"/>
                <w:bCs w:val="1"/>
                <w:color w:val="FFFFFF"/>
              </w:rPr>
              <w:t>Independent</w:t>
            </w:r>
          </w:p>
        </w:tc>
        <w:tc>
          <w:tcPr>
            <w:tcW w:w="120" w:type="dxa"/>
            <w:vAlign w:val="bottom"/>
            <w:shd w:val="clear" w:color="auto" w:fill="E8EDF4"/>
          </w:tcPr>
          <w:p>
            <w:pPr>
              <w:spacing w:after="0"/>
              <w:rPr>
                <w:sz w:val="17"/>
                <w:szCs w:val="17"/>
                <w:color w:val="auto"/>
              </w:rPr>
            </w:pPr>
          </w:p>
        </w:tc>
        <w:tc>
          <w:tcPr>
            <w:tcW w:w="8300" w:type="dxa"/>
            <w:vAlign w:val="bottom"/>
            <w:tcBorders>
              <w:right w:val="single" w:sz="8" w:color="4C4C4C"/>
            </w:tcBorders>
            <w:gridSpan w:val="2"/>
            <w:shd w:val="clear" w:color="auto" w:fill="E8EDF4"/>
          </w:tcPr>
          <w:p>
            <w:pPr>
              <w:spacing w:after="0" w:line="202" w:lineRule="exact"/>
              <w:rPr>
                <w:sz w:val="20"/>
                <w:szCs w:val="20"/>
                <w:color w:val="auto"/>
              </w:rPr>
            </w:pPr>
            <w:r>
              <w:rPr>
                <w:rFonts w:ascii="Arial" w:cs="Arial" w:eastAsia="Arial" w:hAnsi="Arial"/>
                <w:sz w:val="18"/>
                <w:szCs w:val="18"/>
                <w:color w:val="auto"/>
              </w:rPr>
              <w:t>Consulting at Perot Systems Corporation from 1996 to November 2009. He served as a director of</w:t>
            </w:r>
          </w:p>
        </w:tc>
        <w:tc>
          <w:tcPr>
            <w:tcW w:w="0" w:type="dxa"/>
            <w:vAlign w:val="bottom"/>
          </w:tcPr>
          <w:p>
            <w:pPr>
              <w:spacing w:after="0"/>
              <w:rPr>
                <w:sz w:val="1"/>
                <w:szCs w:val="1"/>
                <w:color w:val="auto"/>
              </w:rPr>
            </w:pPr>
          </w:p>
        </w:tc>
      </w:tr>
      <w:tr>
        <w:trPr>
          <w:trHeight w:val="73"/>
        </w:trPr>
        <w:tc>
          <w:tcPr>
            <w:tcW w:w="2620" w:type="dxa"/>
            <w:vAlign w:val="bottom"/>
            <w:tcBorders>
              <w:left w:val="single" w:sz="8" w:color="4C4C4C"/>
            </w:tcBorders>
            <w:vMerge w:val="continue"/>
            <w:shd w:val="clear" w:color="auto" w:fill="052B82"/>
          </w:tcPr>
          <w:p>
            <w:pPr>
              <w:spacing w:after="0"/>
              <w:rPr>
                <w:sz w:val="6"/>
                <w:szCs w:val="6"/>
                <w:color w:val="auto"/>
              </w:rPr>
            </w:pPr>
          </w:p>
        </w:tc>
        <w:tc>
          <w:tcPr>
            <w:tcW w:w="120" w:type="dxa"/>
            <w:vAlign w:val="bottom"/>
            <w:shd w:val="clear" w:color="auto" w:fill="E8EDF4"/>
          </w:tcPr>
          <w:p>
            <w:pPr>
              <w:spacing w:after="0"/>
              <w:rPr>
                <w:sz w:val="6"/>
                <w:szCs w:val="6"/>
                <w:color w:val="auto"/>
              </w:rPr>
            </w:pPr>
          </w:p>
        </w:tc>
        <w:tc>
          <w:tcPr>
            <w:tcW w:w="8300" w:type="dxa"/>
            <w:vAlign w:val="bottom"/>
            <w:tcBorders>
              <w:right w:val="single" w:sz="8" w:color="4C4C4C"/>
            </w:tcBorders>
            <w:gridSpan w:val="2"/>
            <w:vMerge w:val="restart"/>
            <w:shd w:val="clear" w:color="auto" w:fill="E8EDF4"/>
          </w:tcPr>
          <w:p>
            <w:pPr>
              <w:spacing w:after="0" w:line="202" w:lineRule="exact"/>
              <w:rPr>
                <w:sz w:val="20"/>
                <w:szCs w:val="20"/>
                <w:color w:val="auto"/>
              </w:rPr>
            </w:pPr>
            <w:r>
              <w:rPr>
                <w:rFonts w:ascii="Arial" w:cs="Arial" w:eastAsia="Arial" w:hAnsi="Arial"/>
                <w:sz w:val="18"/>
                <w:szCs w:val="18"/>
                <w:color w:val="auto"/>
              </w:rPr>
              <w:t>Perot Systems Corporation from 1996 to 2004. Mr. Champy is the author of several business books</w:t>
            </w:r>
          </w:p>
        </w:tc>
        <w:tc>
          <w:tcPr>
            <w:tcW w:w="0" w:type="dxa"/>
            <w:vAlign w:val="bottom"/>
          </w:tcPr>
          <w:p>
            <w:pPr>
              <w:spacing w:after="0"/>
              <w:rPr>
                <w:sz w:val="1"/>
                <w:szCs w:val="1"/>
                <w:color w:val="auto"/>
              </w:rPr>
            </w:pPr>
          </w:p>
        </w:tc>
      </w:tr>
      <w:tr>
        <w:trPr>
          <w:trHeight w:val="130"/>
        </w:trPr>
        <w:tc>
          <w:tcPr>
            <w:tcW w:w="2620" w:type="dxa"/>
            <w:vAlign w:val="bottom"/>
            <w:tcBorders>
              <w:left w:val="single" w:sz="8" w:color="4C4C4C"/>
            </w:tcBorders>
            <w:vMerge w:val="restart"/>
            <w:shd w:val="clear" w:color="auto" w:fill="052B82"/>
          </w:tcPr>
          <w:p>
            <w:pPr>
              <w:ind w:left="200"/>
              <w:spacing w:after="0"/>
              <w:rPr>
                <w:sz w:val="20"/>
                <w:szCs w:val="20"/>
                <w:color w:val="auto"/>
              </w:rPr>
            </w:pPr>
            <w:r>
              <w:rPr>
                <w:rFonts w:ascii="Arial" w:cs="Arial" w:eastAsia="Arial" w:hAnsi="Arial"/>
                <w:sz w:val="18"/>
                <w:szCs w:val="18"/>
                <w:b w:val="1"/>
                <w:bCs w:val="1"/>
                <w:color w:val="FFFFFF"/>
              </w:rPr>
              <w:t>Director since: 2003</w:t>
            </w:r>
          </w:p>
        </w:tc>
        <w:tc>
          <w:tcPr>
            <w:tcW w:w="120" w:type="dxa"/>
            <w:vAlign w:val="bottom"/>
            <w:shd w:val="clear" w:color="auto" w:fill="E8EDF4"/>
          </w:tcPr>
          <w:p>
            <w:pPr>
              <w:spacing w:after="0"/>
              <w:rPr>
                <w:sz w:val="11"/>
                <w:szCs w:val="11"/>
                <w:color w:val="auto"/>
              </w:rPr>
            </w:pPr>
          </w:p>
        </w:tc>
        <w:tc>
          <w:tcPr>
            <w:tcW w:w="8300" w:type="dxa"/>
            <w:vAlign w:val="bottom"/>
            <w:tcBorders>
              <w:right w:val="single" w:sz="8" w:color="4C4C4C"/>
            </w:tcBorders>
            <w:gridSpan w:val="2"/>
            <w:vMerge w:val="continue"/>
            <w:shd w:val="clear" w:color="auto" w:fill="E8EDF4"/>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620" w:type="dxa"/>
            <w:vAlign w:val="bottom"/>
            <w:tcBorders>
              <w:left w:val="single" w:sz="8" w:color="4C4C4C"/>
            </w:tcBorders>
            <w:vMerge w:val="continue"/>
            <w:shd w:val="clear" w:color="auto" w:fill="052B82"/>
          </w:tcPr>
          <w:p>
            <w:pPr>
              <w:spacing w:after="0"/>
              <w:rPr>
                <w:sz w:val="9"/>
                <w:szCs w:val="9"/>
                <w:color w:val="auto"/>
              </w:rPr>
            </w:pPr>
          </w:p>
        </w:tc>
        <w:tc>
          <w:tcPr>
            <w:tcW w:w="120" w:type="dxa"/>
            <w:vAlign w:val="bottom"/>
            <w:shd w:val="clear" w:color="auto" w:fill="E8EDF4"/>
          </w:tcPr>
          <w:p>
            <w:pPr>
              <w:spacing w:after="0"/>
              <w:rPr>
                <w:sz w:val="9"/>
                <w:szCs w:val="9"/>
                <w:color w:val="auto"/>
              </w:rPr>
            </w:pPr>
          </w:p>
        </w:tc>
        <w:tc>
          <w:tcPr>
            <w:tcW w:w="8300" w:type="dxa"/>
            <w:vAlign w:val="bottom"/>
            <w:tcBorders>
              <w:right w:val="single" w:sz="8" w:color="4C4C4C"/>
            </w:tcBorders>
            <w:gridSpan w:val="2"/>
            <w:vMerge w:val="restart"/>
            <w:shd w:val="clear" w:color="auto" w:fill="E8EDF4"/>
          </w:tcPr>
          <w:p>
            <w:pPr>
              <w:spacing w:after="0" w:line="202" w:lineRule="exact"/>
              <w:rPr>
                <w:sz w:val="20"/>
                <w:szCs w:val="20"/>
                <w:color w:val="auto"/>
              </w:rPr>
            </w:pPr>
            <w:r>
              <w:rPr>
                <w:rFonts w:ascii="Arial" w:cs="Arial" w:eastAsia="Arial" w:hAnsi="Arial"/>
                <w:sz w:val="18"/>
                <w:szCs w:val="18"/>
                <w:color w:val="auto"/>
              </w:rPr>
              <w:t>and is a Life Member of the MIT Corporation, the governing body of the Massachusetts Institute of</w:t>
            </w:r>
          </w:p>
        </w:tc>
        <w:tc>
          <w:tcPr>
            <w:tcW w:w="0" w:type="dxa"/>
            <w:vAlign w:val="bottom"/>
          </w:tcPr>
          <w:p>
            <w:pPr>
              <w:spacing w:after="0"/>
              <w:rPr>
                <w:sz w:val="1"/>
                <w:szCs w:val="1"/>
                <w:color w:val="auto"/>
              </w:rPr>
            </w:pPr>
          </w:p>
        </w:tc>
      </w:tr>
      <w:tr>
        <w:trPr>
          <w:trHeight w:val="94"/>
        </w:trPr>
        <w:tc>
          <w:tcPr>
            <w:tcW w:w="2620" w:type="dxa"/>
            <w:vAlign w:val="bottom"/>
            <w:tcBorders>
              <w:left w:val="single" w:sz="8" w:color="4C4C4C"/>
            </w:tcBorders>
            <w:shd w:val="clear" w:color="auto" w:fill="052B82"/>
          </w:tcPr>
          <w:p>
            <w:pPr>
              <w:spacing w:after="0"/>
              <w:rPr>
                <w:sz w:val="8"/>
                <w:szCs w:val="8"/>
                <w:color w:val="auto"/>
              </w:rPr>
            </w:pPr>
          </w:p>
        </w:tc>
        <w:tc>
          <w:tcPr>
            <w:tcW w:w="120" w:type="dxa"/>
            <w:vAlign w:val="bottom"/>
            <w:shd w:val="clear" w:color="auto" w:fill="E8EDF4"/>
          </w:tcPr>
          <w:p>
            <w:pPr>
              <w:spacing w:after="0"/>
              <w:rPr>
                <w:sz w:val="8"/>
                <w:szCs w:val="8"/>
                <w:color w:val="auto"/>
              </w:rPr>
            </w:pPr>
          </w:p>
        </w:tc>
        <w:tc>
          <w:tcPr>
            <w:tcW w:w="8300" w:type="dxa"/>
            <w:vAlign w:val="bottom"/>
            <w:tcBorders>
              <w:right w:val="single" w:sz="8" w:color="4C4C4C"/>
            </w:tcBorders>
            <w:gridSpan w:val="2"/>
            <w:vMerge w:val="continue"/>
            <w:shd w:val="clear" w:color="auto" w:fill="E8EDF4"/>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2620" w:type="dxa"/>
            <w:vAlign w:val="bottom"/>
            <w:tcBorders>
              <w:left w:val="single" w:sz="8" w:color="4C4C4C"/>
            </w:tcBorders>
            <w:shd w:val="clear" w:color="auto" w:fill="052B82"/>
          </w:tcPr>
          <w:p>
            <w:pPr>
              <w:ind w:left="200"/>
              <w:spacing w:after="0"/>
              <w:rPr>
                <w:sz w:val="20"/>
                <w:szCs w:val="20"/>
                <w:color w:val="auto"/>
              </w:rPr>
            </w:pPr>
            <w:r>
              <w:rPr>
                <w:rFonts w:ascii="Arial" w:cs="Arial" w:eastAsia="Arial" w:hAnsi="Arial"/>
                <w:sz w:val="18"/>
                <w:szCs w:val="18"/>
                <w:b w:val="1"/>
                <w:bCs w:val="1"/>
                <w:color w:val="FFFFFF"/>
              </w:rPr>
              <w:t>Age: 77</w:t>
            </w:r>
          </w:p>
        </w:tc>
        <w:tc>
          <w:tcPr>
            <w:tcW w:w="120" w:type="dxa"/>
            <w:vAlign w:val="bottom"/>
            <w:shd w:val="clear" w:color="auto" w:fill="E8EDF4"/>
          </w:tcPr>
          <w:p>
            <w:pPr>
              <w:spacing w:after="0"/>
              <w:rPr>
                <w:sz w:val="22"/>
                <w:szCs w:val="22"/>
                <w:color w:val="auto"/>
              </w:rPr>
            </w:pPr>
          </w:p>
        </w:tc>
        <w:tc>
          <w:tcPr>
            <w:tcW w:w="4060" w:type="dxa"/>
            <w:vAlign w:val="bottom"/>
            <w:shd w:val="clear" w:color="auto" w:fill="E8EDF4"/>
          </w:tcPr>
          <w:p>
            <w:pPr>
              <w:spacing w:after="0"/>
              <w:rPr>
                <w:sz w:val="20"/>
                <w:szCs w:val="20"/>
                <w:color w:val="auto"/>
              </w:rPr>
            </w:pPr>
            <w:r>
              <w:rPr>
                <w:rFonts w:ascii="Arial" w:cs="Arial" w:eastAsia="Arial" w:hAnsi="Arial"/>
                <w:sz w:val="18"/>
                <w:szCs w:val="18"/>
                <w:color w:val="auto"/>
              </w:rPr>
              <w:t>Technology.</w:t>
            </w:r>
          </w:p>
        </w:tc>
        <w:tc>
          <w:tcPr>
            <w:tcW w:w="4240" w:type="dxa"/>
            <w:vAlign w:val="bottom"/>
            <w:tcBorders>
              <w:right w:val="single" w:sz="8" w:color="4C4C4C"/>
            </w:tcBorders>
            <w:shd w:val="clear" w:color="auto" w:fill="E8EDF4"/>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2620" w:type="dxa"/>
            <w:vAlign w:val="bottom"/>
            <w:tcBorders>
              <w:left w:val="single" w:sz="8" w:color="4C4C4C"/>
            </w:tcBorders>
            <w:vMerge w:val="restart"/>
            <w:shd w:val="clear" w:color="auto" w:fill="052B82"/>
          </w:tcPr>
          <w:p>
            <w:pPr>
              <w:ind w:left="200"/>
              <w:spacing w:after="0"/>
              <w:rPr>
                <w:sz w:val="20"/>
                <w:szCs w:val="20"/>
                <w:color w:val="auto"/>
              </w:rPr>
            </w:pPr>
            <w:r>
              <w:rPr>
                <w:rFonts w:ascii="Arial" w:cs="Arial" w:eastAsia="Arial" w:hAnsi="Arial"/>
                <w:sz w:val="18"/>
                <w:szCs w:val="18"/>
                <w:b w:val="1"/>
                <w:bCs w:val="1"/>
                <w:color w:val="FFFFFF"/>
              </w:rPr>
              <w:t>Committee(s):</w:t>
            </w:r>
          </w:p>
        </w:tc>
        <w:tc>
          <w:tcPr>
            <w:tcW w:w="120" w:type="dxa"/>
            <w:vAlign w:val="bottom"/>
            <w:shd w:val="clear" w:color="auto" w:fill="E8EDF4"/>
          </w:tcPr>
          <w:p>
            <w:pPr>
              <w:spacing w:after="0"/>
              <w:rPr>
                <w:sz w:val="20"/>
                <w:szCs w:val="20"/>
                <w:color w:val="auto"/>
              </w:rPr>
            </w:pPr>
          </w:p>
        </w:tc>
        <w:tc>
          <w:tcPr>
            <w:tcW w:w="4060" w:type="dxa"/>
            <w:vAlign w:val="bottom"/>
            <w:shd w:val="clear" w:color="auto" w:fill="E8EDF4"/>
          </w:tcPr>
          <w:p>
            <w:pPr>
              <w:spacing w:after="0"/>
              <w:rPr>
                <w:sz w:val="20"/>
                <w:szCs w:val="20"/>
                <w:color w:val="auto"/>
              </w:rPr>
            </w:pPr>
            <w:r>
              <w:rPr>
                <w:rFonts w:ascii="Arial" w:cs="Arial" w:eastAsia="Arial" w:hAnsi="Arial"/>
                <w:sz w:val="18"/>
                <w:szCs w:val="18"/>
                <w:b w:val="1"/>
                <w:bCs w:val="1"/>
                <w:color w:val="auto"/>
              </w:rPr>
              <w:t>Key Qualifications and Expertise</w:t>
            </w:r>
          </w:p>
        </w:tc>
        <w:tc>
          <w:tcPr>
            <w:tcW w:w="4240" w:type="dxa"/>
            <w:vAlign w:val="bottom"/>
            <w:tcBorders>
              <w:right w:val="single" w:sz="8" w:color="4C4C4C"/>
            </w:tcBorders>
            <w:shd w:val="clear" w:color="auto" w:fill="E8EDF4"/>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2620" w:type="dxa"/>
            <w:vAlign w:val="bottom"/>
            <w:tcBorders>
              <w:left w:val="single" w:sz="8" w:color="4C4C4C"/>
            </w:tcBorders>
            <w:vMerge w:val="continue"/>
            <w:shd w:val="clear" w:color="auto" w:fill="052B82"/>
          </w:tcPr>
          <w:p>
            <w:pPr>
              <w:spacing w:after="0"/>
              <w:rPr>
                <w:sz w:val="10"/>
                <w:szCs w:val="10"/>
                <w:color w:val="auto"/>
              </w:rPr>
            </w:pPr>
          </w:p>
        </w:tc>
        <w:tc>
          <w:tcPr>
            <w:tcW w:w="120" w:type="dxa"/>
            <w:vAlign w:val="bottom"/>
            <w:shd w:val="clear" w:color="auto" w:fill="E8EDF4"/>
          </w:tcPr>
          <w:p>
            <w:pPr>
              <w:spacing w:after="0"/>
              <w:rPr>
                <w:sz w:val="10"/>
                <w:szCs w:val="10"/>
                <w:color w:val="auto"/>
              </w:rPr>
            </w:pPr>
          </w:p>
        </w:tc>
        <w:tc>
          <w:tcPr>
            <w:tcW w:w="8300" w:type="dxa"/>
            <w:vAlign w:val="bottom"/>
            <w:tcBorders>
              <w:right w:val="single" w:sz="8" w:color="4C4C4C"/>
            </w:tcBorders>
            <w:gridSpan w:val="2"/>
            <w:vMerge w:val="restart"/>
            <w:shd w:val="clear" w:color="auto" w:fill="E8EDF4"/>
          </w:tcPr>
          <w:p>
            <w:pPr>
              <w:spacing w:after="0"/>
              <w:rPr>
                <w:sz w:val="20"/>
                <w:szCs w:val="20"/>
                <w:color w:val="auto"/>
              </w:rPr>
            </w:pPr>
            <w:r>
              <w:rPr>
                <w:rFonts w:ascii="Arial" w:cs="Arial" w:eastAsia="Arial" w:hAnsi="Arial"/>
                <w:sz w:val="18"/>
                <w:szCs w:val="18"/>
                <w:color w:val="auto"/>
              </w:rPr>
              <w:t>We believe Mr. Champy’s qualifications to serve on our Board of Directors include his expertise in</w:t>
            </w:r>
          </w:p>
        </w:tc>
        <w:tc>
          <w:tcPr>
            <w:tcW w:w="0" w:type="dxa"/>
            <w:vAlign w:val="bottom"/>
          </w:tcPr>
          <w:p>
            <w:pPr>
              <w:spacing w:after="0"/>
              <w:rPr>
                <w:sz w:val="1"/>
                <w:szCs w:val="1"/>
                <w:color w:val="auto"/>
              </w:rPr>
            </w:pPr>
          </w:p>
        </w:tc>
      </w:tr>
      <w:tr>
        <w:trPr>
          <w:trHeight w:val="189"/>
        </w:trPr>
        <w:tc>
          <w:tcPr>
            <w:tcW w:w="2620" w:type="dxa"/>
            <w:vAlign w:val="bottom"/>
            <w:tcBorders>
              <w:left w:val="single" w:sz="8" w:color="4C4C4C"/>
            </w:tcBorders>
            <w:shd w:val="clear" w:color="auto" w:fill="052B82"/>
          </w:tcPr>
          <w:p>
            <w:pPr>
              <w:ind w:left="200"/>
              <w:spacing w:after="0" w:line="189" w:lineRule="exact"/>
              <w:rPr>
                <w:sz w:val="20"/>
                <w:szCs w:val="20"/>
                <w:color w:val="auto"/>
              </w:rPr>
            </w:pPr>
            <w:r>
              <w:rPr>
                <w:rFonts w:ascii="Arial" w:cs="Arial" w:eastAsia="Arial" w:hAnsi="Arial"/>
                <w:sz w:val="18"/>
                <w:szCs w:val="18"/>
                <w:color w:val="FFFFFF"/>
              </w:rPr>
              <w:t>Nominating and</w:t>
            </w:r>
          </w:p>
        </w:tc>
        <w:tc>
          <w:tcPr>
            <w:tcW w:w="120" w:type="dxa"/>
            <w:vAlign w:val="bottom"/>
            <w:shd w:val="clear" w:color="auto" w:fill="E8EDF4"/>
          </w:tcPr>
          <w:p>
            <w:pPr>
              <w:spacing w:after="0"/>
              <w:rPr>
                <w:sz w:val="16"/>
                <w:szCs w:val="16"/>
                <w:color w:val="auto"/>
              </w:rPr>
            </w:pPr>
          </w:p>
        </w:tc>
        <w:tc>
          <w:tcPr>
            <w:tcW w:w="8300" w:type="dxa"/>
            <w:vAlign w:val="bottom"/>
            <w:tcBorders>
              <w:right w:val="single" w:sz="8" w:color="4C4C4C"/>
            </w:tcBorders>
            <w:gridSpan w:val="2"/>
            <w:vMerge w:val="continue"/>
            <w:shd w:val="clear" w:color="auto" w:fill="E8EDF4"/>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20" w:type="dxa"/>
            <w:vAlign w:val="bottom"/>
            <w:tcBorders>
              <w:left w:val="single" w:sz="8" w:color="4C4C4C"/>
            </w:tcBorders>
            <w:shd w:val="clear" w:color="auto" w:fill="052B82"/>
          </w:tcPr>
          <w:p>
            <w:pPr>
              <w:ind w:left="200"/>
              <w:spacing w:after="0"/>
              <w:rPr>
                <w:sz w:val="20"/>
                <w:szCs w:val="20"/>
                <w:color w:val="auto"/>
              </w:rPr>
            </w:pPr>
            <w:r>
              <w:rPr>
                <w:rFonts w:ascii="Arial" w:cs="Arial" w:eastAsia="Arial" w:hAnsi="Arial"/>
                <w:sz w:val="18"/>
                <w:szCs w:val="18"/>
                <w:color w:val="FFFFFF"/>
              </w:rPr>
              <w:t>Corporate Governance</w:t>
            </w:r>
          </w:p>
        </w:tc>
        <w:tc>
          <w:tcPr>
            <w:tcW w:w="120" w:type="dxa"/>
            <w:vAlign w:val="bottom"/>
            <w:shd w:val="clear" w:color="auto" w:fill="E8EDF4"/>
          </w:tcPr>
          <w:p>
            <w:pPr>
              <w:spacing w:after="0"/>
              <w:rPr>
                <w:sz w:val="20"/>
                <w:szCs w:val="20"/>
                <w:color w:val="auto"/>
              </w:rPr>
            </w:pPr>
          </w:p>
        </w:tc>
        <w:tc>
          <w:tcPr>
            <w:tcW w:w="8300" w:type="dxa"/>
            <w:vAlign w:val="bottom"/>
            <w:tcBorders>
              <w:right w:val="single" w:sz="8" w:color="4C4C4C"/>
            </w:tcBorders>
            <w:gridSpan w:val="2"/>
            <w:shd w:val="clear" w:color="auto" w:fill="E8EDF4"/>
          </w:tcPr>
          <w:p>
            <w:pPr>
              <w:spacing w:after="0"/>
              <w:rPr>
                <w:sz w:val="20"/>
                <w:szCs w:val="20"/>
                <w:color w:val="auto"/>
              </w:rPr>
            </w:pPr>
            <w:r>
              <w:rPr>
                <w:rFonts w:ascii="Arial" w:cs="Arial" w:eastAsia="Arial" w:hAnsi="Arial"/>
                <w:sz w:val="18"/>
                <w:szCs w:val="18"/>
                <w:color w:val="auto"/>
              </w:rPr>
              <w:t>corporate strategy development and his organizational acumen.</w:t>
            </w:r>
          </w:p>
        </w:tc>
        <w:tc>
          <w:tcPr>
            <w:tcW w:w="0" w:type="dxa"/>
            <w:vAlign w:val="bottom"/>
          </w:tcPr>
          <w:p>
            <w:pPr>
              <w:spacing w:after="0"/>
              <w:rPr>
                <w:sz w:val="1"/>
                <w:szCs w:val="1"/>
                <w:color w:val="auto"/>
              </w:rPr>
            </w:pPr>
          </w:p>
        </w:tc>
      </w:tr>
      <w:tr>
        <w:trPr>
          <w:trHeight w:val="311"/>
        </w:trPr>
        <w:tc>
          <w:tcPr>
            <w:tcW w:w="2620" w:type="dxa"/>
            <w:vAlign w:val="bottom"/>
            <w:tcBorders>
              <w:left w:val="single" w:sz="8" w:color="4C4C4C"/>
            </w:tcBorders>
            <w:shd w:val="clear" w:color="auto" w:fill="052B82"/>
          </w:tcPr>
          <w:p>
            <w:pPr>
              <w:spacing w:after="0"/>
              <w:rPr>
                <w:sz w:val="24"/>
                <w:szCs w:val="24"/>
                <w:color w:val="auto"/>
              </w:rPr>
            </w:pPr>
          </w:p>
        </w:tc>
        <w:tc>
          <w:tcPr>
            <w:tcW w:w="120" w:type="dxa"/>
            <w:vAlign w:val="bottom"/>
            <w:shd w:val="clear" w:color="auto" w:fill="E8EDF4"/>
          </w:tcPr>
          <w:p>
            <w:pPr>
              <w:spacing w:after="0"/>
              <w:rPr>
                <w:sz w:val="24"/>
                <w:szCs w:val="24"/>
                <w:color w:val="auto"/>
              </w:rPr>
            </w:pPr>
          </w:p>
        </w:tc>
        <w:tc>
          <w:tcPr>
            <w:tcW w:w="4060" w:type="dxa"/>
            <w:vAlign w:val="bottom"/>
            <w:shd w:val="clear" w:color="auto" w:fill="E8EDF4"/>
          </w:tcPr>
          <w:p>
            <w:pPr>
              <w:spacing w:after="0"/>
              <w:rPr>
                <w:sz w:val="20"/>
                <w:szCs w:val="20"/>
                <w:color w:val="auto"/>
              </w:rPr>
            </w:pPr>
            <w:r>
              <w:rPr>
                <w:rFonts w:ascii="Arial" w:cs="Arial" w:eastAsia="Arial" w:hAnsi="Arial"/>
                <w:sz w:val="18"/>
                <w:szCs w:val="18"/>
                <w:b w:val="1"/>
                <w:bCs w:val="1"/>
                <w:color w:val="auto"/>
              </w:rPr>
              <w:t>Other Public Company Boards</w:t>
            </w:r>
          </w:p>
        </w:tc>
        <w:tc>
          <w:tcPr>
            <w:tcW w:w="4240" w:type="dxa"/>
            <w:vAlign w:val="bottom"/>
            <w:tcBorders>
              <w:right w:val="single" w:sz="8" w:color="4C4C4C"/>
            </w:tcBorders>
            <w:shd w:val="clear" w:color="auto" w:fill="E8EDF4"/>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620" w:type="dxa"/>
            <w:vAlign w:val="bottom"/>
            <w:tcBorders>
              <w:left w:val="single" w:sz="8" w:color="4C4C4C"/>
            </w:tcBorders>
            <w:shd w:val="clear" w:color="auto" w:fill="052B82"/>
          </w:tcPr>
          <w:p>
            <w:pPr>
              <w:spacing w:after="0"/>
              <w:rPr>
                <w:sz w:val="24"/>
                <w:szCs w:val="24"/>
                <w:color w:val="auto"/>
              </w:rPr>
            </w:pPr>
          </w:p>
        </w:tc>
        <w:tc>
          <w:tcPr>
            <w:tcW w:w="120" w:type="dxa"/>
            <w:vAlign w:val="bottom"/>
            <w:shd w:val="clear" w:color="auto" w:fill="E8EDF4"/>
          </w:tcPr>
          <w:p>
            <w:pPr>
              <w:spacing w:after="0"/>
              <w:rPr>
                <w:sz w:val="24"/>
                <w:szCs w:val="24"/>
                <w:color w:val="auto"/>
              </w:rPr>
            </w:pPr>
          </w:p>
        </w:tc>
        <w:tc>
          <w:tcPr>
            <w:tcW w:w="4060" w:type="dxa"/>
            <w:vAlign w:val="bottom"/>
            <w:shd w:val="clear" w:color="auto" w:fill="E8EDF4"/>
          </w:tcPr>
          <w:p>
            <w:pPr>
              <w:spacing w:after="0"/>
              <w:rPr>
                <w:sz w:val="20"/>
                <w:szCs w:val="20"/>
                <w:color w:val="auto"/>
              </w:rPr>
            </w:pPr>
            <w:r>
              <w:rPr>
                <w:rFonts w:ascii="Arial" w:cs="Arial" w:eastAsia="Arial" w:hAnsi="Arial"/>
                <w:sz w:val="18"/>
                <w:szCs w:val="18"/>
                <w:b w:val="1"/>
                <w:bCs w:val="1"/>
                <w:color w:val="auto"/>
              </w:rPr>
              <w:t>Current</w:t>
            </w:r>
          </w:p>
        </w:tc>
        <w:tc>
          <w:tcPr>
            <w:tcW w:w="4240" w:type="dxa"/>
            <w:vAlign w:val="bottom"/>
            <w:tcBorders>
              <w:right w:val="single" w:sz="8" w:color="4C4C4C"/>
            </w:tcBorders>
            <w:shd w:val="clear" w:color="auto" w:fill="E8EDF4"/>
          </w:tcPr>
          <w:p>
            <w:pPr>
              <w:ind w:left="140"/>
              <w:spacing w:after="0"/>
              <w:rPr>
                <w:sz w:val="20"/>
                <w:szCs w:val="20"/>
                <w:color w:val="auto"/>
              </w:rPr>
            </w:pPr>
            <w:r>
              <w:rPr>
                <w:rFonts w:ascii="Arial" w:cs="Arial" w:eastAsia="Arial" w:hAnsi="Arial"/>
                <w:sz w:val="18"/>
                <w:szCs w:val="18"/>
                <w:b w:val="1"/>
                <w:bCs w:val="1"/>
                <w:color w:val="auto"/>
              </w:rPr>
              <w:t>Past 5 Years</w:t>
            </w:r>
          </w:p>
        </w:tc>
        <w:tc>
          <w:tcPr>
            <w:tcW w:w="0" w:type="dxa"/>
            <w:vAlign w:val="bottom"/>
          </w:tcPr>
          <w:p>
            <w:pPr>
              <w:spacing w:after="0"/>
              <w:rPr>
                <w:sz w:val="1"/>
                <w:szCs w:val="1"/>
                <w:color w:val="auto"/>
              </w:rPr>
            </w:pPr>
          </w:p>
        </w:tc>
      </w:tr>
      <w:tr>
        <w:trPr>
          <w:trHeight w:val="217"/>
        </w:trPr>
        <w:tc>
          <w:tcPr>
            <w:tcW w:w="2620" w:type="dxa"/>
            <w:vAlign w:val="bottom"/>
            <w:tcBorders>
              <w:left w:val="single" w:sz="8" w:color="4C4C4C"/>
            </w:tcBorders>
            <w:shd w:val="clear" w:color="auto" w:fill="052B82"/>
          </w:tcPr>
          <w:p>
            <w:pPr>
              <w:spacing w:after="0"/>
              <w:rPr>
                <w:sz w:val="18"/>
                <w:szCs w:val="18"/>
                <w:color w:val="auto"/>
              </w:rPr>
            </w:pPr>
          </w:p>
        </w:tc>
        <w:tc>
          <w:tcPr>
            <w:tcW w:w="120" w:type="dxa"/>
            <w:vAlign w:val="bottom"/>
            <w:shd w:val="clear" w:color="auto" w:fill="E8EDF4"/>
          </w:tcPr>
          <w:p>
            <w:pPr>
              <w:spacing w:after="0"/>
              <w:rPr>
                <w:sz w:val="18"/>
                <w:szCs w:val="18"/>
                <w:color w:val="auto"/>
              </w:rPr>
            </w:pPr>
          </w:p>
        </w:tc>
        <w:tc>
          <w:tcPr>
            <w:tcW w:w="4060" w:type="dxa"/>
            <w:vAlign w:val="bottom"/>
            <w:shd w:val="clear" w:color="auto" w:fill="E8EDF4"/>
          </w:tcPr>
          <w:p>
            <w:pPr>
              <w:spacing w:after="0"/>
              <w:rPr>
                <w:sz w:val="20"/>
                <w:szCs w:val="20"/>
                <w:color w:val="auto"/>
              </w:rPr>
            </w:pPr>
            <w:r>
              <w:rPr>
                <w:rFonts w:ascii="Arial" w:cs="Arial" w:eastAsia="Arial" w:hAnsi="Arial"/>
                <w:sz w:val="18"/>
                <w:szCs w:val="18"/>
                <w:color w:val="auto"/>
              </w:rPr>
              <w:t>None</w:t>
            </w:r>
          </w:p>
        </w:tc>
        <w:tc>
          <w:tcPr>
            <w:tcW w:w="4240" w:type="dxa"/>
            <w:vAlign w:val="bottom"/>
            <w:tcBorders>
              <w:right w:val="single" w:sz="8" w:color="4C4C4C"/>
            </w:tcBorders>
            <w:shd w:val="clear" w:color="auto" w:fill="E8EDF4"/>
          </w:tcPr>
          <w:p>
            <w:pPr>
              <w:ind w:left="14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68"/>
        </w:trPr>
        <w:tc>
          <w:tcPr>
            <w:tcW w:w="2620" w:type="dxa"/>
            <w:vAlign w:val="bottom"/>
            <w:tcBorders>
              <w:left w:val="single" w:sz="8" w:color="4C4C4C"/>
              <w:bottom w:val="single" w:sz="8" w:color="4C4C4C"/>
            </w:tcBorders>
            <w:shd w:val="clear" w:color="auto" w:fill="052B82"/>
          </w:tcPr>
          <w:p>
            <w:pPr>
              <w:spacing w:after="0"/>
              <w:rPr>
                <w:sz w:val="5"/>
                <w:szCs w:val="5"/>
                <w:color w:val="auto"/>
              </w:rPr>
            </w:pPr>
          </w:p>
        </w:tc>
        <w:tc>
          <w:tcPr>
            <w:tcW w:w="120" w:type="dxa"/>
            <w:vAlign w:val="bottom"/>
            <w:tcBorders>
              <w:bottom w:val="single" w:sz="8" w:color="4C4C4C"/>
            </w:tcBorders>
            <w:shd w:val="clear" w:color="auto" w:fill="E8EDF4"/>
          </w:tcPr>
          <w:p>
            <w:pPr>
              <w:spacing w:after="0"/>
              <w:rPr>
                <w:sz w:val="5"/>
                <w:szCs w:val="5"/>
                <w:color w:val="auto"/>
              </w:rPr>
            </w:pPr>
          </w:p>
        </w:tc>
        <w:tc>
          <w:tcPr>
            <w:tcW w:w="4060" w:type="dxa"/>
            <w:vAlign w:val="bottom"/>
            <w:tcBorders>
              <w:bottom w:val="single" w:sz="8" w:color="4C4C4C"/>
            </w:tcBorders>
            <w:shd w:val="clear" w:color="auto" w:fill="E8EDF4"/>
          </w:tcPr>
          <w:p>
            <w:pPr>
              <w:spacing w:after="0"/>
              <w:rPr>
                <w:sz w:val="5"/>
                <w:szCs w:val="5"/>
                <w:color w:val="auto"/>
              </w:rPr>
            </w:pPr>
          </w:p>
        </w:tc>
        <w:tc>
          <w:tcPr>
            <w:tcW w:w="4240" w:type="dxa"/>
            <w:vAlign w:val="bottom"/>
            <w:tcBorders>
              <w:bottom w:val="single" w:sz="8" w:color="4C4C4C"/>
              <w:right w:val="single" w:sz="8" w:color="4C4C4C"/>
            </w:tcBorders>
            <w:shd w:val="clear" w:color="auto" w:fill="E8EDF4"/>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620" w:type="dxa"/>
            <w:vAlign w:val="bottom"/>
            <w:tcBorders>
              <w:bottom w:val="single" w:sz="8" w:color="4C4C4C"/>
            </w:tcBorders>
          </w:tcPr>
          <w:p>
            <w:pPr>
              <w:spacing w:after="0"/>
              <w:rPr>
                <w:sz w:val="17"/>
                <w:szCs w:val="17"/>
                <w:color w:val="auto"/>
              </w:rPr>
            </w:pPr>
          </w:p>
        </w:tc>
        <w:tc>
          <w:tcPr>
            <w:tcW w:w="120" w:type="dxa"/>
            <w:vAlign w:val="bottom"/>
            <w:tcBorders>
              <w:bottom w:val="single" w:sz="8" w:color="4C4C4C"/>
            </w:tcBorders>
          </w:tcPr>
          <w:p>
            <w:pPr>
              <w:spacing w:after="0"/>
              <w:rPr>
                <w:sz w:val="17"/>
                <w:szCs w:val="17"/>
                <w:color w:val="auto"/>
              </w:rPr>
            </w:pPr>
          </w:p>
        </w:tc>
        <w:tc>
          <w:tcPr>
            <w:tcW w:w="4060" w:type="dxa"/>
            <w:vAlign w:val="bottom"/>
            <w:tcBorders>
              <w:bottom w:val="single" w:sz="8" w:color="4C4C4C"/>
            </w:tcBorders>
          </w:tcPr>
          <w:p>
            <w:pPr>
              <w:spacing w:after="0"/>
              <w:rPr>
                <w:sz w:val="17"/>
                <w:szCs w:val="17"/>
                <w:color w:val="auto"/>
              </w:rPr>
            </w:pPr>
          </w:p>
        </w:tc>
        <w:tc>
          <w:tcPr>
            <w:tcW w:w="4240" w:type="dxa"/>
            <w:vAlign w:val="bottom"/>
            <w:tcBorders>
              <w:bottom w:val="single" w:sz="8" w:color="4C4C4C"/>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620" w:type="dxa"/>
            <w:vAlign w:val="bottom"/>
            <w:tcBorders>
              <w:left w:val="single" w:sz="8" w:color="4C4C4C"/>
            </w:tcBorders>
            <w:shd w:val="clear" w:color="auto" w:fill="052B82"/>
          </w:tcPr>
          <w:p>
            <w:pPr>
              <w:ind w:left="200"/>
              <w:spacing w:after="0" w:line="204" w:lineRule="exact"/>
              <w:rPr>
                <w:sz w:val="20"/>
                <w:szCs w:val="20"/>
                <w:color w:val="auto"/>
              </w:rPr>
            </w:pPr>
            <w:r>
              <w:rPr>
                <w:rFonts w:ascii="Arial" w:cs="Arial" w:eastAsia="Arial" w:hAnsi="Arial"/>
                <w:sz w:val="22"/>
                <w:szCs w:val="22"/>
                <w:b w:val="1"/>
                <w:bCs w:val="1"/>
                <w:color w:val="FFFFFF"/>
              </w:rPr>
              <w:t>Anantha P.</w:t>
            </w:r>
          </w:p>
        </w:tc>
        <w:tc>
          <w:tcPr>
            <w:tcW w:w="120" w:type="dxa"/>
            <w:vAlign w:val="bottom"/>
            <w:shd w:val="clear" w:color="auto" w:fill="E8EDF4"/>
          </w:tcPr>
          <w:p>
            <w:pPr>
              <w:spacing w:after="0"/>
              <w:rPr>
                <w:sz w:val="17"/>
                <w:szCs w:val="17"/>
                <w:color w:val="auto"/>
              </w:rPr>
            </w:pPr>
          </w:p>
        </w:tc>
        <w:tc>
          <w:tcPr>
            <w:tcW w:w="4060" w:type="dxa"/>
            <w:vAlign w:val="bottom"/>
            <w:shd w:val="clear" w:color="auto" w:fill="E8EDF4"/>
          </w:tcPr>
          <w:p>
            <w:pPr>
              <w:spacing w:after="0" w:line="204" w:lineRule="exact"/>
              <w:rPr>
                <w:sz w:val="20"/>
                <w:szCs w:val="20"/>
                <w:color w:val="auto"/>
              </w:rPr>
            </w:pPr>
            <w:r>
              <w:rPr>
                <w:rFonts w:ascii="Arial" w:cs="Arial" w:eastAsia="Arial" w:hAnsi="Arial"/>
                <w:sz w:val="18"/>
                <w:szCs w:val="18"/>
                <w:b w:val="1"/>
                <w:bCs w:val="1"/>
                <w:color w:val="auto"/>
              </w:rPr>
              <w:t>Professional Experience and Background</w:t>
            </w:r>
          </w:p>
        </w:tc>
        <w:tc>
          <w:tcPr>
            <w:tcW w:w="4240" w:type="dxa"/>
            <w:vAlign w:val="bottom"/>
            <w:tcBorders>
              <w:right w:val="single" w:sz="8" w:color="4C4C4C"/>
            </w:tcBorders>
            <w:shd w:val="clear" w:color="auto" w:fill="E8EDF4"/>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620" w:type="dxa"/>
            <w:vAlign w:val="bottom"/>
            <w:tcBorders>
              <w:left w:val="single" w:sz="8" w:color="4C4C4C"/>
            </w:tcBorders>
            <w:shd w:val="clear" w:color="auto" w:fill="052B82"/>
          </w:tcPr>
          <w:p>
            <w:pPr>
              <w:ind w:left="200"/>
              <w:spacing w:after="0"/>
              <w:rPr>
                <w:sz w:val="20"/>
                <w:szCs w:val="20"/>
                <w:color w:val="auto"/>
              </w:rPr>
            </w:pPr>
            <w:r>
              <w:rPr>
                <w:rFonts w:ascii="Arial" w:cs="Arial" w:eastAsia="Arial" w:hAnsi="Arial"/>
                <w:sz w:val="22"/>
                <w:szCs w:val="22"/>
                <w:b w:val="1"/>
                <w:bCs w:val="1"/>
                <w:color w:val="FFFFFF"/>
              </w:rPr>
              <w:t>Chandrakasan</w:t>
            </w:r>
          </w:p>
        </w:tc>
        <w:tc>
          <w:tcPr>
            <w:tcW w:w="120" w:type="dxa"/>
            <w:vAlign w:val="bottom"/>
            <w:shd w:val="clear" w:color="auto" w:fill="E8EDF4"/>
          </w:tcPr>
          <w:p>
            <w:pPr>
              <w:spacing w:after="0"/>
              <w:rPr>
                <w:sz w:val="22"/>
                <w:szCs w:val="22"/>
                <w:color w:val="auto"/>
              </w:rPr>
            </w:pPr>
          </w:p>
        </w:tc>
        <w:tc>
          <w:tcPr>
            <w:tcW w:w="8300" w:type="dxa"/>
            <w:vAlign w:val="bottom"/>
            <w:tcBorders>
              <w:right w:val="single" w:sz="8" w:color="4C4C4C"/>
            </w:tcBorders>
            <w:gridSpan w:val="2"/>
            <w:shd w:val="clear" w:color="auto" w:fill="E8EDF4"/>
          </w:tcPr>
          <w:p>
            <w:pPr>
              <w:spacing w:after="0"/>
              <w:rPr>
                <w:sz w:val="20"/>
                <w:szCs w:val="20"/>
                <w:color w:val="auto"/>
              </w:rPr>
            </w:pPr>
            <w:r>
              <w:rPr>
                <w:rFonts w:ascii="Arial" w:cs="Arial" w:eastAsia="Arial" w:hAnsi="Arial"/>
                <w:sz w:val="18"/>
                <w:szCs w:val="18"/>
                <w:color w:val="auto"/>
              </w:rPr>
              <w:t>Dr. Chandrakasan has served as the Dean of the School of Engineering at Massachusetts Institute of</w:t>
            </w:r>
          </w:p>
        </w:tc>
        <w:tc>
          <w:tcPr>
            <w:tcW w:w="0" w:type="dxa"/>
            <w:vAlign w:val="bottom"/>
          </w:tcPr>
          <w:p>
            <w:pPr>
              <w:spacing w:after="0"/>
              <w:rPr>
                <w:sz w:val="1"/>
                <w:szCs w:val="1"/>
                <w:color w:val="auto"/>
              </w:rPr>
            </w:pPr>
          </w:p>
        </w:tc>
      </w:tr>
      <w:tr>
        <w:trPr>
          <w:trHeight w:val="203"/>
        </w:trPr>
        <w:tc>
          <w:tcPr>
            <w:tcW w:w="2620" w:type="dxa"/>
            <w:vAlign w:val="bottom"/>
            <w:tcBorders>
              <w:left w:val="single" w:sz="8" w:color="4C4C4C"/>
            </w:tcBorders>
            <w:vMerge w:val="restart"/>
            <w:shd w:val="clear" w:color="auto" w:fill="052B82"/>
          </w:tcPr>
          <w:p>
            <w:pPr>
              <w:ind w:left="200"/>
              <w:spacing w:after="0"/>
              <w:rPr>
                <w:sz w:val="20"/>
                <w:szCs w:val="20"/>
                <w:color w:val="auto"/>
              </w:rPr>
            </w:pPr>
            <w:r>
              <w:rPr>
                <w:rFonts w:ascii="Arial" w:cs="Arial" w:eastAsia="Arial" w:hAnsi="Arial"/>
                <w:sz w:val="18"/>
                <w:szCs w:val="18"/>
                <w:b w:val="1"/>
                <w:bCs w:val="1"/>
                <w:color w:val="FFFFFF"/>
              </w:rPr>
              <w:t>Independent</w:t>
            </w:r>
          </w:p>
        </w:tc>
        <w:tc>
          <w:tcPr>
            <w:tcW w:w="120" w:type="dxa"/>
            <w:vAlign w:val="bottom"/>
            <w:shd w:val="clear" w:color="auto" w:fill="E8EDF4"/>
          </w:tcPr>
          <w:p>
            <w:pPr>
              <w:spacing w:after="0"/>
              <w:rPr>
                <w:sz w:val="17"/>
                <w:szCs w:val="17"/>
                <w:color w:val="auto"/>
              </w:rPr>
            </w:pPr>
          </w:p>
        </w:tc>
        <w:tc>
          <w:tcPr>
            <w:tcW w:w="8300" w:type="dxa"/>
            <w:vAlign w:val="bottom"/>
            <w:tcBorders>
              <w:right w:val="single" w:sz="8" w:color="4C4C4C"/>
            </w:tcBorders>
            <w:gridSpan w:val="2"/>
            <w:shd w:val="clear" w:color="auto" w:fill="E8EDF4"/>
          </w:tcPr>
          <w:p>
            <w:pPr>
              <w:spacing w:after="0" w:line="202" w:lineRule="exact"/>
              <w:rPr>
                <w:sz w:val="20"/>
                <w:szCs w:val="20"/>
                <w:color w:val="auto"/>
              </w:rPr>
            </w:pPr>
            <w:r>
              <w:rPr>
                <w:rFonts w:ascii="Arial" w:cs="Arial" w:eastAsia="Arial" w:hAnsi="Arial"/>
                <w:sz w:val="18"/>
                <w:szCs w:val="18"/>
                <w:color w:val="auto"/>
              </w:rPr>
              <w:t>Technology, or MIT, a private research university, since 2017, and the Vannevar Bush Professor of</w:t>
            </w:r>
          </w:p>
        </w:tc>
        <w:tc>
          <w:tcPr>
            <w:tcW w:w="0" w:type="dxa"/>
            <w:vAlign w:val="bottom"/>
          </w:tcPr>
          <w:p>
            <w:pPr>
              <w:spacing w:after="0"/>
              <w:rPr>
                <w:sz w:val="1"/>
                <w:szCs w:val="1"/>
                <w:color w:val="auto"/>
              </w:rPr>
            </w:pPr>
          </w:p>
        </w:tc>
      </w:tr>
      <w:tr>
        <w:trPr>
          <w:trHeight w:val="163"/>
        </w:trPr>
        <w:tc>
          <w:tcPr>
            <w:tcW w:w="2620" w:type="dxa"/>
            <w:vAlign w:val="bottom"/>
            <w:tcBorders>
              <w:left w:val="single" w:sz="8" w:color="4C4C4C"/>
            </w:tcBorders>
            <w:vMerge w:val="continue"/>
            <w:shd w:val="clear" w:color="auto" w:fill="052B82"/>
          </w:tcPr>
          <w:p>
            <w:pPr>
              <w:spacing w:after="0"/>
              <w:rPr>
                <w:sz w:val="14"/>
                <w:szCs w:val="14"/>
                <w:color w:val="auto"/>
              </w:rPr>
            </w:pPr>
          </w:p>
        </w:tc>
        <w:tc>
          <w:tcPr>
            <w:tcW w:w="120" w:type="dxa"/>
            <w:vAlign w:val="bottom"/>
            <w:shd w:val="clear" w:color="auto" w:fill="E8EDF4"/>
          </w:tcPr>
          <w:p>
            <w:pPr>
              <w:spacing w:after="0"/>
              <w:rPr>
                <w:sz w:val="14"/>
                <w:szCs w:val="14"/>
                <w:color w:val="auto"/>
              </w:rPr>
            </w:pPr>
          </w:p>
        </w:tc>
        <w:tc>
          <w:tcPr>
            <w:tcW w:w="8300" w:type="dxa"/>
            <w:vAlign w:val="bottom"/>
            <w:tcBorders>
              <w:right w:val="single" w:sz="8" w:color="4C4C4C"/>
            </w:tcBorders>
            <w:gridSpan w:val="2"/>
            <w:shd w:val="clear" w:color="auto" w:fill="E8EDF4"/>
          </w:tcPr>
          <w:p>
            <w:pPr>
              <w:spacing w:after="0" w:line="163" w:lineRule="exact"/>
              <w:rPr>
                <w:sz w:val="20"/>
                <w:szCs w:val="20"/>
                <w:color w:val="auto"/>
              </w:rPr>
            </w:pPr>
            <w:r>
              <w:rPr>
                <w:rFonts w:ascii="Arial" w:cs="Arial" w:eastAsia="Arial" w:hAnsi="Arial"/>
                <w:sz w:val="18"/>
                <w:szCs w:val="18"/>
                <w:color w:val="auto"/>
              </w:rPr>
              <w:t>Electrical Engineering and Computer Science since 2003. He also co-chairs the MIT-IBM Watson AI</w:t>
            </w:r>
          </w:p>
        </w:tc>
        <w:tc>
          <w:tcPr>
            <w:tcW w:w="0" w:type="dxa"/>
            <w:vAlign w:val="bottom"/>
          </w:tcPr>
          <w:p>
            <w:pPr>
              <w:spacing w:after="0"/>
              <w:rPr>
                <w:sz w:val="1"/>
                <w:szCs w:val="1"/>
                <w:color w:val="auto"/>
              </w:rPr>
            </w:pPr>
          </w:p>
        </w:tc>
      </w:tr>
      <w:tr>
        <w:trPr>
          <w:trHeight w:val="242"/>
        </w:trPr>
        <w:tc>
          <w:tcPr>
            <w:tcW w:w="2620" w:type="dxa"/>
            <w:vAlign w:val="bottom"/>
            <w:tcBorders>
              <w:left w:val="single" w:sz="8" w:color="4C4C4C"/>
            </w:tcBorders>
            <w:shd w:val="clear" w:color="auto" w:fill="052B82"/>
          </w:tcPr>
          <w:p>
            <w:pPr>
              <w:ind w:left="200"/>
              <w:spacing w:after="0"/>
              <w:rPr>
                <w:sz w:val="20"/>
                <w:szCs w:val="20"/>
                <w:color w:val="auto"/>
              </w:rPr>
            </w:pPr>
            <w:r>
              <w:rPr>
                <w:rFonts w:ascii="Arial" w:cs="Arial" w:eastAsia="Arial" w:hAnsi="Arial"/>
                <w:sz w:val="18"/>
                <w:szCs w:val="18"/>
                <w:b w:val="1"/>
                <w:bCs w:val="1"/>
                <w:color w:val="FFFFFF"/>
              </w:rPr>
              <w:t>Director since: 2019</w:t>
            </w:r>
          </w:p>
        </w:tc>
        <w:tc>
          <w:tcPr>
            <w:tcW w:w="120" w:type="dxa"/>
            <w:vAlign w:val="bottom"/>
            <w:shd w:val="clear" w:color="auto" w:fill="E8EDF4"/>
          </w:tcPr>
          <w:p>
            <w:pPr>
              <w:spacing w:after="0"/>
              <w:rPr>
                <w:sz w:val="21"/>
                <w:szCs w:val="21"/>
                <w:color w:val="auto"/>
              </w:rPr>
            </w:pPr>
          </w:p>
        </w:tc>
        <w:tc>
          <w:tcPr>
            <w:tcW w:w="8300" w:type="dxa"/>
            <w:vAlign w:val="bottom"/>
            <w:tcBorders>
              <w:right w:val="single" w:sz="8" w:color="4C4C4C"/>
            </w:tcBorders>
            <w:gridSpan w:val="2"/>
            <w:shd w:val="clear" w:color="auto" w:fill="E8EDF4"/>
          </w:tcPr>
          <w:p>
            <w:pPr>
              <w:spacing w:after="0"/>
              <w:rPr>
                <w:sz w:val="20"/>
                <w:szCs w:val="20"/>
                <w:color w:val="auto"/>
              </w:rPr>
            </w:pPr>
            <w:r>
              <w:rPr>
                <w:rFonts w:ascii="Arial" w:cs="Arial" w:eastAsia="Arial" w:hAnsi="Arial"/>
                <w:sz w:val="18"/>
                <w:szCs w:val="18"/>
                <w:color w:val="auto"/>
              </w:rPr>
              <w:t>Lab and chairs the MIT-SenseTime Alliance on Artificial Intelligence and J-Clinic, the Abdul Latif Jameel</w:t>
            </w:r>
          </w:p>
        </w:tc>
        <w:tc>
          <w:tcPr>
            <w:tcW w:w="0" w:type="dxa"/>
            <w:vAlign w:val="bottom"/>
          </w:tcPr>
          <w:p>
            <w:pPr>
              <w:spacing w:after="0"/>
              <w:rPr>
                <w:sz w:val="1"/>
                <w:szCs w:val="1"/>
                <w:color w:val="auto"/>
              </w:rPr>
            </w:pPr>
          </w:p>
        </w:tc>
      </w:tr>
      <w:tr>
        <w:trPr>
          <w:trHeight w:val="203"/>
        </w:trPr>
        <w:tc>
          <w:tcPr>
            <w:tcW w:w="2620" w:type="dxa"/>
            <w:vAlign w:val="bottom"/>
            <w:tcBorders>
              <w:left w:val="single" w:sz="8" w:color="4C4C4C"/>
            </w:tcBorders>
            <w:vMerge w:val="restart"/>
            <w:shd w:val="clear" w:color="auto" w:fill="052B82"/>
          </w:tcPr>
          <w:p>
            <w:pPr>
              <w:ind w:left="200"/>
              <w:spacing w:after="0"/>
              <w:rPr>
                <w:sz w:val="20"/>
                <w:szCs w:val="20"/>
                <w:color w:val="auto"/>
              </w:rPr>
            </w:pPr>
            <w:r>
              <w:rPr>
                <w:rFonts w:ascii="Arial" w:cs="Arial" w:eastAsia="Arial" w:hAnsi="Arial"/>
                <w:sz w:val="18"/>
                <w:szCs w:val="18"/>
                <w:b w:val="1"/>
                <w:bCs w:val="1"/>
                <w:color w:val="FFFFFF"/>
              </w:rPr>
              <w:t>Age: 51</w:t>
            </w:r>
          </w:p>
        </w:tc>
        <w:tc>
          <w:tcPr>
            <w:tcW w:w="120" w:type="dxa"/>
            <w:vAlign w:val="bottom"/>
            <w:shd w:val="clear" w:color="auto" w:fill="E8EDF4"/>
          </w:tcPr>
          <w:p>
            <w:pPr>
              <w:spacing w:after="0"/>
              <w:rPr>
                <w:sz w:val="17"/>
                <w:szCs w:val="17"/>
                <w:color w:val="auto"/>
              </w:rPr>
            </w:pPr>
          </w:p>
        </w:tc>
        <w:tc>
          <w:tcPr>
            <w:tcW w:w="8300" w:type="dxa"/>
            <w:vAlign w:val="bottom"/>
            <w:tcBorders>
              <w:right w:val="single" w:sz="8" w:color="4C4C4C"/>
            </w:tcBorders>
            <w:gridSpan w:val="2"/>
            <w:shd w:val="clear" w:color="auto" w:fill="E8EDF4"/>
          </w:tcPr>
          <w:p>
            <w:pPr>
              <w:spacing w:after="0" w:line="202" w:lineRule="exact"/>
              <w:rPr>
                <w:sz w:val="20"/>
                <w:szCs w:val="20"/>
                <w:color w:val="auto"/>
              </w:rPr>
            </w:pPr>
            <w:r>
              <w:rPr>
                <w:rFonts w:ascii="Arial" w:cs="Arial" w:eastAsia="Arial" w:hAnsi="Arial"/>
                <w:sz w:val="18"/>
                <w:szCs w:val="18"/>
                <w:color w:val="auto"/>
              </w:rPr>
              <w:t>Clinic for Machine Learning in Health at MIT. From July 2011 to June 2017, Dr. Chandrakasan was the</w:t>
            </w:r>
          </w:p>
        </w:tc>
        <w:tc>
          <w:tcPr>
            <w:tcW w:w="0" w:type="dxa"/>
            <w:vAlign w:val="bottom"/>
          </w:tcPr>
          <w:p>
            <w:pPr>
              <w:spacing w:after="0"/>
              <w:rPr>
                <w:sz w:val="1"/>
                <w:szCs w:val="1"/>
                <w:color w:val="auto"/>
              </w:rPr>
            </w:pPr>
          </w:p>
        </w:tc>
      </w:tr>
      <w:tr>
        <w:trPr>
          <w:trHeight w:val="149"/>
        </w:trPr>
        <w:tc>
          <w:tcPr>
            <w:tcW w:w="2620" w:type="dxa"/>
            <w:vAlign w:val="bottom"/>
            <w:tcBorders>
              <w:left w:val="single" w:sz="8" w:color="4C4C4C"/>
            </w:tcBorders>
            <w:vMerge w:val="continue"/>
            <w:shd w:val="clear" w:color="auto" w:fill="052B82"/>
          </w:tcPr>
          <w:p>
            <w:pPr>
              <w:spacing w:after="0"/>
              <w:rPr>
                <w:sz w:val="12"/>
                <w:szCs w:val="12"/>
                <w:color w:val="auto"/>
              </w:rPr>
            </w:pPr>
          </w:p>
        </w:tc>
        <w:tc>
          <w:tcPr>
            <w:tcW w:w="120" w:type="dxa"/>
            <w:vAlign w:val="bottom"/>
            <w:shd w:val="clear" w:color="auto" w:fill="E8EDF4"/>
          </w:tcPr>
          <w:p>
            <w:pPr>
              <w:spacing w:after="0"/>
              <w:rPr>
                <w:sz w:val="12"/>
                <w:szCs w:val="12"/>
                <w:color w:val="auto"/>
              </w:rPr>
            </w:pPr>
          </w:p>
        </w:tc>
        <w:tc>
          <w:tcPr>
            <w:tcW w:w="8300" w:type="dxa"/>
            <w:vAlign w:val="bottom"/>
            <w:tcBorders>
              <w:right w:val="single" w:sz="8" w:color="4C4C4C"/>
            </w:tcBorders>
            <w:gridSpan w:val="2"/>
            <w:vMerge w:val="restart"/>
            <w:shd w:val="clear" w:color="auto" w:fill="E8EDF4"/>
          </w:tcPr>
          <w:p>
            <w:pPr>
              <w:spacing w:after="0" w:line="202" w:lineRule="exact"/>
              <w:rPr>
                <w:sz w:val="20"/>
                <w:szCs w:val="20"/>
                <w:color w:val="auto"/>
              </w:rPr>
            </w:pPr>
            <w:r>
              <w:rPr>
                <w:rFonts w:ascii="Arial" w:cs="Arial" w:eastAsia="Arial" w:hAnsi="Arial"/>
                <w:sz w:val="18"/>
                <w:szCs w:val="18"/>
                <w:color w:val="auto"/>
              </w:rPr>
              <w:t>head of MIT’s Department of Electrical Engineering and Computer Science (EECS). He is an Institute</w:t>
            </w:r>
          </w:p>
        </w:tc>
        <w:tc>
          <w:tcPr>
            <w:tcW w:w="0" w:type="dxa"/>
            <w:vAlign w:val="bottom"/>
          </w:tcPr>
          <w:p>
            <w:pPr>
              <w:spacing w:after="0"/>
              <w:rPr>
                <w:sz w:val="1"/>
                <w:szCs w:val="1"/>
                <w:color w:val="auto"/>
              </w:rPr>
            </w:pPr>
          </w:p>
        </w:tc>
      </w:tr>
      <w:tr>
        <w:trPr>
          <w:trHeight w:val="53"/>
        </w:trPr>
        <w:tc>
          <w:tcPr>
            <w:tcW w:w="2620" w:type="dxa"/>
            <w:vAlign w:val="bottom"/>
            <w:tcBorders>
              <w:left w:val="single" w:sz="8" w:color="4C4C4C"/>
            </w:tcBorders>
            <w:shd w:val="clear" w:color="auto" w:fill="052B82"/>
          </w:tcPr>
          <w:p>
            <w:pPr>
              <w:spacing w:after="0"/>
              <w:rPr>
                <w:sz w:val="4"/>
                <w:szCs w:val="4"/>
                <w:color w:val="auto"/>
              </w:rPr>
            </w:pPr>
          </w:p>
        </w:tc>
        <w:tc>
          <w:tcPr>
            <w:tcW w:w="120" w:type="dxa"/>
            <w:vAlign w:val="bottom"/>
            <w:shd w:val="clear" w:color="auto" w:fill="E8EDF4"/>
          </w:tcPr>
          <w:p>
            <w:pPr>
              <w:spacing w:after="0"/>
              <w:rPr>
                <w:sz w:val="4"/>
                <w:szCs w:val="4"/>
                <w:color w:val="auto"/>
              </w:rPr>
            </w:pPr>
          </w:p>
        </w:tc>
        <w:tc>
          <w:tcPr>
            <w:tcW w:w="8300" w:type="dxa"/>
            <w:vAlign w:val="bottom"/>
            <w:tcBorders>
              <w:right w:val="single" w:sz="8" w:color="4C4C4C"/>
            </w:tcBorders>
            <w:gridSpan w:val="2"/>
            <w:vMerge w:val="continue"/>
            <w:shd w:val="clear" w:color="auto" w:fill="E8EDF4"/>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620" w:type="dxa"/>
            <w:vAlign w:val="bottom"/>
            <w:tcBorders>
              <w:left w:val="single" w:sz="8" w:color="4C4C4C"/>
            </w:tcBorders>
            <w:vMerge w:val="restart"/>
            <w:shd w:val="clear" w:color="auto" w:fill="052B82"/>
          </w:tcPr>
          <w:p>
            <w:pPr>
              <w:ind w:left="200"/>
              <w:spacing w:after="0"/>
              <w:rPr>
                <w:sz w:val="20"/>
                <w:szCs w:val="20"/>
                <w:color w:val="auto"/>
              </w:rPr>
            </w:pPr>
            <w:r>
              <w:rPr>
                <w:rFonts w:ascii="Arial" w:cs="Arial" w:eastAsia="Arial" w:hAnsi="Arial"/>
                <w:sz w:val="18"/>
                <w:szCs w:val="18"/>
                <w:b w:val="1"/>
                <w:bCs w:val="1"/>
                <w:color w:val="FFFFFF"/>
              </w:rPr>
              <w:t>Committee(s):</w:t>
            </w:r>
          </w:p>
        </w:tc>
        <w:tc>
          <w:tcPr>
            <w:tcW w:w="120" w:type="dxa"/>
            <w:vAlign w:val="bottom"/>
            <w:shd w:val="clear" w:color="auto" w:fill="E8EDF4"/>
          </w:tcPr>
          <w:p>
            <w:pPr>
              <w:spacing w:after="0"/>
              <w:rPr>
                <w:sz w:val="17"/>
                <w:szCs w:val="17"/>
                <w:color w:val="auto"/>
              </w:rPr>
            </w:pPr>
          </w:p>
        </w:tc>
        <w:tc>
          <w:tcPr>
            <w:tcW w:w="8300" w:type="dxa"/>
            <w:vAlign w:val="bottom"/>
            <w:tcBorders>
              <w:right w:val="single" w:sz="8" w:color="4C4C4C"/>
            </w:tcBorders>
            <w:gridSpan w:val="2"/>
            <w:shd w:val="clear" w:color="auto" w:fill="E8EDF4"/>
          </w:tcPr>
          <w:p>
            <w:pPr>
              <w:spacing w:after="0" w:line="202" w:lineRule="exact"/>
              <w:rPr>
                <w:sz w:val="20"/>
                <w:szCs w:val="20"/>
                <w:color w:val="auto"/>
              </w:rPr>
            </w:pPr>
            <w:r>
              <w:rPr>
                <w:rFonts w:ascii="Arial" w:cs="Arial" w:eastAsia="Arial" w:hAnsi="Arial"/>
                <w:sz w:val="18"/>
                <w:szCs w:val="18"/>
                <w:color w:val="auto"/>
              </w:rPr>
              <w:t>of Electrical and Electronics Engineers fellow, and in 2015 he was elected to the National Academy of</w:t>
            </w:r>
          </w:p>
        </w:tc>
        <w:tc>
          <w:tcPr>
            <w:tcW w:w="0" w:type="dxa"/>
            <w:vAlign w:val="bottom"/>
          </w:tcPr>
          <w:p>
            <w:pPr>
              <w:spacing w:after="0"/>
              <w:rPr>
                <w:sz w:val="1"/>
                <w:szCs w:val="1"/>
                <w:color w:val="auto"/>
              </w:rPr>
            </w:pPr>
          </w:p>
        </w:tc>
      </w:tr>
      <w:tr>
        <w:trPr>
          <w:trHeight w:val="95"/>
        </w:trPr>
        <w:tc>
          <w:tcPr>
            <w:tcW w:w="2620" w:type="dxa"/>
            <w:vAlign w:val="bottom"/>
            <w:tcBorders>
              <w:left w:val="single" w:sz="8" w:color="4C4C4C"/>
            </w:tcBorders>
            <w:vMerge w:val="continue"/>
            <w:shd w:val="clear" w:color="auto" w:fill="052B82"/>
          </w:tcPr>
          <w:p>
            <w:pPr>
              <w:spacing w:after="0"/>
              <w:rPr>
                <w:sz w:val="8"/>
                <w:szCs w:val="8"/>
                <w:color w:val="auto"/>
              </w:rPr>
            </w:pPr>
          </w:p>
        </w:tc>
        <w:tc>
          <w:tcPr>
            <w:tcW w:w="120" w:type="dxa"/>
            <w:vAlign w:val="bottom"/>
            <w:shd w:val="clear" w:color="auto" w:fill="E8EDF4"/>
          </w:tcPr>
          <w:p>
            <w:pPr>
              <w:spacing w:after="0"/>
              <w:rPr>
                <w:sz w:val="8"/>
                <w:szCs w:val="8"/>
                <w:color w:val="auto"/>
              </w:rPr>
            </w:pPr>
          </w:p>
        </w:tc>
        <w:tc>
          <w:tcPr>
            <w:tcW w:w="4060" w:type="dxa"/>
            <w:vAlign w:val="bottom"/>
            <w:vMerge w:val="restart"/>
            <w:shd w:val="clear" w:color="auto" w:fill="E8EDF4"/>
          </w:tcPr>
          <w:p>
            <w:pPr>
              <w:spacing w:after="0"/>
              <w:rPr>
                <w:sz w:val="20"/>
                <w:szCs w:val="20"/>
                <w:color w:val="auto"/>
              </w:rPr>
            </w:pPr>
            <w:r>
              <w:rPr>
                <w:rFonts w:ascii="Arial" w:cs="Arial" w:eastAsia="Arial" w:hAnsi="Arial"/>
                <w:sz w:val="18"/>
                <w:szCs w:val="18"/>
                <w:color w:val="auto"/>
              </w:rPr>
              <w:t>Engineering.</w:t>
            </w:r>
          </w:p>
        </w:tc>
        <w:tc>
          <w:tcPr>
            <w:tcW w:w="4240" w:type="dxa"/>
            <w:vAlign w:val="bottom"/>
            <w:tcBorders>
              <w:right w:val="single" w:sz="8" w:color="4C4C4C"/>
            </w:tcBorders>
            <w:shd w:val="clear" w:color="auto" w:fill="E8EDF4"/>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620" w:type="dxa"/>
            <w:vAlign w:val="bottom"/>
            <w:tcBorders>
              <w:left w:val="single" w:sz="8" w:color="4C4C4C"/>
            </w:tcBorders>
            <w:vMerge w:val="restart"/>
            <w:shd w:val="clear" w:color="auto" w:fill="052B82"/>
          </w:tcPr>
          <w:p>
            <w:pPr>
              <w:ind w:left="200"/>
              <w:spacing w:after="0" w:line="190" w:lineRule="exact"/>
              <w:rPr>
                <w:sz w:val="20"/>
                <w:szCs w:val="20"/>
                <w:color w:val="auto"/>
              </w:rPr>
            </w:pPr>
            <w:r>
              <w:rPr>
                <w:rFonts w:ascii="Arial" w:cs="Arial" w:eastAsia="Arial" w:hAnsi="Arial"/>
                <w:sz w:val="18"/>
                <w:szCs w:val="18"/>
                <w:color w:val="FFFFFF"/>
              </w:rPr>
              <w:t>Nominating and</w:t>
            </w:r>
          </w:p>
        </w:tc>
        <w:tc>
          <w:tcPr>
            <w:tcW w:w="120" w:type="dxa"/>
            <w:vAlign w:val="bottom"/>
            <w:shd w:val="clear" w:color="auto" w:fill="E8EDF4"/>
          </w:tcPr>
          <w:p>
            <w:pPr>
              <w:spacing w:after="0"/>
              <w:rPr>
                <w:sz w:val="10"/>
                <w:szCs w:val="10"/>
                <w:color w:val="auto"/>
              </w:rPr>
            </w:pPr>
          </w:p>
        </w:tc>
        <w:tc>
          <w:tcPr>
            <w:tcW w:w="4060" w:type="dxa"/>
            <w:vAlign w:val="bottom"/>
            <w:vMerge w:val="continue"/>
            <w:shd w:val="clear" w:color="auto" w:fill="E8EDF4"/>
          </w:tcPr>
          <w:p>
            <w:pPr>
              <w:spacing w:after="0"/>
              <w:rPr>
                <w:sz w:val="10"/>
                <w:szCs w:val="10"/>
                <w:color w:val="auto"/>
              </w:rPr>
            </w:pPr>
          </w:p>
        </w:tc>
        <w:tc>
          <w:tcPr>
            <w:tcW w:w="4240" w:type="dxa"/>
            <w:vAlign w:val="bottom"/>
            <w:tcBorders>
              <w:right w:val="single" w:sz="8" w:color="4C4C4C"/>
            </w:tcBorders>
            <w:shd w:val="clear" w:color="auto" w:fill="E8EDF4"/>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620" w:type="dxa"/>
            <w:vAlign w:val="bottom"/>
            <w:tcBorders>
              <w:left w:val="single" w:sz="8" w:color="4C4C4C"/>
            </w:tcBorders>
            <w:vMerge w:val="continue"/>
            <w:shd w:val="clear" w:color="auto" w:fill="052B82"/>
          </w:tcPr>
          <w:p>
            <w:pPr>
              <w:spacing w:after="0"/>
              <w:rPr>
                <w:sz w:val="5"/>
                <w:szCs w:val="5"/>
                <w:color w:val="auto"/>
              </w:rPr>
            </w:pPr>
          </w:p>
        </w:tc>
        <w:tc>
          <w:tcPr>
            <w:tcW w:w="120" w:type="dxa"/>
            <w:vAlign w:val="bottom"/>
            <w:shd w:val="clear" w:color="auto" w:fill="E8EDF4"/>
          </w:tcPr>
          <w:p>
            <w:pPr>
              <w:spacing w:after="0"/>
              <w:rPr>
                <w:sz w:val="5"/>
                <w:szCs w:val="5"/>
                <w:color w:val="auto"/>
              </w:rPr>
            </w:pPr>
          </w:p>
        </w:tc>
        <w:tc>
          <w:tcPr>
            <w:tcW w:w="4060" w:type="dxa"/>
            <w:vAlign w:val="bottom"/>
            <w:vMerge w:val="restart"/>
            <w:shd w:val="clear" w:color="auto" w:fill="E8EDF4"/>
          </w:tcPr>
          <w:p>
            <w:pPr>
              <w:spacing w:after="0"/>
              <w:rPr>
                <w:sz w:val="20"/>
                <w:szCs w:val="20"/>
                <w:color w:val="auto"/>
              </w:rPr>
            </w:pPr>
            <w:r>
              <w:rPr>
                <w:rFonts w:ascii="Arial" w:cs="Arial" w:eastAsia="Arial" w:hAnsi="Arial"/>
                <w:sz w:val="18"/>
                <w:szCs w:val="18"/>
                <w:b w:val="1"/>
                <w:bCs w:val="1"/>
                <w:color w:val="auto"/>
              </w:rPr>
              <w:t>Key Qualifications and Expertise</w:t>
            </w:r>
          </w:p>
        </w:tc>
        <w:tc>
          <w:tcPr>
            <w:tcW w:w="4240" w:type="dxa"/>
            <w:vAlign w:val="bottom"/>
            <w:tcBorders>
              <w:right w:val="single" w:sz="8" w:color="4C4C4C"/>
            </w:tcBorders>
            <w:shd w:val="clear" w:color="auto" w:fill="E8EDF4"/>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620" w:type="dxa"/>
            <w:vAlign w:val="bottom"/>
            <w:tcBorders>
              <w:left w:val="single" w:sz="8" w:color="4C4C4C"/>
            </w:tcBorders>
            <w:shd w:val="clear" w:color="auto" w:fill="052B82"/>
          </w:tcPr>
          <w:p>
            <w:pPr>
              <w:ind w:left="200"/>
              <w:spacing w:after="0"/>
              <w:rPr>
                <w:sz w:val="20"/>
                <w:szCs w:val="20"/>
                <w:color w:val="auto"/>
              </w:rPr>
            </w:pPr>
            <w:r>
              <w:rPr>
                <w:rFonts w:ascii="Arial" w:cs="Arial" w:eastAsia="Arial" w:hAnsi="Arial"/>
                <w:sz w:val="18"/>
                <w:szCs w:val="18"/>
                <w:color w:val="FFFFFF"/>
              </w:rPr>
              <w:t>Corporate Governance</w:t>
            </w:r>
          </w:p>
        </w:tc>
        <w:tc>
          <w:tcPr>
            <w:tcW w:w="120" w:type="dxa"/>
            <w:vAlign w:val="bottom"/>
            <w:shd w:val="clear" w:color="auto" w:fill="E8EDF4"/>
          </w:tcPr>
          <w:p>
            <w:pPr>
              <w:spacing w:after="0"/>
              <w:rPr>
                <w:sz w:val="19"/>
                <w:szCs w:val="19"/>
                <w:color w:val="auto"/>
              </w:rPr>
            </w:pPr>
          </w:p>
        </w:tc>
        <w:tc>
          <w:tcPr>
            <w:tcW w:w="4060" w:type="dxa"/>
            <w:vAlign w:val="bottom"/>
            <w:vMerge w:val="continue"/>
            <w:shd w:val="clear" w:color="auto" w:fill="E8EDF4"/>
          </w:tcPr>
          <w:p>
            <w:pPr>
              <w:spacing w:after="0"/>
              <w:rPr>
                <w:sz w:val="19"/>
                <w:szCs w:val="19"/>
                <w:color w:val="auto"/>
              </w:rPr>
            </w:pPr>
          </w:p>
        </w:tc>
        <w:tc>
          <w:tcPr>
            <w:tcW w:w="4240" w:type="dxa"/>
            <w:vAlign w:val="bottom"/>
            <w:tcBorders>
              <w:right w:val="single" w:sz="8" w:color="4C4C4C"/>
            </w:tcBorders>
            <w:shd w:val="clear" w:color="auto" w:fill="E8EDF4"/>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2620" w:type="dxa"/>
            <w:vAlign w:val="bottom"/>
            <w:tcBorders>
              <w:left w:val="single" w:sz="8" w:color="4C4C4C"/>
            </w:tcBorders>
            <w:shd w:val="clear" w:color="auto" w:fill="052B82"/>
          </w:tcPr>
          <w:p>
            <w:pPr>
              <w:spacing w:after="0"/>
              <w:rPr>
                <w:sz w:val="24"/>
                <w:szCs w:val="24"/>
                <w:color w:val="auto"/>
              </w:rPr>
            </w:pPr>
          </w:p>
        </w:tc>
        <w:tc>
          <w:tcPr>
            <w:tcW w:w="120" w:type="dxa"/>
            <w:vAlign w:val="bottom"/>
            <w:shd w:val="clear" w:color="auto" w:fill="E8EDF4"/>
          </w:tcPr>
          <w:p>
            <w:pPr>
              <w:spacing w:after="0"/>
              <w:rPr>
                <w:sz w:val="24"/>
                <w:szCs w:val="24"/>
                <w:color w:val="auto"/>
              </w:rPr>
            </w:pPr>
          </w:p>
        </w:tc>
        <w:tc>
          <w:tcPr>
            <w:tcW w:w="8300" w:type="dxa"/>
            <w:vAlign w:val="bottom"/>
            <w:tcBorders>
              <w:right w:val="single" w:sz="8" w:color="4C4C4C"/>
            </w:tcBorders>
            <w:gridSpan w:val="2"/>
            <w:shd w:val="clear" w:color="auto" w:fill="E8EDF4"/>
          </w:tcPr>
          <w:p>
            <w:pPr>
              <w:spacing w:after="0"/>
              <w:rPr>
                <w:sz w:val="20"/>
                <w:szCs w:val="20"/>
                <w:color w:val="auto"/>
              </w:rPr>
            </w:pPr>
            <w:r>
              <w:rPr>
                <w:rFonts w:ascii="Arial" w:cs="Arial" w:eastAsia="Arial" w:hAnsi="Arial"/>
                <w:sz w:val="18"/>
                <w:szCs w:val="18"/>
                <w:color w:val="auto"/>
              </w:rPr>
              <w:t>We believe Dr. Chandrakasan’s qualifications to serve on our Board of Directors include his deep</w:t>
            </w:r>
          </w:p>
        </w:tc>
        <w:tc>
          <w:tcPr>
            <w:tcW w:w="0" w:type="dxa"/>
            <w:vAlign w:val="bottom"/>
          </w:tcPr>
          <w:p>
            <w:pPr>
              <w:spacing w:after="0"/>
              <w:rPr>
                <w:sz w:val="1"/>
                <w:szCs w:val="1"/>
                <w:color w:val="auto"/>
              </w:rPr>
            </w:pPr>
          </w:p>
        </w:tc>
      </w:tr>
      <w:tr>
        <w:trPr>
          <w:trHeight w:val="217"/>
        </w:trPr>
        <w:tc>
          <w:tcPr>
            <w:tcW w:w="2620" w:type="dxa"/>
            <w:vAlign w:val="bottom"/>
            <w:tcBorders>
              <w:left w:val="single" w:sz="8" w:color="4C4C4C"/>
            </w:tcBorders>
            <w:shd w:val="clear" w:color="auto" w:fill="052B82"/>
          </w:tcPr>
          <w:p>
            <w:pPr>
              <w:spacing w:after="0"/>
              <w:rPr>
                <w:sz w:val="18"/>
                <w:szCs w:val="18"/>
                <w:color w:val="auto"/>
              </w:rPr>
            </w:pPr>
          </w:p>
        </w:tc>
        <w:tc>
          <w:tcPr>
            <w:tcW w:w="120" w:type="dxa"/>
            <w:vAlign w:val="bottom"/>
            <w:shd w:val="clear" w:color="auto" w:fill="E8EDF4"/>
          </w:tcPr>
          <w:p>
            <w:pPr>
              <w:spacing w:after="0"/>
              <w:rPr>
                <w:sz w:val="18"/>
                <w:szCs w:val="18"/>
                <w:color w:val="auto"/>
              </w:rPr>
            </w:pPr>
          </w:p>
        </w:tc>
        <w:tc>
          <w:tcPr>
            <w:tcW w:w="8300" w:type="dxa"/>
            <w:vAlign w:val="bottom"/>
            <w:tcBorders>
              <w:right w:val="single" w:sz="8" w:color="4C4C4C"/>
            </w:tcBorders>
            <w:gridSpan w:val="2"/>
            <w:shd w:val="clear" w:color="auto" w:fill="E8EDF4"/>
          </w:tcPr>
          <w:p>
            <w:pPr>
              <w:spacing w:after="0"/>
              <w:rPr>
                <w:sz w:val="20"/>
                <w:szCs w:val="20"/>
                <w:color w:val="auto"/>
              </w:rPr>
            </w:pPr>
            <w:r>
              <w:rPr>
                <w:rFonts w:ascii="Arial" w:cs="Arial" w:eastAsia="Arial" w:hAnsi="Arial"/>
                <w:sz w:val="18"/>
                <w:szCs w:val="18"/>
                <w:color w:val="auto"/>
              </w:rPr>
              <w:t>understanding of complex technologies and experience driving innovation.</w:t>
            </w:r>
          </w:p>
        </w:tc>
        <w:tc>
          <w:tcPr>
            <w:tcW w:w="0" w:type="dxa"/>
            <w:vAlign w:val="bottom"/>
          </w:tcPr>
          <w:p>
            <w:pPr>
              <w:spacing w:after="0"/>
              <w:rPr>
                <w:sz w:val="1"/>
                <w:szCs w:val="1"/>
                <w:color w:val="auto"/>
              </w:rPr>
            </w:pPr>
          </w:p>
        </w:tc>
      </w:tr>
      <w:tr>
        <w:trPr>
          <w:trHeight w:val="324"/>
        </w:trPr>
        <w:tc>
          <w:tcPr>
            <w:tcW w:w="2620" w:type="dxa"/>
            <w:vAlign w:val="bottom"/>
            <w:tcBorders>
              <w:left w:val="single" w:sz="8" w:color="4C4C4C"/>
            </w:tcBorders>
            <w:shd w:val="clear" w:color="auto" w:fill="052B82"/>
          </w:tcPr>
          <w:p>
            <w:pPr>
              <w:spacing w:after="0"/>
              <w:rPr>
                <w:sz w:val="24"/>
                <w:szCs w:val="24"/>
                <w:color w:val="auto"/>
              </w:rPr>
            </w:pPr>
          </w:p>
        </w:tc>
        <w:tc>
          <w:tcPr>
            <w:tcW w:w="120" w:type="dxa"/>
            <w:vAlign w:val="bottom"/>
            <w:shd w:val="clear" w:color="auto" w:fill="E8EDF4"/>
          </w:tcPr>
          <w:p>
            <w:pPr>
              <w:spacing w:after="0"/>
              <w:rPr>
                <w:sz w:val="24"/>
                <w:szCs w:val="24"/>
                <w:color w:val="auto"/>
              </w:rPr>
            </w:pPr>
          </w:p>
        </w:tc>
        <w:tc>
          <w:tcPr>
            <w:tcW w:w="4060" w:type="dxa"/>
            <w:vAlign w:val="bottom"/>
            <w:shd w:val="clear" w:color="auto" w:fill="E8EDF4"/>
          </w:tcPr>
          <w:p>
            <w:pPr>
              <w:spacing w:after="0"/>
              <w:rPr>
                <w:sz w:val="20"/>
                <w:szCs w:val="20"/>
                <w:color w:val="auto"/>
              </w:rPr>
            </w:pPr>
            <w:r>
              <w:rPr>
                <w:rFonts w:ascii="Arial" w:cs="Arial" w:eastAsia="Arial" w:hAnsi="Arial"/>
                <w:sz w:val="18"/>
                <w:szCs w:val="18"/>
                <w:b w:val="1"/>
                <w:bCs w:val="1"/>
                <w:color w:val="auto"/>
              </w:rPr>
              <w:t>Other Public Company Boards</w:t>
            </w:r>
          </w:p>
        </w:tc>
        <w:tc>
          <w:tcPr>
            <w:tcW w:w="4240" w:type="dxa"/>
            <w:vAlign w:val="bottom"/>
            <w:tcBorders>
              <w:right w:val="single" w:sz="8" w:color="4C4C4C"/>
            </w:tcBorders>
            <w:shd w:val="clear" w:color="auto" w:fill="E8EDF4"/>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620" w:type="dxa"/>
            <w:vAlign w:val="bottom"/>
            <w:tcBorders>
              <w:left w:val="single" w:sz="8" w:color="4C4C4C"/>
            </w:tcBorders>
            <w:shd w:val="clear" w:color="auto" w:fill="052B82"/>
          </w:tcPr>
          <w:p>
            <w:pPr>
              <w:spacing w:after="0"/>
              <w:rPr>
                <w:sz w:val="24"/>
                <w:szCs w:val="24"/>
                <w:color w:val="auto"/>
              </w:rPr>
            </w:pPr>
          </w:p>
        </w:tc>
        <w:tc>
          <w:tcPr>
            <w:tcW w:w="120" w:type="dxa"/>
            <w:vAlign w:val="bottom"/>
            <w:shd w:val="clear" w:color="auto" w:fill="E8EDF4"/>
          </w:tcPr>
          <w:p>
            <w:pPr>
              <w:spacing w:after="0"/>
              <w:rPr>
                <w:sz w:val="24"/>
                <w:szCs w:val="24"/>
                <w:color w:val="auto"/>
              </w:rPr>
            </w:pPr>
          </w:p>
        </w:tc>
        <w:tc>
          <w:tcPr>
            <w:tcW w:w="4060" w:type="dxa"/>
            <w:vAlign w:val="bottom"/>
            <w:shd w:val="clear" w:color="auto" w:fill="E8EDF4"/>
          </w:tcPr>
          <w:p>
            <w:pPr>
              <w:spacing w:after="0"/>
              <w:rPr>
                <w:sz w:val="20"/>
                <w:szCs w:val="20"/>
                <w:color w:val="auto"/>
              </w:rPr>
            </w:pPr>
            <w:r>
              <w:rPr>
                <w:rFonts w:ascii="Arial" w:cs="Arial" w:eastAsia="Arial" w:hAnsi="Arial"/>
                <w:sz w:val="18"/>
                <w:szCs w:val="18"/>
                <w:b w:val="1"/>
                <w:bCs w:val="1"/>
                <w:color w:val="auto"/>
              </w:rPr>
              <w:t>Current</w:t>
            </w:r>
          </w:p>
        </w:tc>
        <w:tc>
          <w:tcPr>
            <w:tcW w:w="4240" w:type="dxa"/>
            <w:vAlign w:val="bottom"/>
            <w:tcBorders>
              <w:right w:val="single" w:sz="8" w:color="4C4C4C"/>
            </w:tcBorders>
            <w:shd w:val="clear" w:color="auto" w:fill="E8EDF4"/>
          </w:tcPr>
          <w:p>
            <w:pPr>
              <w:ind w:left="140"/>
              <w:spacing w:after="0"/>
              <w:rPr>
                <w:sz w:val="20"/>
                <w:szCs w:val="20"/>
                <w:color w:val="auto"/>
              </w:rPr>
            </w:pPr>
            <w:r>
              <w:rPr>
                <w:rFonts w:ascii="Arial" w:cs="Arial" w:eastAsia="Arial" w:hAnsi="Arial"/>
                <w:sz w:val="18"/>
                <w:szCs w:val="18"/>
                <w:b w:val="1"/>
                <w:bCs w:val="1"/>
                <w:color w:val="auto"/>
              </w:rPr>
              <w:t>Past 5 Years</w:t>
            </w:r>
          </w:p>
        </w:tc>
        <w:tc>
          <w:tcPr>
            <w:tcW w:w="0" w:type="dxa"/>
            <w:vAlign w:val="bottom"/>
          </w:tcPr>
          <w:p>
            <w:pPr>
              <w:spacing w:after="0"/>
              <w:rPr>
                <w:sz w:val="1"/>
                <w:szCs w:val="1"/>
                <w:color w:val="auto"/>
              </w:rPr>
            </w:pPr>
          </w:p>
        </w:tc>
      </w:tr>
      <w:tr>
        <w:trPr>
          <w:trHeight w:val="217"/>
        </w:trPr>
        <w:tc>
          <w:tcPr>
            <w:tcW w:w="2620" w:type="dxa"/>
            <w:vAlign w:val="bottom"/>
            <w:tcBorders>
              <w:left w:val="single" w:sz="8" w:color="4C4C4C"/>
            </w:tcBorders>
            <w:shd w:val="clear" w:color="auto" w:fill="052B82"/>
          </w:tcPr>
          <w:p>
            <w:pPr>
              <w:spacing w:after="0"/>
              <w:rPr>
                <w:sz w:val="18"/>
                <w:szCs w:val="18"/>
                <w:color w:val="auto"/>
              </w:rPr>
            </w:pPr>
          </w:p>
        </w:tc>
        <w:tc>
          <w:tcPr>
            <w:tcW w:w="120" w:type="dxa"/>
            <w:vAlign w:val="bottom"/>
            <w:shd w:val="clear" w:color="auto" w:fill="E8EDF4"/>
          </w:tcPr>
          <w:p>
            <w:pPr>
              <w:spacing w:after="0"/>
              <w:rPr>
                <w:sz w:val="18"/>
                <w:szCs w:val="18"/>
                <w:color w:val="auto"/>
              </w:rPr>
            </w:pPr>
          </w:p>
        </w:tc>
        <w:tc>
          <w:tcPr>
            <w:tcW w:w="4060" w:type="dxa"/>
            <w:vAlign w:val="bottom"/>
            <w:shd w:val="clear" w:color="auto" w:fill="E8EDF4"/>
          </w:tcPr>
          <w:p>
            <w:pPr>
              <w:spacing w:after="0"/>
              <w:rPr>
                <w:sz w:val="20"/>
                <w:szCs w:val="20"/>
                <w:color w:val="auto"/>
              </w:rPr>
            </w:pPr>
            <w:r>
              <w:rPr>
                <w:rFonts w:ascii="Arial" w:cs="Arial" w:eastAsia="Arial" w:hAnsi="Arial"/>
                <w:sz w:val="18"/>
                <w:szCs w:val="18"/>
                <w:color w:val="auto"/>
              </w:rPr>
              <w:t>None</w:t>
            </w:r>
          </w:p>
        </w:tc>
        <w:tc>
          <w:tcPr>
            <w:tcW w:w="4240" w:type="dxa"/>
            <w:vAlign w:val="bottom"/>
            <w:tcBorders>
              <w:right w:val="single" w:sz="8" w:color="4C4C4C"/>
            </w:tcBorders>
            <w:shd w:val="clear" w:color="auto" w:fill="E8EDF4"/>
          </w:tcPr>
          <w:p>
            <w:pPr>
              <w:ind w:left="14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68"/>
        </w:trPr>
        <w:tc>
          <w:tcPr>
            <w:tcW w:w="2620" w:type="dxa"/>
            <w:vAlign w:val="bottom"/>
            <w:tcBorders>
              <w:left w:val="single" w:sz="8" w:color="4C4C4C"/>
              <w:bottom w:val="single" w:sz="8" w:color="4C4C4C"/>
            </w:tcBorders>
            <w:shd w:val="clear" w:color="auto" w:fill="052B82"/>
          </w:tcPr>
          <w:p>
            <w:pPr>
              <w:spacing w:after="0"/>
              <w:rPr>
                <w:sz w:val="5"/>
                <w:szCs w:val="5"/>
                <w:color w:val="auto"/>
              </w:rPr>
            </w:pPr>
          </w:p>
        </w:tc>
        <w:tc>
          <w:tcPr>
            <w:tcW w:w="120" w:type="dxa"/>
            <w:vAlign w:val="bottom"/>
            <w:tcBorders>
              <w:bottom w:val="single" w:sz="8" w:color="4C4C4C"/>
            </w:tcBorders>
            <w:shd w:val="clear" w:color="auto" w:fill="E8EDF4"/>
          </w:tcPr>
          <w:p>
            <w:pPr>
              <w:spacing w:after="0"/>
              <w:rPr>
                <w:sz w:val="5"/>
                <w:szCs w:val="5"/>
                <w:color w:val="auto"/>
              </w:rPr>
            </w:pPr>
          </w:p>
        </w:tc>
        <w:tc>
          <w:tcPr>
            <w:tcW w:w="4060" w:type="dxa"/>
            <w:vAlign w:val="bottom"/>
            <w:tcBorders>
              <w:bottom w:val="single" w:sz="8" w:color="4C4C4C"/>
            </w:tcBorders>
            <w:shd w:val="clear" w:color="auto" w:fill="E8EDF4"/>
          </w:tcPr>
          <w:p>
            <w:pPr>
              <w:spacing w:after="0"/>
              <w:rPr>
                <w:sz w:val="5"/>
                <w:szCs w:val="5"/>
                <w:color w:val="auto"/>
              </w:rPr>
            </w:pPr>
          </w:p>
        </w:tc>
        <w:tc>
          <w:tcPr>
            <w:tcW w:w="4240" w:type="dxa"/>
            <w:vAlign w:val="bottom"/>
            <w:tcBorders>
              <w:bottom w:val="single" w:sz="8" w:color="4C4C4C"/>
              <w:right w:val="single" w:sz="8" w:color="4C4C4C"/>
            </w:tcBorders>
            <w:shd w:val="clear" w:color="auto" w:fill="E8EDF4"/>
          </w:tcPr>
          <w:p>
            <w:pPr>
              <w:spacing w:after="0"/>
              <w:rPr>
                <w:sz w:val="5"/>
                <w:szCs w:val="5"/>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200"/>
        <w:spacing w:after="0"/>
        <w:tabs>
          <w:tab w:leader="none" w:pos="580" w:val="left"/>
        </w:tabs>
        <w:rPr>
          <w:sz w:val="20"/>
          <w:szCs w:val="20"/>
          <w:color w:val="auto"/>
        </w:rPr>
      </w:pPr>
      <w:r>
        <w:rPr>
          <w:rFonts w:ascii="Arial" w:cs="Arial" w:eastAsia="Arial" w:hAnsi="Arial"/>
          <w:sz w:val="18"/>
          <w:szCs w:val="18"/>
          <w:color w:val="999999"/>
        </w:rPr>
        <w:t>20</w:t>
      </w:r>
      <w:r>
        <w:rPr>
          <w:sz w:val="20"/>
          <w:szCs w:val="20"/>
          <w:color w:val="auto"/>
        </w:rPr>
        <w:tab/>
      </w:r>
      <w:r>
        <w:rPr>
          <w:rFonts w:ascii="Arial" w:cs="Arial" w:eastAsia="Arial" w:hAnsi="Arial"/>
          <w:sz w:val="14"/>
          <w:szCs w:val="14"/>
          <w:b w:val="1"/>
          <w:bCs w:val="1"/>
          <w:color w:val="052B82"/>
        </w:rPr>
        <w:t>Analog Devices, Inc.</w:t>
      </w:r>
    </w:p>
    <w:p>
      <w:pPr>
        <w:sectPr>
          <w:pgSz w:w="11900" w:h="16838" w:orient="portrait"/>
          <w:cols w:equalWidth="0" w:num="1">
            <w:col w:w="11240"/>
          </w:cols>
          <w:pgMar w:left="240" w:top="459" w:right="4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205740</wp:posOffset>
            </wp:positionV>
            <wp:extent cx="2649855"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230" w:type="dxa"/>
        <w:tblCellMar>
          <w:top w:w="0" w:type="dxa"/>
          <w:left w:w="0" w:type="dxa"/>
          <w:bottom w:w="0" w:type="dxa"/>
          <w:right w:w="0" w:type="dxa"/>
        </w:tblCellMar>
      </w:tblPr>
      <w:tr>
        <w:trPr>
          <w:trHeight w:val="283"/>
        </w:trPr>
        <w:tc>
          <w:tcPr>
            <w:tcW w:w="2580" w:type="dxa"/>
            <w:vAlign w:val="bottom"/>
            <w:tcBorders>
              <w:top w:val="single" w:sz="8" w:color="4C4C4C"/>
              <w:left w:val="single" w:sz="8" w:color="4C4C4C"/>
            </w:tcBorders>
            <w:shd w:val="clear" w:color="auto" w:fill="052B82"/>
          </w:tcPr>
          <w:p>
            <w:pPr>
              <w:ind w:left="200"/>
              <w:spacing w:after="0"/>
              <w:rPr>
                <w:sz w:val="20"/>
                <w:szCs w:val="20"/>
                <w:color w:val="auto"/>
              </w:rPr>
            </w:pPr>
            <w:r>
              <w:rPr>
                <w:rFonts w:ascii="Arial" w:cs="Arial" w:eastAsia="Arial" w:hAnsi="Arial"/>
                <w:sz w:val="22"/>
                <w:szCs w:val="22"/>
                <w:b w:val="1"/>
                <w:bCs w:val="1"/>
                <w:color w:val="FFFFFF"/>
              </w:rPr>
              <w:t>Bruce R. Evans</w:t>
            </w:r>
          </w:p>
        </w:tc>
        <w:tc>
          <w:tcPr>
            <w:tcW w:w="100" w:type="dxa"/>
            <w:vAlign w:val="bottom"/>
            <w:tcBorders>
              <w:top w:val="single" w:sz="8" w:color="4C4C4C"/>
            </w:tcBorders>
            <w:shd w:val="clear" w:color="auto" w:fill="E8EDF4"/>
          </w:tcPr>
          <w:p>
            <w:pPr>
              <w:spacing w:after="0"/>
              <w:rPr>
                <w:sz w:val="24"/>
                <w:szCs w:val="24"/>
                <w:color w:val="auto"/>
              </w:rPr>
            </w:pPr>
          </w:p>
        </w:tc>
        <w:tc>
          <w:tcPr>
            <w:tcW w:w="4040" w:type="dxa"/>
            <w:vAlign w:val="bottom"/>
            <w:tcBorders>
              <w:top w:val="single" w:sz="8" w:color="4C4C4C"/>
            </w:tcBorders>
            <w:shd w:val="clear" w:color="auto" w:fill="E8EDF4"/>
          </w:tcPr>
          <w:p>
            <w:pPr>
              <w:spacing w:after="0"/>
              <w:rPr>
                <w:sz w:val="20"/>
                <w:szCs w:val="20"/>
                <w:color w:val="auto"/>
              </w:rPr>
            </w:pPr>
            <w:r>
              <w:rPr>
                <w:rFonts w:ascii="Arial" w:cs="Arial" w:eastAsia="Arial" w:hAnsi="Arial"/>
                <w:sz w:val="18"/>
                <w:szCs w:val="18"/>
                <w:b w:val="1"/>
                <w:bCs w:val="1"/>
                <w:color w:val="auto"/>
              </w:rPr>
              <w:t>Professional Experience and Background</w:t>
            </w:r>
          </w:p>
        </w:tc>
        <w:tc>
          <w:tcPr>
            <w:tcW w:w="4320" w:type="dxa"/>
            <w:vAlign w:val="bottom"/>
            <w:tcBorders>
              <w:top w:val="single" w:sz="8" w:color="4C4C4C"/>
              <w:right w:val="single" w:sz="8" w:color="4C4C4C"/>
            </w:tcBorders>
            <w:shd w:val="clear" w:color="auto" w:fill="E8EDF4"/>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580" w:type="dxa"/>
            <w:vAlign w:val="bottom"/>
            <w:tcBorders>
              <w:left w:val="single" w:sz="8" w:color="4C4C4C"/>
            </w:tcBorders>
            <w:vMerge w:val="restart"/>
            <w:shd w:val="clear" w:color="auto" w:fill="052B82"/>
          </w:tcPr>
          <w:p>
            <w:pPr>
              <w:ind w:left="200"/>
              <w:spacing w:after="0"/>
              <w:rPr>
                <w:sz w:val="20"/>
                <w:szCs w:val="20"/>
                <w:color w:val="auto"/>
              </w:rPr>
            </w:pPr>
            <w:r>
              <w:rPr>
                <w:rFonts w:ascii="Arial" w:cs="Arial" w:eastAsia="Arial" w:hAnsi="Arial"/>
                <w:sz w:val="18"/>
                <w:szCs w:val="18"/>
                <w:b w:val="1"/>
                <w:bCs w:val="1"/>
                <w:color w:val="FFFFFF"/>
              </w:rPr>
              <w:t>Independent</w:t>
            </w:r>
          </w:p>
        </w:tc>
        <w:tc>
          <w:tcPr>
            <w:tcW w:w="100" w:type="dxa"/>
            <w:vAlign w:val="bottom"/>
            <w:shd w:val="clear" w:color="auto" w:fill="E8EDF4"/>
          </w:tcPr>
          <w:p>
            <w:pPr>
              <w:spacing w:after="0"/>
              <w:rPr>
                <w:sz w:val="17"/>
                <w:szCs w:val="17"/>
                <w:color w:val="auto"/>
              </w:rPr>
            </w:pPr>
          </w:p>
        </w:tc>
        <w:tc>
          <w:tcPr>
            <w:tcW w:w="8360" w:type="dxa"/>
            <w:vAlign w:val="bottom"/>
            <w:tcBorders>
              <w:right w:val="single" w:sz="8" w:color="4C4C4C"/>
            </w:tcBorders>
            <w:gridSpan w:val="2"/>
            <w:shd w:val="clear" w:color="auto" w:fill="E8EDF4"/>
          </w:tcPr>
          <w:p>
            <w:pPr>
              <w:spacing w:after="0" w:line="202" w:lineRule="exact"/>
              <w:rPr>
                <w:sz w:val="20"/>
                <w:szCs w:val="20"/>
                <w:color w:val="auto"/>
              </w:rPr>
            </w:pPr>
            <w:r>
              <w:rPr>
                <w:rFonts w:ascii="Arial" w:cs="Arial" w:eastAsia="Arial" w:hAnsi="Arial"/>
                <w:sz w:val="18"/>
                <w:szCs w:val="18"/>
                <w:color w:val="auto"/>
              </w:rPr>
              <w:t>Mr. Evans has served in various positions with Summit Partners, a growth equity, venture capital and</w:t>
            </w:r>
          </w:p>
        </w:tc>
        <w:tc>
          <w:tcPr>
            <w:tcW w:w="0" w:type="dxa"/>
            <w:vAlign w:val="bottom"/>
          </w:tcPr>
          <w:p>
            <w:pPr>
              <w:spacing w:after="0"/>
              <w:rPr>
                <w:sz w:val="1"/>
                <w:szCs w:val="1"/>
                <w:color w:val="auto"/>
              </w:rPr>
            </w:pPr>
          </w:p>
        </w:tc>
      </w:tr>
      <w:tr>
        <w:trPr>
          <w:trHeight w:val="113"/>
        </w:trPr>
        <w:tc>
          <w:tcPr>
            <w:tcW w:w="2580" w:type="dxa"/>
            <w:vAlign w:val="bottom"/>
            <w:tcBorders>
              <w:left w:val="single" w:sz="8" w:color="4C4C4C"/>
            </w:tcBorders>
            <w:vMerge w:val="continue"/>
            <w:shd w:val="clear" w:color="auto" w:fill="052B82"/>
          </w:tcPr>
          <w:p>
            <w:pPr>
              <w:spacing w:after="0"/>
              <w:rPr>
                <w:sz w:val="9"/>
                <w:szCs w:val="9"/>
                <w:color w:val="auto"/>
              </w:rPr>
            </w:pPr>
          </w:p>
        </w:tc>
        <w:tc>
          <w:tcPr>
            <w:tcW w:w="100" w:type="dxa"/>
            <w:vAlign w:val="bottom"/>
            <w:shd w:val="clear" w:color="auto" w:fill="E8EDF4"/>
          </w:tcPr>
          <w:p>
            <w:pPr>
              <w:spacing w:after="0"/>
              <w:rPr>
                <w:sz w:val="9"/>
                <w:szCs w:val="9"/>
                <w:color w:val="auto"/>
              </w:rPr>
            </w:pPr>
          </w:p>
        </w:tc>
        <w:tc>
          <w:tcPr>
            <w:tcW w:w="8360" w:type="dxa"/>
            <w:vAlign w:val="bottom"/>
            <w:tcBorders>
              <w:right w:val="single" w:sz="8" w:color="4C4C4C"/>
            </w:tcBorders>
            <w:gridSpan w:val="2"/>
            <w:vMerge w:val="restart"/>
            <w:shd w:val="clear" w:color="auto" w:fill="E8EDF4"/>
          </w:tcPr>
          <w:p>
            <w:pPr>
              <w:spacing w:after="0" w:line="202" w:lineRule="exact"/>
              <w:rPr>
                <w:sz w:val="20"/>
                <w:szCs w:val="20"/>
                <w:color w:val="auto"/>
              </w:rPr>
            </w:pPr>
            <w:r>
              <w:rPr>
                <w:rFonts w:ascii="Arial" w:cs="Arial" w:eastAsia="Arial" w:hAnsi="Arial"/>
                <w:sz w:val="18"/>
                <w:szCs w:val="18"/>
                <w:color w:val="auto"/>
              </w:rPr>
              <w:t>credit investment firm, since 1986, including most recently as Senior Advisor to the firm. From January</w:t>
            </w:r>
          </w:p>
        </w:tc>
        <w:tc>
          <w:tcPr>
            <w:tcW w:w="0" w:type="dxa"/>
            <w:vAlign w:val="bottom"/>
          </w:tcPr>
          <w:p>
            <w:pPr>
              <w:spacing w:after="0"/>
              <w:rPr>
                <w:sz w:val="1"/>
                <w:szCs w:val="1"/>
                <w:color w:val="auto"/>
              </w:rPr>
            </w:pPr>
          </w:p>
        </w:tc>
      </w:tr>
      <w:tr>
        <w:trPr>
          <w:trHeight w:val="90"/>
        </w:trPr>
        <w:tc>
          <w:tcPr>
            <w:tcW w:w="2580" w:type="dxa"/>
            <w:vAlign w:val="bottom"/>
            <w:tcBorders>
              <w:left w:val="single" w:sz="8" w:color="4C4C4C"/>
            </w:tcBorders>
            <w:vMerge w:val="restart"/>
            <w:shd w:val="clear" w:color="auto" w:fill="052B82"/>
          </w:tcPr>
          <w:p>
            <w:pPr>
              <w:ind w:left="200"/>
              <w:spacing w:after="0"/>
              <w:rPr>
                <w:sz w:val="20"/>
                <w:szCs w:val="20"/>
                <w:color w:val="auto"/>
              </w:rPr>
            </w:pPr>
            <w:r>
              <w:rPr>
                <w:rFonts w:ascii="Arial" w:cs="Arial" w:eastAsia="Arial" w:hAnsi="Arial"/>
                <w:sz w:val="18"/>
                <w:szCs w:val="18"/>
                <w:b w:val="1"/>
                <w:bCs w:val="1"/>
                <w:color w:val="FFFFFF"/>
              </w:rPr>
              <w:t>Director since: 2015</w:t>
            </w:r>
          </w:p>
        </w:tc>
        <w:tc>
          <w:tcPr>
            <w:tcW w:w="100" w:type="dxa"/>
            <w:vAlign w:val="bottom"/>
            <w:shd w:val="clear" w:color="auto" w:fill="E8EDF4"/>
          </w:tcPr>
          <w:p>
            <w:pPr>
              <w:spacing w:after="0"/>
              <w:rPr>
                <w:sz w:val="7"/>
                <w:szCs w:val="7"/>
                <w:color w:val="auto"/>
              </w:rPr>
            </w:pPr>
          </w:p>
        </w:tc>
        <w:tc>
          <w:tcPr>
            <w:tcW w:w="8360" w:type="dxa"/>
            <w:vAlign w:val="bottom"/>
            <w:tcBorders>
              <w:right w:val="single" w:sz="8" w:color="4C4C4C"/>
            </w:tcBorders>
            <w:gridSpan w:val="2"/>
            <w:vMerge w:val="continue"/>
            <w:shd w:val="clear" w:color="auto" w:fill="E8EDF4"/>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580" w:type="dxa"/>
            <w:vAlign w:val="bottom"/>
            <w:tcBorders>
              <w:left w:val="single" w:sz="8" w:color="4C4C4C"/>
            </w:tcBorders>
            <w:vMerge w:val="continue"/>
            <w:shd w:val="clear" w:color="auto" w:fill="052B82"/>
          </w:tcPr>
          <w:p>
            <w:pPr>
              <w:spacing w:after="0"/>
              <w:rPr>
                <w:sz w:val="12"/>
                <w:szCs w:val="12"/>
                <w:color w:val="auto"/>
              </w:rPr>
            </w:pPr>
          </w:p>
        </w:tc>
        <w:tc>
          <w:tcPr>
            <w:tcW w:w="100" w:type="dxa"/>
            <w:vAlign w:val="bottom"/>
            <w:shd w:val="clear" w:color="auto" w:fill="E8EDF4"/>
          </w:tcPr>
          <w:p>
            <w:pPr>
              <w:spacing w:after="0"/>
              <w:rPr>
                <w:sz w:val="12"/>
                <w:szCs w:val="12"/>
                <w:color w:val="auto"/>
              </w:rPr>
            </w:pPr>
          </w:p>
        </w:tc>
        <w:tc>
          <w:tcPr>
            <w:tcW w:w="8360" w:type="dxa"/>
            <w:vAlign w:val="bottom"/>
            <w:tcBorders>
              <w:right w:val="single" w:sz="8" w:color="4C4C4C"/>
            </w:tcBorders>
            <w:gridSpan w:val="2"/>
            <w:vMerge w:val="restart"/>
            <w:shd w:val="clear" w:color="auto" w:fill="E8EDF4"/>
          </w:tcPr>
          <w:p>
            <w:pPr>
              <w:spacing w:after="0" w:line="202" w:lineRule="exact"/>
              <w:rPr>
                <w:sz w:val="20"/>
                <w:szCs w:val="20"/>
                <w:color w:val="auto"/>
              </w:rPr>
            </w:pPr>
            <w:r>
              <w:rPr>
                <w:rFonts w:ascii="Arial" w:cs="Arial" w:eastAsia="Arial" w:hAnsi="Arial"/>
                <w:sz w:val="18"/>
                <w:szCs w:val="18"/>
                <w:color w:val="auto"/>
              </w:rPr>
              <w:t>2018 to March 2019, he served as Chairman of Summit Partners’ Board and Senior Advisor to the firm.</w:t>
            </w:r>
          </w:p>
        </w:tc>
        <w:tc>
          <w:tcPr>
            <w:tcW w:w="0" w:type="dxa"/>
            <w:vAlign w:val="bottom"/>
          </w:tcPr>
          <w:p>
            <w:pPr>
              <w:spacing w:after="0"/>
              <w:rPr>
                <w:sz w:val="1"/>
                <w:szCs w:val="1"/>
                <w:color w:val="auto"/>
              </w:rPr>
            </w:pPr>
          </w:p>
        </w:tc>
      </w:tr>
      <w:tr>
        <w:trPr>
          <w:trHeight w:val="53"/>
        </w:trPr>
        <w:tc>
          <w:tcPr>
            <w:tcW w:w="2580" w:type="dxa"/>
            <w:vAlign w:val="bottom"/>
            <w:tcBorders>
              <w:left w:val="single" w:sz="8" w:color="4C4C4C"/>
            </w:tcBorders>
            <w:shd w:val="clear" w:color="auto" w:fill="052B82"/>
          </w:tcPr>
          <w:p>
            <w:pPr>
              <w:spacing w:after="0"/>
              <w:rPr>
                <w:sz w:val="4"/>
                <w:szCs w:val="4"/>
                <w:color w:val="auto"/>
              </w:rPr>
            </w:pPr>
          </w:p>
        </w:tc>
        <w:tc>
          <w:tcPr>
            <w:tcW w:w="100" w:type="dxa"/>
            <w:vAlign w:val="bottom"/>
            <w:shd w:val="clear" w:color="auto" w:fill="E8EDF4"/>
          </w:tcPr>
          <w:p>
            <w:pPr>
              <w:spacing w:after="0"/>
              <w:rPr>
                <w:sz w:val="4"/>
                <w:szCs w:val="4"/>
                <w:color w:val="auto"/>
              </w:rPr>
            </w:pPr>
          </w:p>
        </w:tc>
        <w:tc>
          <w:tcPr>
            <w:tcW w:w="8360" w:type="dxa"/>
            <w:vAlign w:val="bottom"/>
            <w:tcBorders>
              <w:right w:val="single" w:sz="8" w:color="4C4C4C"/>
            </w:tcBorders>
            <w:gridSpan w:val="2"/>
            <w:vMerge w:val="continue"/>
            <w:shd w:val="clear" w:color="auto" w:fill="E8EDF4"/>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580" w:type="dxa"/>
            <w:vAlign w:val="bottom"/>
            <w:tcBorders>
              <w:left w:val="single" w:sz="8" w:color="4C4C4C"/>
            </w:tcBorders>
            <w:vMerge w:val="restart"/>
            <w:shd w:val="clear" w:color="auto" w:fill="052B82"/>
          </w:tcPr>
          <w:p>
            <w:pPr>
              <w:ind w:left="200"/>
              <w:spacing w:after="0"/>
              <w:rPr>
                <w:sz w:val="20"/>
                <w:szCs w:val="20"/>
                <w:color w:val="auto"/>
              </w:rPr>
            </w:pPr>
            <w:r>
              <w:rPr>
                <w:rFonts w:ascii="Arial" w:cs="Arial" w:eastAsia="Arial" w:hAnsi="Arial"/>
                <w:sz w:val="18"/>
                <w:szCs w:val="18"/>
                <w:b w:val="1"/>
                <w:bCs w:val="1"/>
                <w:color w:val="FFFFFF"/>
              </w:rPr>
              <w:t>Age: 60</w:t>
            </w:r>
          </w:p>
        </w:tc>
        <w:tc>
          <w:tcPr>
            <w:tcW w:w="100" w:type="dxa"/>
            <w:vAlign w:val="bottom"/>
            <w:shd w:val="clear" w:color="auto" w:fill="E8EDF4"/>
          </w:tcPr>
          <w:p>
            <w:pPr>
              <w:spacing w:after="0"/>
              <w:rPr>
                <w:sz w:val="17"/>
                <w:szCs w:val="17"/>
                <w:color w:val="auto"/>
              </w:rPr>
            </w:pPr>
          </w:p>
        </w:tc>
        <w:tc>
          <w:tcPr>
            <w:tcW w:w="8360" w:type="dxa"/>
            <w:vAlign w:val="bottom"/>
            <w:tcBorders>
              <w:right w:val="single" w:sz="8" w:color="4C4C4C"/>
            </w:tcBorders>
            <w:gridSpan w:val="2"/>
            <w:shd w:val="clear" w:color="auto" w:fill="E8EDF4"/>
          </w:tcPr>
          <w:p>
            <w:pPr>
              <w:spacing w:after="0" w:line="202" w:lineRule="exact"/>
              <w:rPr>
                <w:sz w:val="20"/>
                <w:szCs w:val="20"/>
                <w:color w:val="auto"/>
              </w:rPr>
            </w:pPr>
            <w:r>
              <w:rPr>
                <w:rFonts w:ascii="Arial" w:cs="Arial" w:eastAsia="Arial" w:hAnsi="Arial"/>
                <w:sz w:val="18"/>
                <w:szCs w:val="18"/>
                <w:color w:val="auto"/>
              </w:rPr>
              <w:t>From 2011 to December 2017, he served as Managing Director and Chairman of Summit Partners’</w:t>
            </w:r>
          </w:p>
        </w:tc>
        <w:tc>
          <w:tcPr>
            <w:tcW w:w="0" w:type="dxa"/>
            <w:vAlign w:val="bottom"/>
          </w:tcPr>
          <w:p>
            <w:pPr>
              <w:spacing w:after="0"/>
              <w:rPr>
                <w:sz w:val="1"/>
                <w:szCs w:val="1"/>
                <w:color w:val="auto"/>
              </w:rPr>
            </w:pPr>
          </w:p>
        </w:tc>
      </w:tr>
      <w:tr>
        <w:trPr>
          <w:trHeight w:val="109"/>
        </w:trPr>
        <w:tc>
          <w:tcPr>
            <w:tcW w:w="2580" w:type="dxa"/>
            <w:vAlign w:val="bottom"/>
            <w:tcBorders>
              <w:left w:val="single" w:sz="8" w:color="4C4C4C"/>
            </w:tcBorders>
            <w:vMerge w:val="continue"/>
            <w:shd w:val="clear" w:color="auto" w:fill="052B82"/>
          </w:tcPr>
          <w:p>
            <w:pPr>
              <w:spacing w:after="0"/>
              <w:rPr>
                <w:sz w:val="9"/>
                <w:szCs w:val="9"/>
                <w:color w:val="auto"/>
              </w:rPr>
            </w:pPr>
          </w:p>
        </w:tc>
        <w:tc>
          <w:tcPr>
            <w:tcW w:w="100" w:type="dxa"/>
            <w:vAlign w:val="bottom"/>
            <w:shd w:val="clear" w:color="auto" w:fill="E8EDF4"/>
          </w:tcPr>
          <w:p>
            <w:pPr>
              <w:spacing w:after="0"/>
              <w:rPr>
                <w:sz w:val="9"/>
                <w:szCs w:val="9"/>
                <w:color w:val="auto"/>
              </w:rPr>
            </w:pPr>
          </w:p>
        </w:tc>
        <w:tc>
          <w:tcPr>
            <w:tcW w:w="8360" w:type="dxa"/>
            <w:vAlign w:val="bottom"/>
            <w:tcBorders>
              <w:right w:val="single" w:sz="8" w:color="4C4C4C"/>
            </w:tcBorders>
            <w:gridSpan w:val="2"/>
            <w:vMerge w:val="restart"/>
            <w:shd w:val="clear" w:color="auto" w:fill="E8EDF4"/>
          </w:tcPr>
          <w:p>
            <w:pPr>
              <w:spacing w:after="0" w:line="202" w:lineRule="exact"/>
              <w:rPr>
                <w:sz w:val="20"/>
                <w:szCs w:val="20"/>
                <w:color w:val="auto"/>
              </w:rPr>
            </w:pPr>
            <w:r>
              <w:rPr>
                <w:rFonts w:ascii="Arial" w:cs="Arial" w:eastAsia="Arial" w:hAnsi="Arial"/>
                <w:sz w:val="18"/>
                <w:szCs w:val="18"/>
                <w:color w:val="auto"/>
              </w:rPr>
              <w:t>Board. From 1999 to 2011, he was one of Summit Partners’ Co-Managing Partners. During his 32 years</w:t>
            </w:r>
          </w:p>
        </w:tc>
        <w:tc>
          <w:tcPr>
            <w:tcW w:w="0" w:type="dxa"/>
            <w:vAlign w:val="bottom"/>
          </w:tcPr>
          <w:p>
            <w:pPr>
              <w:spacing w:after="0"/>
              <w:rPr>
                <w:sz w:val="1"/>
                <w:szCs w:val="1"/>
                <w:color w:val="auto"/>
              </w:rPr>
            </w:pPr>
          </w:p>
        </w:tc>
      </w:tr>
      <w:tr>
        <w:trPr>
          <w:trHeight w:val="94"/>
        </w:trPr>
        <w:tc>
          <w:tcPr>
            <w:tcW w:w="2580" w:type="dxa"/>
            <w:vAlign w:val="bottom"/>
            <w:tcBorders>
              <w:left w:val="single" w:sz="8" w:color="4C4C4C"/>
            </w:tcBorders>
            <w:shd w:val="clear" w:color="auto" w:fill="052B82"/>
          </w:tcPr>
          <w:p>
            <w:pPr>
              <w:spacing w:after="0"/>
              <w:rPr>
                <w:sz w:val="8"/>
                <w:szCs w:val="8"/>
                <w:color w:val="auto"/>
              </w:rPr>
            </w:pPr>
          </w:p>
        </w:tc>
        <w:tc>
          <w:tcPr>
            <w:tcW w:w="100" w:type="dxa"/>
            <w:vAlign w:val="bottom"/>
            <w:shd w:val="clear" w:color="auto" w:fill="E8EDF4"/>
          </w:tcPr>
          <w:p>
            <w:pPr>
              <w:spacing w:after="0"/>
              <w:rPr>
                <w:sz w:val="8"/>
                <w:szCs w:val="8"/>
                <w:color w:val="auto"/>
              </w:rPr>
            </w:pPr>
          </w:p>
        </w:tc>
        <w:tc>
          <w:tcPr>
            <w:tcW w:w="8360" w:type="dxa"/>
            <w:vAlign w:val="bottom"/>
            <w:tcBorders>
              <w:right w:val="single" w:sz="8" w:color="4C4C4C"/>
            </w:tcBorders>
            <w:gridSpan w:val="2"/>
            <w:vMerge w:val="continue"/>
            <w:shd w:val="clear" w:color="auto" w:fill="E8EDF4"/>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580" w:type="dxa"/>
            <w:vAlign w:val="bottom"/>
            <w:tcBorders>
              <w:left w:val="single" w:sz="8" w:color="4C4C4C"/>
            </w:tcBorders>
            <w:shd w:val="clear" w:color="auto" w:fill="052B82"/>
          </w:tcPr>
          <w:p>
            <w:pPr>
              <w:ind w:left="200"/>
              <w:spacing w:after="0"/>
              <w:rPr>
                <w:sz w:val="20"/>
                <w:szCs w:val="20"/>
                <w:color w:val="auto"/>
              </w:rPr>
            </w:pPr>
            <w:r>
              <w:rPr>
                <w:rFonts w:ascii="Arial" w:cs="Arial" w:eastAsia="Arial" w:hAnsi="Arial"/>
                <w:sz w:val="18"/>
                <w:szCs w:val="18"/>
                <w:b w:val="1"/>
                <w:bCs w:val="1"/>
                <w:color w:val="FFFFFF"/>
              </w:rPr>
              <w:t>Committee(s):</w:t>
            </w:r>
          </w:p>
        </w:tc>
        <w:tc>
          <w:tcPr>
            <w:tcW w:w="100" w:type="dxa"/>
            <w:vAlign w:val="bottom"/>
            <w:shd w:val="clear" w:color="auto" w:fill="E8EDF4"/>
          </w:tcPr>
          <w:p>
            <w:pPr>
              <w:spacing w:after="0"/>
              <w:rPr>
                <w:sz w:val="18"/>
                <w:szCs w:val="18"/>
                <w:color w:val="auto"/>
              </w:rPr>
            </w:pPr>
          </w:p>
        </w:tc>
        <w:tc>
          <w:tcPr>
            <w:tcW w:w="8360" w:type="dxa"/>
            <w:vAlign w:val="bottom"/>
            <w:tcBorders>
              <w:right w:val="single" w:sz="8" w:color="4C4C4C"/>
            </w:tcBorders>
            <w:gridSpan w:val="2"/>
            <w:shd w:val="clear" w:color="auto" w:fill="E8EDF4"/>
          </w:tcPr>
          <w:p>
            <w:pPr>
              <w:spacing w:after="0"/>
              <w:rPr>
                <w:sz w:val="20"/>
                <w:szCs w:val="20"/>
                <w:color w:val="auto"/>
              </w:rPr>
            </w:pPr>
            <w:r>
              <w:rPr>
                <w:rFonts w:ascii="Arial" w:cs="Arial" w:eastAsia="Arial" w:hAnsi="Arial"/>
                <w:sz w:val="18"/>
                <w:szCs w:val="18"/>
                <w:color w:val="auto"/>
              </w:rPr>
              <w:t>with Summit Partners, Mr. Evans has served as a member of the boards of directors of over 30</w:t>
            </w:r>
          </w:p>
        </w:tc>
        <w:tc>
          <w:tcPr>
            <w:tcW w:w="0" w:type="dxa"/>
            <w:vAlign w:val="bottom"/>
          </w:tcPr>
          <w:p>
            <w:pPr>
              <w:spacing w:after="0"/>
              <w:rPr>
                <w:sz w:val="1"/>
                <w:szCs w:val="1"/>
                <w:color w:val="auto"/>
              </w:rPr>
            </w:pPr>
          </w:p>
        </w:tc>
      </w:tr>
      <w:tr>
        <w:trPr>
          <w:trHeight w:val="188"/>
        </w:trPr>
        <w:tc>
          <w:tcPr>
            <w:tcW w:w="2580" w:type="dxa"/>
            <w:vAlign w:val="bottom"/>
            <w:tcBorders>
              <w:left w:val="single" w:sz="8" w:color="4C4C4C"/>
            </w:tcBorders>
            <w:shd w:val="clear" w:color="auto" w:fill="052B82"/>
          </w:tcPr>
          <w:p>
            <w:pPr>
              <w:ind w:left="200"/>
              <w:spacing w:after="0" w:line="189" w:lineRule="exact"/>
              <w:rPr>
                <w:sz w:val="20"/>
                <w:szCs w:val="20"/>
                <w:color w:val="auto"/>
              </w:rPr>
            </w:pPr>
            <w:r>
              <w:rPr>
                <w:rFonts w:ascii="Arial" w:cs="Arial" w:eastAsia="Arial" w:hAnsi="Arial"/>
                <w:sz w:val="18"/>
                <w:szCs w:val="18"/>
                <w:color w:val="FFFFFF"/>
              </w:rPr>
              <w:t>Audit</w:t>
            </w:r>
          </w:p>
        </w:tc>
        <w:tc>
          <w:tcPr>
            <w:tcW w:w="100" w:type="dxa"/>
            <w:vAlign w:val="bottom"/>
            <w:shd w:val="clear" w:color="auto" w:fill="E8EDF4"/>
          </w:tcPr>
          <w:p>
            <w:pPr>
              <w:spacing w:after="0"/>
              <w:rPr>
                <w:sz w:val="16"/>
                <w:szCs w:val="16"/>
                <w:color w:val="auto"/>
              </w:rPr>
            </w:pPr>
          </w:p>
        </w:tc>
        <w:tc>
          <w:tcPr>
            <w:tcW w:w="8360" w:type="dxa"/>
            <w:vAlign w:val="bottom"/>
            <w:tcBorders>
              <w:right w:val="single" w:sz="8" w:color="4C4C4C"/>
            </w:tcBorders>
            <w:gridSpan w:val="2"/>
            <w:shd w:val="clear" w:color="auto" w:fill="E8EDF4"/>
          </w:tcPr>
          <w:p>
            <w:pPr>
              <w:spacing w:after="0" w:line="189" w:lineRule="exact"/>
              <w:rPr>
                <w:sz w:val="20"/>
                <w:szCs w:val="20"/>
                <w:color w:val="auto"/>
              </w:rPr>
            </w:pPr>
            <w:r>
              <w:rPr>
                <w:rFonts w:ascii="Arial" w:cs="Arial" w:eastAsia="Arial" w:hAnsi="Arial"/>
                <w:sz w:val="18"/>
                <w:szCs w:val="18"/>
                <w:color w:val="auto"/>
              </w:rPr>
              <w:t>technology and other growth industry companies in the U.S. and Europe, including 14 public companies.</w:t>
            </w:r>
          </w:p>
        </w:tc>
        <w:tc>
          <w:tcPr>
            <w:tcW w:w="0" w:type="dxa"/>
            <w:vAlign w:val="bottom"/>
          </w:tcPr>
          <w:p>
            <w:pPr>
              <w:spacing w:after="0"/>
              <w:rPr>
                <w:sz w:val="1"/>
                <w:szCs w:val="1"/>
                <w:color w:val="auto"/>
              </w:rPr>
            </w:pPr>
          </w:p>
        </w:tc>
      </w:tr>
      <w:tr>
        <w:trPr>
          <w:trHeight w:val="203"/>
        </w:trPr>
        <w:tc>
          <w:tcPr>
            <w:tcW w:w="2580" w:type="dxa"/>
            <w:vAlign w:val="bottom"/>
            <w:tcBorders>
              <w:left w:val="single" w:sz="8" w:color="4C4C4C"/>
            </w:tcBorders>
            <w:shd w:val="clear" w:color="auto" w:fill="052B82"/>
          </w:tcPr>
          <w:p>
            <w:pPr>
              <w:spacing w:after="0"/>
              <w:rPr>
                <w:sz w:val="17"/>
                <w:szCs w:val="17"/>
                <w:color w:val="auto"/>
              </w:rPr>
            </w:pPr>
          </w:p>
        </w:tc>
        <w:tc>
          <w:tcPr>
            <w:tcW w:w="100" w:type="dxa"/>
            <w:vAlign w:val="bottom"/>
            <w:shd w:val="clear" w:color="auto" w:fill="E8EDF4"/>
          </w:tcPr>
          <w:p>
            <w:pPr>
              <w:spacing w:after="0"/>
              <w:rPr>
                <w:sz w:val="17"/>
                <w:szCs w:val="17"/>
                <w:color w:val="auto"/>
              </w:rPr>
            </w:pPr>
          </w:p>
        </w:tc>
        <w:tc>
          <w:tcPr>
            <w:tcW w:w="8360" w:type="dxa"/>
            <w:vAlign w:val="bottom"/>
            <w:tcBorders>
              <w:right w:val="single" w:sz="8" w:color="4C4C4C"/>
            </w:tcBorders>
            <w:gridSpan w:val="2"/>
            <w:shd w:val="clear" w:color="auto" w:fill="E8EDF4"/>
          </w:tcPr>
          <w:p>
            <w:pPr>
              <w:spacing w:after="0" w:line="202" w:lineRule="exact"/>
              <w:rPr>
                <w:sz w:val="20"/>
                <w:szCs w:val="20"/>
                <w:color w:val="auto"/>
              </w:rPr>
            </w:pPr>
            <w:r>
              <w:rPr>
                <w:rFonts w:ascii="Arial" w:cs="Arial" w:eastAsia="Arial" w:hAnsi="Arial"/>
                <w:sz w:val="18"/>
                <w:szCs w:val="18"/>
                <w:color w:val="auto"/>
              </w:rPr>
              <w:t>In addition, Mr. Evans is Chairman of the Vanderbilt University Board of Trust and the former Chairman</w:t>
            </w:r>
          </w:p>
        </w:tc>
        <w:tc>
          <w:tcPr>
            <w:tcW w:w="0" w:type="dxa"/>
            <w:vAlign w:val="bottom"/>
          </w:tcPr>
          <w:p>
            <w:pPr>
              <w:spacing w:after="0"/>
              <w:rPr>
                <w:sz w:val="1"/>
                <w:szCs w:val="1"/>
                <w:color w:val="auto"/>
              </w:rPr>
            </w:pPr>
          </w:p>
        </w:tc>
      </w:tr>
      <w:tr>
        <w:trPr>
          <w:trHeight w:val="217"/>
        </w:trPr>
        <w:tc>
          <w:tcPr>
            <w:tcW w:w="2580" w:type="dxa"/>
            <w:vAlign w:val="bottom"/>
            <w:tcBorders>
              <w:left w:val="single" w:sz="8" w:color="4C4C4C"/>
            </w:tcBorders>
            <w:shd w:val="clear" w:color="auto" w:fill="052B82"/>
          </w:tcPr>
          <w:p>
            <w:pPr>
              <w:spacing w:after="0"/>
              <w:rPr>
                <w:sz w:val="18"/>
                <w:szCs w:val="18"/>
                <w:color w:val="auto"/>
              </w:rPr>
            </w:pPr>
          </w:p>
        </w:tc>
        <w:tc>
          <w:tcPr>
            <w:tcW w:w="100" w:type="dxa"/>
            <w:vAlign w:val="bottom"/>
            <w:shd w:val="clear" w:color="auto" w:fill="E8EDF4"/>
          </w:tcPr>
          <w:p>
            <w:pPr>
              <w:spacing w:after="0"/>
              <w:rPr>
                <w:sz w:val="18"/>
                <w:szCs w:val="18"/>
                <w:color w:val="auto"/>
              </w:rPr>
            </w:pPr>
          </w:p>
        </w:tc>
        <w:tc>
          <w:tcPr>
            <w:tcW w:w="4040" w:type="dxa"/>
            <w:vAlign w:val="bottom"/>
            <w:shd w:val="clear" w:color="auto" w:fill="E8EDF4"/>
          </w:tcPr>
          <w:p>
            <w:pPr>
              <w:spacing w:after="0"/>
              <w:rPr>
                <w:sz w:val="20"/>
                <w:szCs w:val="20"/>
                <w:color w:val="auto"/>
              </w:rPr>
            </w:pPr>
            <w:r>
              <w:rPr>
                <w:rFonts w:ascii="Arial" w:cs="Arial" w:eastAsia="Arial" w:hAnsi="Arial"/>
                <w:sz w:val="18"/>
                <w:szCs w:val="18"/>
                <w:color w:val="auto"/>
              </w:rPr>
              <w:t>of Vanderbilt’s Investment Committee.</w:t>
            </w:r>
          </w:p>
        </w:tc>
        <w:tc>
          <w:tcPr>
            <w:tcW w:w="4320" w:type="dxa"/>
            <w:vAlign w:val="bottom"/>
            <w:tcBorders>
              <w:right w:val="single" w:sz="8" w:color="4C4C4C"/>
            </w:tcBorders>
            <w:shd w:val="clear" w:color="auto" w:fill="E8EDF4"/>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2580" w:type="dxa"/>
            <w:vAlign w:val="bottom"/>
            <w:tcBorders>
              <w:left w:val="single" w:sz="8" w:color="4C4C4C"/>
            </w:tcBorders>
            <w:shd w:val="clear" w:color="auto" w:fill="052B82"/>
          </w:tcPr>
          <w:p>
            <w:pPr>
              <w:spacing w:after="0"/>
              <w:rPr>
                <w:sz w:val="24"/>
                <w:szCs w:val="24"/>
                <w:color w:val="auto"/>
              </w:rPr>
            </w:pPr>
          </w:p>
        </w:tc>
        <w:tc>
          <w:tcPr>
            <w:tcW w:w="100" w:type="dxa"/>
            <w:vAlign w:val="bottom"/>
            <w:shd w:val="clear" w:color="auto" w:fill="E8EDF4"/>
          </w:tcPr>
          <w:p>
            <w:pPr>
              <w:spacing w:after="0"/>
              <w:rPr>
                <w:sz w:val="24"/>
                <w:szCs w:val="24"/>
                <w:color w:val="auto"/>
              </w:rPr>
            </w:pPr>
          </w:p>
        </w:tc>
        <w:tc>
          <w:tcPr>
            <w:tcW w:w="4040" w:type="dxa"/>
            <w:vAlign w:val="bottom"/>
            <w:shd w:val="clear" w:color="auto" w:fill="E8EDF4"/>
          </w:tcPr>
          <w:p>
            <w:pPr>
              <w:spacing w:after="0"/>
              <w:rPr>
                <w:sz w:val="20"/>
                <w:szCs w:val="20"/>
                <w:color w:val="auto"/>
              </w:rPr>
            </w:pPr>
            <w:r>
              <w:rPr>
                <w:rFonts w:ascii="Arial" w:cs="Arial" w:eastAsia="Arial" w:hAnsi="Arial"/>
                <w:sz w:val="18"/>
                <w:szCs w:val="18"/>
                <w:b w:val="1"/>
                <w:bCs w:val="1"/>
                <w:color w:val="auto"/>
              </w:rPr>
              <w:t>Key Qualifications and Expertise</w:t>
            </w:r>
          </w:p>
        </w:tc>
        <w:tc>
          <w:tcPr>
            <w:tcW w:w="4320" w:type="dxa"/>
            <w:vAlign w:val="bottom"/>
            <w:tcBorders>
              <w:right w:val="single" w:sz="8" w:color="4C4C4C"/>
            </w:tcBorders>
            <w:shd w:val="clear" w:color="auto" w:fill="E8EDF4"/>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580" w:type="dxa"/>
            <w:vAlign w:val="bottom"/>
            <w:tcBorders>
              <w:left w:val="single" w:sz="8" w:color="4C4C4C"/>
            </w:tcBorders>
            <w:shd w:val="clear" w:color="auto" w:fill="052B82"/>
          </w:tcPr>
          <w:p>
            <w:pPr>
              <w:spacing w:after="0"/>
              <w:rPr>
                <w:sz w:val="24"/>
                <w:szCs w:val="24"/>
                <w:color w:val="auto"/>
              </w:rPr>
            </w:pPr>
          </w:p>
        </w:tc>
        <w:tc>
          <w:tcPr>
            <w:tcW w:w="100" w:type="dxa"/>
            <w:vAlign w:val="bottom"/>
            <w:shd w:val="clear" w:color="auto" w:fill="E8EDF4"/>
          </w:tcPr>
          <w:p>
            <w:pPr>
              <w:spacing w:after="0"/>
              <w:rPr>
                <w:sz w:val="24"/>
                <w:szCs w:val="24"/>
                <w:color w:val="auto"/>
              </w:rPr>
            </w:pPr>
          </w:p>
        </w:tc>
        <w:tc>
          <w:tcPr>
            <w:tcW w:w="8360" w:type="dxa"/>
            <w:vAlign w:val="bottom"/>
            <w:tcBorders>
              <w:right w:val="single" w:sz="8" w:color="4C4C4C"/>
            </w:tcBorders>
            <w:gridSpan w:val="2"/>
            <w:shd w:val="clear" w:color="auto" w:fill="E8EDF4"/>
          </w:tcPr>
          <w:p>
            <w:pPr>
              <w:spacing w:after="0"/>
              <w:rPr>
                <w:sz w:val="20"/>
                <w:szCs w:val="20"/>
                <w:color w:val="auto"/>
              </w:rPr>
            </w:pPr>
            <w:r>
              <w:rPr>
                <w:rFonts w:ascii="Arial" w:cs="Arial" w:eastAsia="Arial" w:hAnsi="Arial"/>
                <w:sz w:val="18"/>
                <w:szCs w:val="18"/>
                <w:color w:val="auto"/>
              </w:rPr>
              <w:t>We believe Mr. Evans’ qualifications to serve on our Board of Directors include his financial and</w:t>
            </w:r>
          </w:p>
        </w:tc>
        <w:tc>
          <w:tcPr>
            <w:tcW w:w="0" w:type="dxa"/>
            <w:vAlign w:val="bottom"/>
          </w:tcPr>
          <w:p>
            <w:pPr>
              <w:spacing w:after="0"/>
              <w:rPr>
                <w:sz w:val="1"/>
                <w:szCs w:val="1"/>
                <w:color w:val="auto"/>
              </w:rPr>
            </w:pPr>
          </w:p>
        </w:tc>
      </w:tr>
      <w:tr>
        <w:trPr>
          <w:trHeight w:val="203"/>
        </w:trPr>
        <w:tc>
          <w:tcPr>
            <w:tcW w:w="2580" w:type="dxa"/>
            <w:vAlign w:val="bottom"/>
            <w:tcBorders>
              <w:left w:val="single" w:sz="8" w:color="4C4C4C"/>
            </w:tcBorders>
            <w:shd w:val="clear" w:color="auto" w:fill="052B82"/>
          </w:tcPr>
          <w:p>
            <w:pPr>
              <w:spacing w:after="0"/>
              <w:rPr>
                <w:sz w:val="17"/>
                <w:szCs w:val="17"/>
                <w:color w:val="auto"/>
              </w:rPr>
            </w:pPr>
          </w:p>
        </w:tc>
        <w:tc>
          <w:tcPr>
            <w:tcW w:w="100" w:type="dxa"/>
            <w:vAlign w:val="bottom"/>
            <w:shd w:val="clear" w:color="auto" w:fill="E8EDF4"/>
          </w:tcPr>
          <w:p>
            <w:pPr>
              <w:spacing w:after="0"/>
              <w:rPr>
                <w:sz w:val="17"/>
                <w:szCs w:val="17"/>
                <w:color w:val="auto"/>
              </w:rPr>
            </w:pPr>
          </w:p>
        </w:tc>
        <w:tc>
          <w:tcPr>
            <w:tcW w:w="8360" w:type="dxa"/>
            <w:vAlign w:val="bottom"/>
            <w:tcBorders>
              <w:right w:val="single" w:sz="8" w:color="4C4C4C"/>
            </w:tcBorders>
            <w:gridSpan w:val="2"/>
            <w:shd w:val="clear" w:color="auto" w:fill="E8EDF4"/>
          </w:tcPr>
          <w:p>
            <w:pPr>
              <w:spacing w:after="0" w:line="202" w:lineRule="exact"/>
              <w:rPr>
                <w:sz w:val="20"/>
                <w:szCs w:val="20"/>
                <w:color w:val="auto"/>
              </w:rPr>
            </w:pPr>
            <w:r>
              <w:rPr>
                <w:rFonts w:ascii="Arial" w:cs="Arial" w:eastAsia="Arial" w:hAnsi="Arial"/>
                <w:sz w:val="18"/>
                <w:szCs w:val="18"/>
                <w:color w:val="auto"/>
              </w:rPr>
              <w:t>management expertise, including his investing experience in the technology sector and his experience</w:t>
            </w:r>
          </w:p>
        </w:tc>
        <w:tc>
          <w:tcPr>
            <w:tcW w:w="0" w:type="dxa"/>
            <w:vAlign w:val="bottom"/>
          </w:tcPr>
          <w:p>
            <w:pPr>
              <w:spacing w:after="0"/>
              <w:rPr>
                <w:sz w:val="1"/>
                <w:szCs w:val="1"/>
                <w:color w:val="auto"/>
              </w:rPr>
            </w:pPr>
          </w:p>
        </w:tc>
      </w:tr>
      <w:tr>
        <w:trPr>
          <w:trHeight w:val="217"/>
        </w:trPr>
        <w:tc>
          <w:tcPr>
            <w:tcW w:w="2580" w:type="dxa"/>
            <w:vAlign w:val="bottom"/>
            <w:tcBorders>
              <w:left w:val="single" w:sz="8" w:color="4C4C4C"/>
            </w:tcBorders>
            <w:shd w:val="clear" w:color="auto" w:fill="052B82"/>
          </w:tcPr>
          <w:p>
            <w:pPr>
              <w:spacing w:after="0"/>
              <w:rPr>
                <w:sz w:val="18"/>
                <w:szCs w:val="18"/>
                <w:color w:val="auto"/>
              </w:rPr>
            </w:pPr>
          </w:p>
        </w:tc>
        <w:tc>
          <w:tcPr>
            <w:tcW w:w="100" w:type="dxa"/>
            <w:vAlign w:val="bottom"/>
            <w:shd w:val="clear" w:color="auto" w:fill="E8EDF4"/>
          </w:tcPr>
          <w:p>
            <w:pPr>
              <w:spacing w:after="0"/>
              <w:rPr>
                <w:sz w:val="18"/>
                <w:szCs w:val="18"/>
                <w:color w:val="auto"/>
              </w:rPr>
            </w:pPr>
          </w:p>
        </w:tc>
        <w:tc>
          <w:tcPr>
            <w:tcW w:w="4040" w:type="dxa"/>
            <w:vAlign w:val="bottom"/>
            <w:shd w:val="clear" w:color="auto" w:fill="E8EDF4"/>
          </w:tcPr>
          <w:p>
            <w:pPr>
              <w:spacing w:after="0"/>
              <w:rPr>
                <w:sz w:val="20"/>
                <w:szCs w:val="20"/>
                <w:color w:val="auto"/>
              </w:rPr>
            </w:pPr>
            <w:r>
              <w:rPr>
                <w:rFonts w:ascii="Arial" w:cs="Arial" w:eastAsia="Arial" w:hAnsi="Arial"/>
                <w:sz w:val="18"/>
                <w:szCs w:val="18"/>
                <w:color w:val="auto"/>
              </w:rPr>
              <w:t>with acquisitions and other transactions.</w:t>
            </w:r>
          </w:p>
        </w:tc>
        <w:tc>
          <w:tcPr>
            <w:tcW w:w="4320" w:type="dxa"/>
            <w:vAlign w:val="bottom"/>
            <w:tcBorders>
              <w:right w:val="single" w:sz="8" w:color="4C4C4C"/>
            </w:tcBorders>
            <w:shd w:val="clear" w:color="auto" w:fill="E8EDF4"/>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580" w:type="dxa"/>
            <w:vAlign w:val="bottom"/>
            <w:tcBorders>
              <w:left w:val="single" w:sz="8" w:color="4C4C4C"/>
            </w:tcBorders>
            <w:shd w:val="clear" w:color="auto" w:fill="052B82"/>
          </w:tcPr>
          <w:p>
            <w:pPr>
              <w:spacing w:after="0"/>
              <w:rPr>
                <w:sz w:val="24"/>
                <w:szCs w:val="24"/>
                <w:color w:val="auto"/>
              </w:rPr>
            </w:pPr>
          </w:p>
        </w:tc>
        <w:tc>
          <w:tcPr>
            <w:tcW w:w="100" w:type="dxa"/>
            <w:vAlign w:val="bottom"/>
            <w:shd w:val="clear" w:color="auto" w:fill="E8EDF4"/>
          </w:tcPr>
          <w:p>
            <w:pPr>
              <w:spacing w:after="0"/>
              <w:rPr>
                <w:sz w:val="24"/>
                <w:szCs w:val="24"/>
                <w:color w:val="auto"/>
              </w:rPr>
            </w:pPr>
          </w:p>
        </w:tc>
        <w:tc>
          <w:tcPr>
            <w:tcW w:w="4040" w:type="dxa"/>
            <w:vAlign w:val="bottom"/>
            <w:shd w:val="clear" w:color="auto" w:fill="E8EDF4"/>
          </w:tcPr>
          <w:p>
            <w:pPr>
              <w:spacing w:after="0"/>
              <w:rPr>
                <w:sz w:val="20"/>
                <w:szCs w:val="20"/>
                <w:color w:val="auto"/>
              </w:rPr>
            </w:pPr>
            <w:r>
              <w:rPr>
                <w:rFonts w:ascii="Arial" w:cs="Arial" w:eastAsia="Arial" w:hAnsi="Arial"/>
                <w:sz w:val="18"/>
                <w:szCs w:val="18"/>
                <w:b w:val="1"/>
                <w:bCs w:val="1"/>
                <w:color w:val="auto"/>
              </w:rPr>
              <w:t>Other Public Company Boards</w:t>
            </w:r>
          </w:p>
        </w:tc>
        <w:tc>
          <w:tcPr>
            <w:tcW w:w="4320" w:type="dxa"/>
            <w:vAlign w:val="bottom"/>
            <w:tcBorders>
              <w:right w:val="single" w:sz="8" w:color="4C4C4C"/>
            </w:tcBorders>
            <w:shd w:val="clear" w:color="auto" w:fill="E8EDF4"/>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580" w:type="dxa"/>
            <w:vAlign w:val="bottom"/>
            <w:tcBorders>
              <w:left w:val="single" w:sz="8" w:color="4C4C4C"/>
            </w:tcBorders>
            <w:shd w:val="clear" w:color="auto" w:fill="052B82"/>
          </w:tcPr>
          <w:p>
            <w:pPr>
              <w:spacing w:after="0"/>
              <w:rPr>
                <w:sz w:val="24"/>
                <w:szCs w:val="24"/>
                <w:color w:val="auto"/>
              </w:rPr>
            </w:pPr>
          </w:p>
        </w:tc>
        <w:tc>
          <w:tcPr>
            <w:tcW w:w="100" w:type="dxa"/>
            <w:vAlign w:val="bottom"/>
            <w:shd w:val="clear" w:color="auto" w:fill="E8EDF4"/>
          </w:tcPr>
          <w:p>
            <w:pPr>
              <w:spacing w:after="0"/>
              <w:rPr>
                <w:sz w:val="24"/>
                <w:szCs w:val="24"/>
                <w:color w:val="auto"/>
              </w:rPr>
            </w:pPr>
          </w:p>
        </w:tc>
        <w:tc>
          <w:tcPr>
            <w:tcW w:w="4040" w:type="dxa"/>
            <w:vAlign w:val="bottom"/>
            <w:shd w:val="clear" w:color="auto" w:fill="E8EDF4"/>
          </w:tcPr>
          <w:p>
            <w:pPr>
              <w:spacing w:after="0"/>
              <w:rPr>
                <w:sz w:val="20"/>
                <w:szCs w:val="20"/>
                <w:color w:val="auto"/>
              </w:rPr>
            </w:pPr>
            <w:r>
              <w:rPr>
                <w:rFonts w:ascii="Arial" w:cs="Arial" w:eastAsia="Arial" w:hAnsi="Arial"/>
                <w:sz w:val="18"/>
                <w:szCs w:val="18"/>
                <w:b w:val="1"/>
                <w:bCs w:val="1"/>
                <w:color w:val="auto"/>
              </w:rPr>
              <w:t>Current</w:t>
            </w:r>
          </w:p>
        </w:tc>
        <w:tc>
          <w:tcPr>
            <w:tcW w:w="4320" w:type="dxa"/>
            <w:vAlign w:val="bottom"/>
            <w:tcBorders>
              <w:right w:val="single" w:sz="8" w:color="4C4C4C"/>
            </w:tcBorders>
            <w:shd w:val="clear" w:color="auto" w:fill="E8EDF4"/>
          </w:tcPr>
          <w:p>
            <w:pPr>
              <w:ind w:left="120"/>
              <w:spacing w:after="0"/>
              <w:rPr>
                <w:sz w:val="20"/>
                <w:szCs w:val="20"/>
                <w:color w:val="auto"/>
              </w:rPr>
            </w:pPr>
            <w:r>
              <w:rPr>
                <w:rFonts w:ascii="Arial" w:cs="Arial" w:eastAsia="Arial" w:hAnsi="Arial"/>
                <w:sz w:val="18"/>
                <w:szCs w:val="18"/>
                <w:b w:val="1"/>
                <w:bCs w:val="1"/>
                <w:color w:val="auto"/>
              </w:rPr>
              <w:t>Past 5 Years</w:t>
            </w:r>
          </w:p>
        </w:tc>
        <w:tc>
          <w:tcPr>
            <w:tcW w:w="0" w:type="dxa"/>
            <w:vAlign w:val="bottom"/>
          </w:tcPr>
          <w:p>
            <w:pPr>
              <w:spacing w:after="0"/>
              <w:rPr>
                <w:sz w:val="1"/>
                <w:szCs w:val="1"/>
                <w:color w:val="auto"/>
              </w:rPr>
            </w:pPr>
          </w:p>
        </w:tc>
      </w:tr>
      <w:tr>
        <w:trPr>
          <w:trHeight w:val="217"/>
        </w:trPr>
        <w:tc>
          <w:tcPr>
            <w:tcW w:w="2580" w:type="dxa"/>
            <w:vAlign w:val="bottom"/>
            <w:tcBorders>
              <w:left w:val="single" w:sz="8" w:color="4C4C4C"/>
            </w:tcBorders>
            <w:shd w:val="clear" w:color="auto" w:fill="052B82"/>
          </w:tcPr>
          <w:p>
            <w:pPr>
              <w:spacing w:after="0"/>
              <w:rPr>
                <w:sz w:val="18"/>
                <w:szCs w:val="18"/>
                <w:color w:val="auto"/>
              </w:rPr>
            </w:pPr>
          </w:p>
        </w:tc>
        <w:tc>
          <w:tcPr>
            <w:tcW w:w="100" w:type="dxa"/>
            <w:vAlign w:val="bottom"/>
            <w:shd w:val="clear" w:color="auto" w:fill="E8EDF4"/>
          </w:tcPr>
          <w:p>
            <w:pPr>
              <w:spacing w:after="0"/>
              <w:rPr>
                <w:sz w:val="18"/>
                <w:szCs w:val="18"/>
                <w:color w:val="auto"/>
              </w:rPr>
            </w:pPr>
          </w:p>
        </w:tc>
        <w:tc>
          <w:tcPr>
            <w:tcW w:w="4040" w:type="dxa"/>
            <w:vAlign w:val="bottom"/>
            <w:shd w:val="clear" w:color="auto" w:fill="E8EDF4"/>
          </w:tcPr>
          <w:p>
            <w:pPr>
              <w:spacing w:after="0"/>
              <w:rPr>
                <w:sz w:val="20"/>
                <w:szCs w:val="20"/>
                <w:color w:val="auto"/>
              </w:rPr>
            </w:pPr>
            <w:r>
              <w:rPr>
                <w:rFonts w:ascii="Arial" w:cs="Arial" w:eastAsia="Arial" w:hAnsi="Arial"/>
                <w:sz w:val="18"/>
                <w:szCs w:val="18"/>
                <w:color w:val="auto"/>
              </w:rPr>
              <w:t>Casa Systems, Inc.</w:t>
            </w:r>
          </w:p>
        </w:tc>
        <w:tc>
          <w:tcPr>
            <w:tcW w:w="4320" w:type="dxa"/>
            <w:vAlign w:val="bottom"/>
            <w:tcBorders>
              <w:right w:val="single" w:sz="8" w:color="4C4C4C"/>
            </w:tcBorders>
            <w:shd w:val="clear" w:color="auto" w:fill="E8EDF4"/>
          </w:tcPr>
          <w:p>
            <w:pPr>
              <w:ind w:left="1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68"/>
        </w:trPr>
        <w:tc>
          <w:tcPr>
            <w:tcW w:w="2580" w:type="dxa"/>
            <w:vAlign w:val="bottom"/>
            <w:tcBorders>
              <w:left w:val="single" w:sz="8" w:color="4C4C4C"/>
              <w:bottom w:val="single" w:sz="8" w:color="4C4C4C"/>
            </w:tcBorders>
            <w:shd w:val="clear" w:color="auto" w:fill="052B82"/>
          </w:tcPr>
          <w:p>
            <w:pPr>
              <w:spacing w:after="0"/>
              <w:rPr>
                <w:sz w:val="5"/>
                <w:szCs w:val="5"/>
                <w:color w:val="auto"/>
              </w:rPr>
            </w:pPr>
          </w:p>
        </w:tc>
        <w:tc>
          <w:tcPr>
            <w:tcW w:w="100" w:type="dxa"/>
            <w:vAlign w:val="bottom"/>
            <w:tcBorders>
              <w:bottom w:val="single" w:sz="8" w:color="4C4C4C"/>
            </w:tcBorders>
            <w:shd w:val="clear" w:color="auto" w:fill="E8EDF4"/>
          </w:tcPr>
          <w:p>
            <w:pPr>
              <w:spacing w:after="0"/>
              <w:rPr>
                <w:sz w:val="5"/>
                <w:szCs w:val="5"/>
                <w:color w:val="auto"/>
              </w:rPr>
            </w:pPr>
          </w:p>
        </w:tc>
        <w:tc>
          <w:tcPr>
            <w:tcW w:w="4040" w:type="dxa"/>
            <w:vAlign w:val="bottom"/>
            <w:tcBorders>
              <w:bottom w:val="single" w:sz="8" w:color="4C4C4C"/>
            </w:tcBorders>
            <w:shd w:val="clear" w:color="auto" w:fill="E8EDF4"/>
          </w:tcPr>
          <w:p>
            <w:pPr>
              <w:spacing w:after="0"/>
              <w:rPr>
                <w:sz w:val="5"/>
                <w:szCs w:val="5"/>
                <w:color w:val="auto"/>
              </w:rPr>
            </w:pPr>
          </w:p>
        </w:tc>
        <w:tc>
          <w:tcPr>
            <w:tcW w:w="4320" w:type="dxa"/>
            <w:vAlign w:val="bottom"/>
            <w:tcBorders>
              <w:bottom w:val="single" w:sz="8" w:color="4C4C4C"/>
              <w:right w:val="single" w:sz="8" w:color="4C4C4C"/>
            </w:tcBorders>
            <w:shd w:val="clear" w:color="auto" w:fill="E8EDF4"/>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580" w:type="dxa"/>
            <w:vAlign w:val="bottom"/>
            <w:tcBorders>
              <w:bottom w:val="single" w:sz="8" w:color="4C4C4C"/>
            </w:tcBorders>
          </w:tcPr>
          <w:p>
            <w:pPr>
              <w:spacing w:after="0"/>
              <w:rPr>
                <w:sz w:val="17"/>
                <w:szCs w:val="17"/>
                <w:color w:val="auto"/>
              </w:rPr>
            </w:pPr>
          </w:p>
        </w:tc>
        <w:tc>
          <w:tcPr>
            <w:tcW w:w="100" w:type="dxa"/>
            <w:vAlign w:val="bottom"/>
            <w:tcBorders>
              <w:bottom w:val="single" w:sz="8" w:color="4C4C4C"/>
            </w:tcBorders>
          </w:tcPr>
          <w:p>
            <w:pPr>
              <w:spacing w:after="0"/>
              <w:rPr>
                <w:sz w:val="17"/>
                <w:szCs w:val="17"/>
                <w:color w:val="auto"/>
              </w:rPr>
            </w:pPr>
          </w:p>
        </w:tc>
        <w:tc>
          <w:tcPr>
            <w:tcW w:w="4040" w:type="dxa"/>
            <w:vAlign w:val="bottom"/>
            <w:tcBorders>
              <w:bottom w:val="single" w:sz="8" w:color="4C4C4C"/>
            </w:tcBorders>
          </w:tcPr>
          <w:p>
            <w:pPr>
              <w:spacing w:after="0"/>
              <w:rPr>
                <w:sz w:val="17"/>
                <w:szCs w:val="17"/>
                <w:color w:val="auto"/>
              </w:rPr>
            </w:pPr>
          </w:p>
        </w:tc>
        <w:tc>
          <w:tcPr>
            <w:tcW w:w="4320" w:type="dxa"/>
            <w:vAlign w:val="bottom"/>
            <w:tcBorders>
              <w:bottom w:val="single" w:sz="8" w:color="4C4C4C"/>
            </w:tcBorders>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2580" w:type="dxa"/>
            <w:vAlign w:val="bottom"/>
            <w:tcBorders>
              <w:left w:val="single" w:sz="8" w:color="4C4C4C"/>
            </w:tcBorders>
            <w:shd w:val="clear" w:color="auto" w:fill="052B82"/>
          </w:tcPr>
          <w:p>
            <w:pPr>
              <w:ind w:left="200"/>
              <w:spacing w:after="0"/>
              <w:rPr>
                <w:sz w:val="20"/>
                <w:szCs w:val="20"/>
                <w:color w:val="auto"/>
              </w:rPr>
            </w:pPr>
            <w:r>
              <w:rPr>
                <w:rFonts w:ascii="Arial" w:cs="Arial" w:eastAsia="Arial" w:hAnsi="Arial"/>
                <w:sz w:val="22"/>
                <w:szCs w:val="22"/>
                <w:b w:val="1"/>
                <w:bCs w:val="1"/>
                <w:color w:val="FFFFFF"/>
              </w:rPr>
              <w:t>Edward H. Frank</w:t>
            </w:r>
          </w:p>
        </w:tc>
        <w:tc>
          <w:tcPr>
            <w:tcW w:w="100" w:type="dxa"/>
            <w:vAlign w:val="bottom"/>
            <w:shd w:val="clear" w:color="auto" w:fill="E8EDF4"/>
          </w:tcPr>
          <w:p>
            <w:pPr>
              <w:spacing w:after="0"/>
              <w:rPr>
                <w:sz w:val="22"/>
                <w:szCs w:val="22"/>
                <w:color w:val="auto"/>
              </w:rPr>
            </w:pPr>
          </w:p>
        </w:tc>
        <w:tc>
          <w:tcPr>
            <w:tcW w:w="4040" w:type="dxa"/>
            <w:vAlign w:val="bottom"/>
            <w:shd w:val="clear" w:color="auto" w:fill="E8EDF4"/>
          </w:tcPr>
          <w:p>
            <w:pPr>
              <w:spacing w:after="0"/>
              <w:rPr>
                <w:sz w:val="20"/>
                <w:szCs w:val="20"/>
                <w:color w:val="auto"/>
              </w:rPr>
            </w:pPr>
            <w:r>
              <w:rPr>
                <w:rFonts w:ascii="Arial" w:cs="Arial" w:eastAsia="Arial" w:hAnsi="Arial"/>
                <w:sz w:val="18"/>
                <w:szCs w:val="18"/>
                <w:b w:val="1"/>
                <w:bCs w:val="1"/>
                <w:color w:val="auto"/>
              </w:rPr>
              <w:t>Professional Experience and Background</w:t>
            </w:r>
          </w:p>
        </w:tc>
        <w:tc>
          <w:tcPr>
            <w:tcW w:w="4320" w:type="dxa"/>
            <w:vAlign w:val="bottom"/>
            <w:tcBorders>
              <w:right w:val="single" w:sz="8" w:color="4C4C4C"/>
            </w:tcBorders>
            <w:shd w:val="clear" w:color="auto" w:fill="E8EDF4"/>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580" w:type="dxa"/>
            <w:vAlign w:val="bottom"/>
            <w:tcBorders>
              <w:left w:val="single" w:sz="8" w:color="4C4C4C"/>
            </w:tcBorders>
            <w:vMerge w:val="restart"/>
            <w:shd w:val="clear" w:color="auto" w:fill="052B82"/>
          </w:tcPr>
          <w:p>
            <w:pPr>
              <w:ind w:left="200"/>
              <w:spacing w:after="0"/>
              <w:rPr>
                <w:sz w:val="20"/>
                <w:szCs w:val="20"/>
                <w:color w:val="auto"/>
              </w:rPr>
            </w:pPr>
            <w:r>
              <w:rPr>
                <w:rFonts w:ascii="Arial" w:cs="Arial" w:eastAsia="Arial" w:hAnsi="Arial"/>
                <w:sz w:val="18"/>
                <w:szCs w:val="18"/>
                <w:b w:val="1"/>
                <w:bCs w:val="1"/>
                <w:color w:val="FFFFFF"/>
              </w:rPr>
              <w:t>Independent</w:t>
            </w:r>
          </w:p>
        </w:tc>
        <w:tc>
          <w:tcPr>
            <w:tcW w:w="100" w:type="dxa"/>
            <w:vAlign w:val="bottom"/>
            <w:shd w:val="clear" w:color="auto" w:fill="E8EDF4"/>
          </w:tcPr>
          <w:p>
            <w:pPr>
              <w:spacing w:after="0"/>
              <w:rPr>
                <w:sz w:val="17"/>
                <w:szCs w:val="17"/>
                <w:color w:val="auto"/>
              </w:rPr>
            </w:pPr>
          </w:p>
        </w:tc>
        <w:tc>
          <w:tcPr>
            <w:tcW w:w="8360" w:type="dxa"/>
            <w:vAlign w:val="bottom"/>
            <w:tcBorders>
              <w:right w:val="single" w:sz="8" w:color="4C4C4C"/>
            </w:tcBorders>
            <w:gridSpan w:val="2"/>
            <w:shd w:val="clear" w:color="auto" w:fill="E8EDF4"/>
          </w:tcPr>
          <w:p>
            <w:pPr>
              <w:spacing w:after="0" w:line="202" w:lineRule="exact"/>
              <w:rPr>
                <w:sz w:val="20"/>
                <w:szCs w:val="20"/>
                <w:color w:val="auto"/>
              </w:rPr>
            </w:pPr>
            <w:r>
              <w:rPr>
                <w:rFonts w:ascii="Arial" w:cs="Arial" w:eastAsia="Arial" w:hAnsi="Arial"/>
                <w:sz w:val="18"/>
                <w:szCs w:val="18"/>
                <w:color w:val="auto"/>
              </w:rPr>
              <w:t>Dr. Frank was most recently co-founder and CEO of Cloud Parity, a voice of the customer startup, from</w:t>
            </w:r>
          </w:p>
        </w:tc>
        <w:tc>
          <w:tcPr>
            <w:tcW w:w="0" w:type="dxa"/>
            <w:vAlign w:val="bottom"/>
          </w:tcPr>
          <w:p>
            <w:pPr>
              <w:spacing w:after="0"/>
              <w:rPr>
                <w:sz w:val="1"/>
                <w:szCs w:val="1"/>
                <w:color w:val="auto"/>
              </w:rPr>
            </w:pPr>
          </w:p>
        </w:tc>
      </w:tr>
      <w:tr>
        <w:trPr>
          <w:trHeight w:val="113"/>
        </w:trPr>
        <w:tc>
          <w:tcPr>
            <w:tcW w:w="2580" w:type="dxa"/>
            <w:vAlign w:val="bottom"/>
            <w:tcBorders>
              <w:left w:val="single" w:sz="8" w:color="4C4C4C"/>
            </w:tcBorders>
            <w:vMerge w:val="continue"/>
            <w:shd w:val="clear" w:color="auto" w:fill="052B82"/>
          </w:tcPr>
          <w:p>
            <w:pPr>
              <w:spacing w:after="0"/>
              <w:rPr>
                <w:sz w:val="9"/>
                <w:szCs w:val="9"/>
                <w:color w:val="auto"/>
              </w:rPr>
            </w:pPr>
          </w:p>
        </w:tc>
        <w:tc>
          <w:tcPr>
            <w:tcW w:w="100" w:type="dxa"/>
            <w:vAlign w:val="bottom"/>
            <w:shd w:val="clear" w:color="auto" w:fill="E8EDF4"/>
          </w:tcPr>
          <w:p>
            <w:pPr>
              <w:spacing w:after="0"/>
              <w:rPr>
                <w:sz w:val="9"/>
                <w:szCs w:val="9"/>
                <w:color w:val="auto"/>
              </w:rPr>
            </w:pPr>
          </w:p>
        </w:tc>
        <w:tc>
          <w:tcPr>
            <w:tcW w:w="8360" w:type="dxa"/>
            <w:vAlign w:val="bottom"/>
            <w:tcBorders>
              <w:right w:val="single" w:sz="8" w:color="4C4C4C"/>
            </w:tcBorders>
            <w:gridSpan w:val="2"/>
            <w:vMerge w:val="restart"/>
            <w:shd w:val="clear" w:color="auto" w:fill="E8EDF4"/>
          </w:tcPr>
          <w:p>
            <w:pPr>
              <w:spacing w:after="0" w:line="202" w:lineRule="exact"/>
              <w:rPr>
                <w:sz w:val="20"/>
                <w:szCs w:val="20"/>
                <w:color w:val="auto"/>
              </w:rPr>
            </w:pPr>
            <w:r>
              <w:rPr>
                <w:rFonts w:ascii="Arial" w:cs="Arial" w:eastAsia="Arial" w:hAnsi="Arial"/>
                <w:sz w:val="18"/>
                <w:szCs w:val="18"/>
                <w:color w:val="auto"/>
              </w:rPr>
              <w:t>January 2014 through August 2016. From May 2009 to October 2013, Dr. Frank held the position of</w:t>
            </w:r>
          </w:p>
        </w:tc>
        <w:tc>
          <w:tcPr>
            <w:tcW w:w="0" w:type="dxa"/>
            <w:vAlign w:val="bottom"/>
          </w:tcPr>
          <w:p>
            <w:pPr>
              <w:spacing w:after="0"/>
              <w:rPr>
                <w:sz w:val="1"/>
                <w:szCs w:val="1"/>
                <w:color w:val="auto"/>
              </w:rPr>
            </w:pPr>
          </w:p>
        </w:tc>
      </w:tr>
      <w:tr>
        <w:trPr>
          <w:trHeight w:val="90"/>
        </w:trPr>
        <w:tc>
          <w:tcPr>
            <w:tcW w:w="2580" w:type="dxa"/>
            <w:vAlign w:val="bottom"/>
            <w:tcBorders>
              <w:left w:val="single" w:sz="8" w:color="4C4C4C"/>
            </w:tcBorders>
            <w:vMerge w:val="restart"/>
            <w:shd w:val="clear" w:color="auto" w:fill="052B82"/>
          </w:tcPr>
          <w:p>
            <w:pPr>
              <w:ind w:left="200"/>
              <w:spacing w:after="0"/>
              <w:rPr>
                <w:sz w:val="20"/>
                <w:szCs w:val="20"/>
                <w:color w:val="auto"/>
              </w:rPr>
            </w:pPr>
            <w:r>
              <w:rPr>
                <w:rFonts w:ascii="Arial" w:cs="Arial" w:eastAsia="Arial" w:hAnsi="Arial"/>
                <w:sz w:val="18"/>
                <w:szCs w:val="18"/>
                <w:b w:val="1"/>
                <w:bCs w:val="1"/>
                <w:color w:val="FFFFFF"/>
              </w:rPr>
              <w:t>Director since: 2014</w:t>
            </w:r>
          </w:p>
        </w:tc>
        <w:tc>
          <w:tcPr>
            <w:tcW w:w="100" w:type="dxa"/>
            <w:vAlign w:val="bottom"/>
            <w:shd w:val="clear" w:color="auto" w:fill="E8EDF4"/>
          </w:tcPr>
          <w:p>
            <w:pPr>
              <w:spacing w:after="0"/>
              <w:rPr>
                <w:sz w:val="7"/>
                <w:szCs w:val="7"/>
                <w:color w:val="auto"/>
              </w:rPr>
            </w:pPr>
          </w:p>
        </w:tc>
        <w:tc>
          <w:tcPr>
            <w:tcW w:w="8360" w:type="dxa"/>
            <w:vAlign w:val="bottom"/>
            <w:tcBorders>
              <w:right w:val="single" w:sz="8" w:color="4C4C4C"/>
            </w:tcBorders>
            <w:gridSpan w:val="2"/>
            <w:vMerge w:val="continue"/>
            <w:shd w:val="clear" w:color="auto" w:fill="E8EDF4"/>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580" w:type="dxa"/>
            <w:vAlign w:val="bottom"/>
            <w:tcBorders>
              <w:left w:val="single" w:sz="8" w:color="4C4C4C"/>
            </w:tcBorders>
            <w:vMerge w:val="continue"/>
            <w:shd w:val="clear" w:color="auto" w:fill="052B82"/>
          </w:tcPr>
          <w:p>
            <w:pPr>
              <w:spacing w:after="0"/>
              <w:rPr>
                <w:sz w:val="12"/>
                <w:szCs w:val="12"/>
                <w:color w:val="auto"/>
              </w:rPr>
            </w:pPr>
          </w:p>
        </w:tc>
        <w:tc>
          <w:tcPr>
            <w:tcW w:w="100" w:type="dxa"/>
            <w:vAlign w:val="bottom"/>
            <w:shd w:val="clear" w:color="auto" w:fill="E8EDF4"/>
          </w:tcPr>
          <w:p>
            <w:pPr>
              <w:spacing w:after="0"/>
              <w:rPr>
                <w:sz w:val="12"/>
                <w:szCs w:val="12"/>
                <w:color w:val="auto"/>
              </w:rPr>
            </w:pPr>
          </w:p>
        </w:tc>
        <w:tc>
          <w:tcPr>
            <w:tcW w:w="8360" w:type="dxa"/>
            <w:vAlign w:val="bottom"/>
            <w:tcBorders>
              <w:right w:val="single" w:sz="8" w:color="4C4C4C"/>
            </w:tcBorders>
            <w:gridSpan w:val="2"/>
            <w:vMerge w:val="restart"/>
            <w:shd w:val="clear" w:color="auto" w:fill="E8EDF4"/>
          </w:tcPr>
          <w:p>
            <w:pPr>
              <w:spacing w:after="0" w:line="202" w:lineRule="exact"/>
              <w:rPr>
                <w:sz w:val="20"/>
                <w:szCs w:val="20"/>
                <w:color w:val="auto"/>
              </w:rPr>
            </w:pPr>
            <w:r>
              <w:rPr>
                <w:rFonts w:ascii="Arial" w:cs="Arial" w:eastAsia="Arial" w:hAnsi="Arial"/>
                <w:sz w:val="18"/>
                <w:szCs w:val="18"/>
                <w:color w:val="auto"/>
              </w:rPr>
              <w:t>Vice President, Macintosh Hardware Systems Engineering at Apple Inc., a company that designs,</w:t>
            </w:r>
          </w:p>
        </w:tc>
        <w:tc>
          <w:tcPr>
            <w:tcW w:w="0" w:type="dxa"/>
            <w:vAlign w:val="bottom"/>
          </w:tcPr>
          <w:p>
            <w:pPr>
              <w:spacing w:after="0"/>
              <w:rPr>
                <w:sz w:val="1"/>
                <w:szCs w:val="1"/>
                <w:color w:val="auto"/>
              </w:rPr>
            </w:pPr>
          </w:p>
        </w:tc>
      </w:tr>
      <w:tr>
        <w:trPr>
          <w:trHeight w:val="53"/>
        </w:trPr>
        <w:tc>
          <w:tcPr>
            <w:tcW w:w="2580" w:type="dxa"/>
            <w:vAlign w:val="bottom"/>
            <w:tcBorders>
              <w:left w:val="single" w:sz="8" w:color="4C4C4C"/>
            </w:tcBorders>
            <w:shd w:val="clear" w:color="auto" w:fill="052B82"/>
          </w:tcPr>
          <w:p>
            <w:pPr>
              <w:spacing w:after="0"/>
              <w:rPr>
                <w:sz w:val="4"/>
                <w:szCs w:val="4"/>
                <w:color w:val="auto"/>
              </w:rPr>
            </w:pPr>
          </w:p>
        </w:tc>
        <w:tc>
          <w:tcPr>
            <w:tcW w:w="100" w:type="dxa"/>
            <w:vAlign w:val="bottom"/>
            <w:shd w:val="clear" w:color="auto" w:fill="E8EDF4"/>
          </w:tcPr>
          <w:p>
            <w:pPr>
              <w:spacing w:after="0"/>
              <w:rPr>
                <w:sz w:val="4"/>
                <w:szCs w:val="4"/>
                <w:color w:val="auto"/>
              </w:rPr>
            </w:pPr>
          </w:p>
        </w:tc>
        <w:tc>
          <w:tcPr>
            <w:tcW w:w="8360" w:type="dxa"/>
            <w:vAlign w:val="bottom"/>
            <w:tcBorders>
              <w:right w:val="single" w:sz="8" w:color="4C4C4C"/>
            </w:tcBorders>
            <w:gridSpan w:val="2"/>
            <w:vMerge w:val="continue"/>
            <w:shd w:val="clear" w:color="auto" w:fill="E8EDF4"/>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580" w:type="dxa"/>
            <w:vAlign w:val="bottom"/>
            <w:tcBorders>
              <w:left w:val="single" w:sz="8" w:color="4C4C4C"/>
            </w:tcBorders>
            <w:vMerge w:val="restart"/>
            <w:shd w:val="clear" w:color="auto" w:fill="052B82"/>
          </w:tcPr>
          <w:p>
            <w:pPr>
              <w:ind w:left="200"/>
              <w:spacing w:after="0"/>
              <w:rPr>
                <w:sz w:val="20"/>
                <w:szCs w:val="20"/>
                <w:color w:val="auto"/>
              </w:rPr>
            </w:pPr>
            <w:r>
              <w:rPr>
                <w:rFonts w:ascii="Arial" w:cs="Arial" w:eastAsia="Arial" w:hAnsi="Arial"/>
                <w:sz w:val="18"/>
                <w:szCs w:val="18"/>
                <w:b w:val="1"/>
                <w:bCs w:val="1"/>
                <w:color w:val="FFFFFF"/>
              </w:rPr>
              <w:t>Age: 63</w:t>
            </w:r>
          </w:p>
        </w:tc>
        <w:tc>
          <w:tcPr>
            <w:tcW w:w="100" w:type="dxa"/>
            <w:vAlign w:val="bottom"/>
            <w:shd w:val="clear" w:color="auto" w:fill="E8EDF4"/>
          </w:tcPr>
          <w:p>
            <w:pPr>
              <w:spacing w:after="0"/>
              <w:rPr>
                <w:sz w:val="17"/>
                <w:szCs w:val="17"/>
                <w:color w:val="auto"/>
              </w:rPr>
            </w:pPr>
          </w:p>
        </w:tc>
        <w:tc>
          <w:tcPr>
            <w:tcW w:w="8360" w:type="dxa"/>
            <w:vAlign w:val="bottom"/>
            <w:tcBorders>
              <w:right w:val="single" w:sz="8" w:color="4C4C4C"/>
            </w:tcBorders>
            <w:gridSpan w:val="2"/>
            <w:shd w:val="clear" w:color="auto" w:fill="E8EDF4"/>
          </w:tcPr>
          <w:p>
            <w:pPr>
              <w:spacing w:after="0" w:line="202" w:lineRule="exact"/>
              <w:rPr>
                <w:sz w:val="20"/>
                <w:szCs w:val="20"/>
                <w:color w:val="auto"/>
              </w:rPr>
            </w:pPr>
            <w:r>
              <w:rPr>
                <w:rFonts w:ascii="Arial" w:cs="Arial" w:eastAsia="Arial" w:hAnsi="Arial"/>
                <w:sz w:val="18"/>
                <w:szCs w:val="18"/>
                <w:color w:val="auto"/>
              </w:rPr>
              <w:t>manufactures and markets electronic devices. Prior to his tenure at Apple, Dr. Frank served as</w:t>
            </w:r>
          </w:p>
        </w:tc>
        <w:tc>
          <w:tcPr>
            <w:tcW w:w="0" w:type="dxa"/>
            <w:vAlign w:val="bottom"/>
          </w:tcPr>
          <w:p>
            <w:pPr>
              <w:spacing w:after="0"/>
              <w:rPr>
                <w:sz w:val="1"/>
                <w:szCs w:val="1"/>
                <w:color w:val="auto"/>
              </w:rPr>
            </w:pPr>
          </w:p>
        </w:tc>
      </w:tr>
      <w:tr>
        <w:trPr>
          <w:trHeight w:val="109"/>
        </w:trPr>
        <w:tc>
          <w:tcPr>
            <w:tcW w:w="2580" w:type="dxa"/>
            <w:vAlign w:val="bottom"/>
            <w:tcBorders>
              <w:left w:val="single" w:sz="8" w:color="4C4C4C"/>
            </w:tcBorders>
            <w:vMerge w:val="continue"/>
            <w:shd w:val="clear" w:color="auto" w:fill="052B82"/>
          </w:tcPr>
          <w:p>
            <w:pPr>
              <w:spacing w:after="0"/>
              <w:rPr>
                <w:sz w:val="9"/>
                <w:szCs w:val="9"/>
                <w:color w:val="auto"/>
              </w:rPr>
            </w:pPr>
          </w:p>
        </w:tc>
        <w:tc>
          <w:tcPr>
            <w:tcW w:w="100" w:type="dxa"/>
            <w:vAlign w:val="bottom"/>
            <w:shd w:val="clear" w:color="auto" w:fill="E8EDF4"/>
          </w:tcPr>
          <w:p>
            <w:pPr>
              <w:spacing w:after="0"/>
              <w:rPr>
                <w:sz w:val="9"/>
                <w:szCs w:val="9"/>
                <w:color w:val="auto"/>
              </w:rPr>
            </w:pPr>
          </w:p>
        </w:tc>
        <w:tc>
          <w:tcPr>
            <w:tcW w:w="8360" w:type="dxa"/>
            <w:vAlign w:val="bottom"/>
            <w:tcBorders>
              <w:right w:val="single" w:sz="8" w:color="4C4C4C"/>
            </w:tcBorders>
            <w:gridSpan w:val="2"/>
            <w:vMerge w:val="restart"/>
            <w:shd w:val="clear" w:color="auto" w:fill="E8EDF4"/>
          </w:tcPr>
          <w:p>
            <w:pPr>
              <w:spacing w:after="0" w:line="202" w:lineRule="exact"/>
              <w:rPr>
                <w:sz w:val="20"/>
                <w:szCs w:val="20"/>
                <w:color w:val="auto"/>
              </w:rPr>
            </w:pPr>
            <w:r>
              <w:rPr>
                <w:rFonts w:ascii="Arial" w:cs="Arial" w:eastAsia="Arial" w:hAnsi="Arial"/>
                <w:sz w:val="18"/>
                <w:szCs w:val="18"/>
                <w:color w:val="auto"/>
              </w:rPr>
              <w:t>Corporate Vice President, Research and Development, of Broadcom Corp. Dr. Frank was founding CEO</w:t>
            </w:r>
          </w:p>
        </w:tc>
        <w:tc>
          <w:tcPr>
            <w:tcW w:w="0" w:type="dxa"/>
            <w:vAlign w:val="bottom"/>
          </w:tcPr>
          <w:p>
            <w:pPr>
              <w:spacing w:after="0"/>
              <w:rPr>
                <w:sz w:val="1"/>
                <w:szCs w:val="1"/>
                <w:color w:val="auto"/>
              </w:rPr>
            </w:pPr>
          </w:p>
        </w:tc>
      </w:tr>
      <w:tr>
        <w:trPr>
          <w:trHeight w:val="94"/>
        </w:trPr>
        <w:tc>
          <w:tcPr>
            <w:tcW w:w="2580" w:type="dxa"/>
            <w:vAlign w:val="bottom"/>
            <w:tcBorders>
              <w:left w:val="single" w:sz="8" w:color="4C4C4C"/>
            </w:tcBorders>
            <w:shd w:val="clear" w:color="auto" w:fill="052B82"/>
          </w:tcPr>
          <w:p>
            <w:pPr>
              <w:spacing w:after="0"/>
              <w:rPr>
                <w:sz w:val="8"/>
                <w:szCs w:val="8"/>
                <w:color w:val="auto"/>
              </w:rPr>
            </w:pPr>
          </w:p>
        </w:tc>
        <w:tc>
          <w:tcPr>
            <w:tcW w:w="100" w:type="dxa"/>
            <w:vAlign w:val="bottom"/>
            <w:shd w:val="clear" w:color="auto" w:fill="E8EDF4"/>
          </w:tcPr>
          <w:p>
            <w:pPr>
              <w:spacing w:after="0"/>
              <w:rPr>
                <w:sz w:val="8"/>
                <w:szCs w:val="8"/>
                <w:color w:val="auto"/>
              </w:rPr>
            </w:pPr>
          </w:p>
        </w:tc>
        <w:tc>
          <w:tcPr>
            <w:tcW w:w="8360" w:type="dxa"/>
            <w:vAlign w:val="bottom"/>
            <w:tcBorders>
              <w:right w:val="single" w:sz="8" w:color="4C4C4C"/>
            </w:tcBorders>
            <w:gridSpan w:val="2"/>
            <w:vMerge w:val="continue"/>
            <w:shd w:val="clear" w:color="auto" w:fill="E8EDF4"/>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580" w:type="dxa"/>
            <w:vAlign w:val="bottom"/>
            <w:tcBorders>
              <w:left w:val="single" w:sz="8" w:color="4C4C4C"/>
            </w:tcBorders>
            <w:shd w:val="clear" w:color="auto" w:fill="052B82"/>
          </w:tcPr>
          <w:p>
            <w:pPr>
              <w:ind w:left="200"/>
              <w:spacing w:after="0"/>
              <w:rPr>
                <w:sz w:val="20"/>
                <w:szCs w:val="20"/>
                <w:color w:val="auto"/>
              </w:rPr>
            </w:pPr>
            <w:r>
              <w:rPr>
                <w:rFonts w:ascii="Arial" w:cs="Arial" w:eastAsia="Arial" w:hAnsi="Arial"/>
                <w:sz w:val="18"/>
                <w:szCs w:val="18"/>
                <w:b w:val="1"/>
                <w:bCs w:val="1"/>
                <w:color w:val="FFFFFF"/>
              </w:rPr>
              <w:t>Committee(s):</w:t>
            </w:r>
          </w:p>
        </w:tc>
        <w:tc>
          <w:tcPr>
            <w:tcW w:w="100" w:type="dxa"/>
            <w:vAlign w:val="bottom"/>
            <w:shd w:val="clear" w:color="auto" w:fill="E8EDF4"/>
          </w:tcPr>
          <w:p>
            <w:pPr>
              <w:spacing w:after="0"/>
              <w:rPr>
                <w:sz w:val="18"/>
                <w:szCs w:val="18"/>
                <w:color w:val="auto"/>
              </w:rPr>
            </w:pPr>
          </w:p>
        </w:tc>
        <w:tc>
          <w:tcPr>
            <w:tcW w:w="8360" w:type="dxa"/>
            <w:vAlign w:val="bottom"/>
            <w:tcBorders>
              <w:right w:val="single" w:sz="8" w:color="4C4C4C"/>
            </w:tcBorders>
            <w:gridSpan w:val="2"/>
            <w:shd w:val="clear" w:color="auto" w:fill="E8EDF4"/>
          </w:tcPr>
          <w:p>
            <w:pPr>
              <w:spacing w:after="0"/>
              <w:rPr>
                <w:sz w:val="20"/>
                <w:szCs w:val="20"/>
                <w:color w:val="auto"/>
              </w:rPr>
            </w:pPr>
            <w:r>
              <w:rPr>
                <w:rFonts w:ascii="Arial" w:cs="Arial" w:eastAsia="Arial" w:hAnsi="Arial"/>
                <w:sz w:val="18"/>
                <w:szCs w:val="18"/>
                <w:color w:val="auto"/>
              </w:rPr>
              <w:t>of Epigram, Inc., a developer of integrated circuits and software for home networking, which Broadcom</w:t>
            </w:r>
          </w:p>
        </w:tc>
        <w:tc>
          <w:tcPr>
            <w:tcW w:w="0" w:type="dxa"/>
            <w:vAlign w:val="bottom"/>
          </w:tcPr>
          <w:p>
            <w:pPr>
              <w:spacing w:after="0"/>
              <w:rPr>
                <w:sz w:val="1"/>
                <w:szCs w:val="1"/>
                <w:color w:val="auto"/>
              </w:rPr>
            </w:pPr>
          </w:p>
        </w:tc>
      </w:tr>
      <w:tr>
        <w:trPr>
          <w:trHeight w:val="203"/>
        </w:trPr>
        <w:tc>
          <w:tcPr>
            <w:tcW w:w="2580" w:type="dxa"/>
            <w:vAlign w:val="bottom"/>
            <w:tcBorders>
              <w:left w:val="single" w:sz="8" w:color="4C4C4C"/>
            </w:tcBorders>
            <w:shd w:val="clear" w:color="auto" w:fill="052B82"/>
          </w:tcPr>
          <w:p>
            <w:pPr>
              <w:ind w:left="200"/>
              <w:spacing w:after="0" w:line="202" w:lineRule="exact"/>
              <w:rPr>
                <w:sz w:val="20"/>
                <w:szCs w:val="20"/>
                <w:color w:val="auto"/>
              </w:rPr>
            </w:pPr>
            <w:r>
              <w:rPr>
                <w:rFonts w:ascii="Arial" w:cs="Arial" w:eastAsia="Arial" w:hAnsi="Arial"/>
                <w:sz w:val="18"/>
                <w:szCs w:val="18"/>
                <w:color w:val="FFFFFF"/>
              </w:rPr>
              <w:t>Compensation</w:t>
            </w:r>
          </w:p>
        </w:tc>
        <w:tc>
          <w:tcPr>
            <w:tcW w:w="100" w:type="dxa"/>
            <w:vAlign w:val="bottom"/>
            <w:shd w:val="clear" w:color="auto" w:fill="E8EDF4"/>
          </w:tcPr>
          <w:p>
            <w:pPr>
              <w:spacing w:after="0"/>
              <w:rPr>
                <w:sz w:val="17"/>
                <w:szCs w:val="17"/>
                <w:color w:val="auto"/>
              </w:rPr>
            </w:pPr>
          </w:p>
        </w:tc>
        <w:tc>
          <w:tcPr>
            <w:tcW w:w="8360" w:type="dxa"/>
            <w:vAlign w:val="bottom"/>
            <w:tcBorders>
              <w:right w:val="single" w:sz="8" w:color="4C4C4C"/>
            </w:tcBorders>
            <w:gridSpan w:val="2"/>
            <w:shd w:val="clear" w:color="auto" w:fill="E8EDF4"/>
          </w:tcPr>
          <w:p>
            <w:pPr>
              <w:spacing w:after="0" w:line="202" w:lineRule="exact"/>
              <w:rPr>
                <w:sz w:val="20"/>
                <w:szCs w:val="20"/>
                <w:color w:val="auto"/>
              </w:rPr>
            </w:pPr>
            <w:r>
              <w:rPr>
                <w:rFonts w:ascii="Arial" w:cs="Arial" w:eastAsia="Arial" w:hAnsi="Arial"/>
                <w:sz w:val="18"/>
                <w:szCs w:val="18"/>
                <w:color w:val="auto"/>
              </w:rPr>
              <w:t>acquired in 1999, and was a Distinguished Engineer at Sun Microsystems, Inc. Dr. Frank is vice-</w:t>
            </w:r>
          </w:p>
        </w:tc>
        <w:tc>
          <w:tcPr>
            <w:tcW w:w="0" w:type="dxa"/>
            <w:vAlign w:val="bottom"/>
          </w:tcPr>
          <w:p>
            <w:pPr>
              <w:spacing w:after="0"/>
              <w:rPr>
                <w:sz w:val="1"/>
                <w:szCs w:val="1"/>
                <w:color w:val="auto"/>
              </w:rPr>
            </w:pPr>
          </w:p>
        </w:tc>
      </w:tr>
      <w:tr>
        <w:trPr>
          <w:trHeight w:val="188"/>
        </w:trPr>
        <w:tc>
          <w:tcPr>
            <w:tcW w:w="2580" w:type="dxa"/>
            <w:vAlign w:val="bottom"/>
            <w:tcBorders>
              <w:left w:val="single" w:sz="8" w:color="4C4C4C"/>
            </w:tcBorders>
            <w:shd w:val="clear" w:color="auto" w:fill="052B82"/>
          </w:tcPr>
          <w:p>
            <w:pPr>
              <w:spacing w:after="0"/>
              <w:rPr>
                <w:sz w:val="16"/>
                <w:szCs w:val="16"/>
                <w:color w:val="auto"/>
              </w:rPr>
            </w:pPr>
          </w:p>
        </w:tc>
        <w:tc>
          <w:tcPr>
            <w:tcW w:w="100" w:type="dxa"/>
            <w:vAlign w:val="bottom"/>
            <w:shd w:val="clear" w:color="auto" w:fill="E8EDF4"/>
          </w:tcPr>
          <w:p>
            <w:pPr>
              <w:spacing w:after="0"/>
              <w:rPr>
                <w:sz w:val="16"/>
                <w:szCs w:val="16"/>
                <w:color w:val="auto"/>
              </w:rPr>
            </w:pPr>
          </w:p>
        </w:tc>
        <w:tc>
          <w:tcPr>
            <w:tcW w:w="8360" w:type="dxa"/>
            <w:vAlign w:val="bottom"/>
            <w:tcBorders>
              <w:right w:val="single" w:sz="8" w:color="4C4C4C"/>
            </w:tcBorders>
            <w:gridSpan w:val="2"/>
            <w:shd w:val="clear" w:color="auto" w:fill="E8EDF4"/>
          </w:tcPr>
          <w:p>
            <w:pPr>
              <w:spacing w:after="0" w:line="189" w:lineRule="exact"/>
              <w:rPr>
                <w:sz w:val="20"/>
                <w:szCs w:val="20"/>
                <w:color w:val="auto"/>
              </w:rPr>
            </w:pPr>
            <w:r>
              <w:rPr>
                <w:rFonts w:ascii="Arial" w:cs="Arial" w:eastAsia="Arial" w:hAnsi="Arial"/>
                <w:sz w:val="18"/>
                <w:szCs w:val="18"/>
                <w:color w:val="auto"/>
              </w:rPr>
              <w:t>chairman of Carnegie Mellon University Board of Trustees, where he has been a Trustee since 2000,</w:t>
            </w:r>
          </w:p>
        </w:tc>
        <w:tc>
          <w:tcPr>
            <w:tcW w:w="0" w:type="dxa"/>
            <w:vAlign w:val="bottom"/>
          </w:tcPr>
          <w:p>
            <w:pPr>
              <w:spacing w:after="0"/>
              <w:rPr>
                <w:sz w:val="1"/>
                <w:szCs w:val="1"/>
                <w:color w:val="auto"/>
              </w:rPr>
            </w:pPr>
          </w:p>
        </w:tc>
      </w:tr>
      <w:tr>
        <w:trPr>
          <w:trHeight w:val="203"/>
        </w:trPr>
        <w:tc>
          <w:tcPr>
            <w:tcW w:w="2580" w:type="dxa"/>
            <w:vAlign w:val="bottom"/>
            <w:tcBorders>
              <w:left w:val="single" w:sz="8" w:color="4C4C4C"/>
            </w:tcBorders>
            <w:shd w:val="clear" w:color="auto" w:fill="052B82"/>
          </w:tcPr>
          <w:p>
            <w:pPr>
              <w:spacing w:after="0"/>
              <w:rPr>
                <w:sz w:val="17"/>
                <w:szCs w:val="17"/>
                <w:color w:val="auto"/>
              </w:rPr>
            </w:pPr>
          </w:p>
        </w:tc>
        <w:tc>
          <w:tcPr>
            <w:tcW w:w="100" w:type="dxa"/>
            <w:vAlign w:val="bottom"/>
            <w:shd w:val="clear" w:color="auto" w:fill="E8EDF4"/>
          </w:tcPr>
          <w:p>
            <w:pPr>
              <w:spacing w:after="0"/>
              <w:rPr>
                <w:sz w:val="17"/>
                <w:szCs w:val="17"/>
                <w:color w:val="auto"/>
              </w:rPr>
            </w:pPr>
          </w:p>
        </w:tc>
        <w:tc>
          <w:tcPr>
            <w:tcW w:w="8360" w:type="dxa"/>
            <w:vAlign w:val="bottom"/>
            <w:tcBorders>
              <w:right w:val="single" w:sz="8" w:color="4C4C4C"/>
            </w:tcBorders>
            <w:gridSpan w:val="2"/>
            <w:shd w:val="clear" w:color="auto" w:fill="E8EDF4"/>
          </w:tcPr>
          <w:p>
            <w:pPr>
              <w:spacing w:after="0" w:line="202" w:lineRule="exact"/>
              <w:rPr>
                <w:sz w:val="20"/>
                <w:szCs w:val="20"/>
                <w:color w:val="auto"/>
              </w:rPr>
            </w:pPr>
            <w:r>
              <w:rPr>
                <w:rFonts w:ascii="Arial" w:cs="Arial" w:eastAsia="Arial" w:hAnsi="Arial"/>
                <w:sz w:val="18"/>
                <w:szCs w:val="18"/>
                <w:color w:val="auto"/>
              </w:rPr>
              <w:t>and since July 2017, has been Executive Director (pro bono) of Metallica’s All Within My Hands</w:t>
            </w:r>
          </w:p>
        </w:tc>
        <w:tc>
          <w:tcPr>
            <w:tcW w:w="0" w:type="dxa"/>
            <w:vAlign w:val="bottom"/>
          </w:tcPr>
          <w:p>
            <w:pPr>
              <w:spacing w:after="0"/>
              <w:rPr>
                <w:sz w:val="1"/>
                <w:szCs w:val="1"/>
                <w:color w:val="auto"/>
              </w:rPr>
            </w:pPr>
          </w:p>
        </w:tc>
      </w:tr>
      <w:tr>
        <w:trPr>
          <w:trHeight w:val="217"/>
        </w:trPr>
        <w:tc>
          <w:tcPr>
            <w:tcW w:w="2580" w:type="dxa"/>
            <w:vAlign w:val="bottom"/>
            <w:tcBorders>
              <w:left w:val="single" w:sz="8" w:color="4C4C4C"/>
            </w:tcBorders>
            <w:shd w:val="clear" w:color="auto" w:fill="052B82"/>
          </w:tcPr>
          <w:p>
            <w:pPr>
              <w:spacing w:after="0"/>
              <w:rPr>
                <w:sz w:val="18"/>
                <w:szCs w:val="18"/>
                <w:color w:val="auto"/>
              </w:rPr>
            </w:pPr>
          </w:p>
        </w:tc>
        <w:tc>
          <w:tcPr>
            <w:tcW w:w="100" w:type="dxa"/>
            <w:vAlign w:val="bottom"/>
            <w:shd w:val="clear" w:color="auto" w:fill="E8EDF4"/>
          </w:tcPr>
          <w:p>
            <w:pPr>
              <w:spacing w:after="0"/>
              <w:rPr>
                <w:sz w:val="18"/>
                <w:szCs w:val="18"/>
                <w:color w:val="auto"/>
              </w:rPr>
            </w:pPr>
          </w:p>
        </w:tc>
        <w:tc>
          <w:tcPr>
            <w:tcW w:w="4040" w:type="dxa"/>
            <w:vAlign w:val="bottom"/>
            <w:shd w:val="clear" w:color="auto" w:fill="E8EDF4"/>
          </w:tcPr>
          <w:p>
            <w:pPr>
              <w:spacing w:after="0"/>
              <w:rPr>
                <w:sz w:val="20"/>
                <w:szCs w:val="20"/>
                <w:color w:val="auto"/>
              </w:rPr>
            </w:pPr>
            <w:r>
              <w:rPr>
                <w:rFonts w:ascii="Arial" w:cs="Arial" w:eastAsia="Arial" w:hAnsi="Arial"/>
                <w:sz w:val="18"/>
                <w:szCs w:val="18"/>
                <w:color w:val="auto"/>
              </w:rPr>
              <w:t>Foundation.</w:t>
            </w:r>
          </w:p>
        </w:tc>
        <w:tc>
          <w:tcPr>
            <w:tcW w:w="4320" w:type="dxa"/>
            <w:vAlign w:val="bottom"/>
            <w:tcBorders>
              <w:right w:val="single" w:sz="8" w:color="4C4C4C"/>
            </w:tcBorders>
            <w:shd w:val="clear" w:color="auto" w:fill="E8EDF4"/>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2580" w:type="dxa"/>
            <w:vAlign w:val="bottom"/>
            <w:tcBorders>
              <w:left w:val="single" w:sz="8" w:color="4C4C4C"/>
            </w:tcBorders>
            <w:shd w:val="clear" w:color="auto" w:fill="052B82"/>
          </w:tcPr>
          <w:p>
            <w:pPr>
              <w:spacing w:after="0"/>
              <w:rPr>
                <w:sz w:val="24"/>
                <w:szCs w:val="24"/>
                <w:color w:val="auto"/>
              </w:rPr>
            </w:pPr>
          </w:p>
        </w:tc>
        <w:tc>
          <w:tcPr>
            <w:tcW w:w="100" w:type="dxa"/>
            <w:vAlign w:val="bottom"/>
            <w:shd w:val="clear" w:color="auto" w:fill="E8EDF4"/>
          </w:tcPr>
          <w:p>
            <w:pPr>
              <w:spacing w:after="0"/>
              <w:rPr>
                <w:sz w:val="24"/>
                <w:szCs w:val="24"/>
                <w:color w:val="auto"/>
              </w:rPr>
            </w:pPr>
          </w:p>
        </w:tc>
        <w:tc>
          <w:tcPr>
            <w:tcW w:w="4040" w:type="dxa"/>
            <w:vAlign w:val="bottom"/>
            <w:shd w:val="clear" w:color="auto" w:fill="E8EDF4"/>
          </w:tcPr>
          <w:p>
            <w:pPr>
              <w:spacing w:after="0"/>
              <w:rPr>
                <w:sz w:val="20"/>
                <w:szCs w:val="20"/>
                <w:color w:val="auto"/>
              </w:rPr>
            </w:pPr>
            <w:r>
              <w:rPr>
                <w:rFonts w:ascii="Arial" w:cs="Arial" w:eastAsia="Arial" w:hAnsi="Arial"/>
                <w:sz w:val="18"/>
                <w:szCs w:val="18"/>
                <w:b w:val="1"/>
                <w:bCs w:val="1"/>
                <w:color w:val="auto"/>
              </w:rPr>
              <w:t>Key Qualifications and Expertise</w:t>
            </w:r>
          </w:p>
        </w:tc>
        <w:tc>
          <w:tcPr>
            <w:tcW w:w="4320" w:type="dxa"/>
            <w:vAlign w:val="bottom"/>
            <w:tcBorders>
              <w:right w:val="single" w:sz="8" w:color="4C4C4C"/>
            </w:tcBorders>
            <w:shd w:val="clear" w:color="auto" w:fill="E8EDF4"/>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580" w:type="dxa"/>
            <w:vAlign w:val="bottom"/>
            <w:tcBorders>
              <w:left w:val="single" w:sz="8" w:color="4C4C4C"/>
            </w:tcBorders>
            <w:shd w:val="clear" w:color="auto" w:fill="052B82"/>
          </w:tcPr>
          <w:p>
            <w:pPr>
              <w:spacing w:after="0"/>
              <w:rPr>
                <w:sz w:val="24"/>
                <w:szCs w:val="24"/>
                <w:color w:val="auto"/>
              </w:rPr>
            </w:pPr>
          </w:p>
        </w:tc>
        <w:tc>
          <w:tcPr>
            <w:tcW w:w="100" w:type="dxa"/>
            <w:vAlign w:val="bottom"/>
            <w:shd w:val="clear" w:color="auto" w:fill="E8EDF4"/>
          </w:tcPr>
          <w:p>
            <w:pPr>
              <w:spacing w:after="0"/>
              <w:rPr>
                <w:sz w:val="24"/>
                <w:szCs w:val="24"/>
                <w:color w:val="auto"/>
              </w:rPr>
            </w:pPr>
          </w:p>
        </w:tc>
        <w:tc>
          <w:tcPr>
            <w:tcW w:w="8360" w:type="dxa"/>
            <w:vAlign w:val="bottom"/>
            <w:tcBorders>
              <w:right w:val="single" w:sz="8" w:color="4C4C4C"/>
            </w:tcBorders>
            <w:gridSpan w:val="2"/>
            <w:shd w:val="clear" w:color="auto" w:fill="E8EDF4"/>
          </w:tcPr>
          <w:p>
            <w:pPr>
              <w:spacing w:after="0"/>
              <w:rPr>
                <w:sz w:val="20"/>
                <w:szCs w:val="20"/>
                <w:color w:val="auto"/>
              </w:rPr>
            </w:pPr>
            <w:r>
              <w:rPr>
                <w:rFonts w:ascii="Arial" w:cs="Arial" w:eastAsia="Arial" w:hAnsi="Arial"/>
                <w:sz w:val="18"/>
                <w:szCs w:val="18"/>
                <w:color w:val="auto"/>
              </w:rPr>
              <w:t>We believe Dr. Frank’s qualifications to serve on our Board of Directors include his substantial</w:t>
            </w:r>
          </w:p>
        </w:tc>
        <w:tc>
          <w:tcPr>
            <w:tcW w:w="0" w:type="dxa"/>
            <w:vAlign w:val="bottom"/>
          </w:tcPr>
          <w:p>
            <w:pPr>
              <w:spacing w:after="0"/>
              <w:rPr>
                <w:sz w:val="1"/>
                <w:szCs w:val="1"/>
                <w:color w:val="auto"/>
              </w:rPr>
            </w:pPr>
          </w:p>
        </w:tc>
      </w:tr>
      <w:tr>
        <w:trPr>
          <w:trHeight w:val="203"/>
        </w:trPr>
        <w:tc>
          <w:tcPr>
            <w:tcW w:w="2580" w:type="dxa"/>
            <w:vAlign w:val="bottom"/>
            <w:tcBorders>
              <w:left w:val="single" w:sz="8" w:color="4C4C4C"/>
            </w:tcBorders>
            <w:shd w:val="clear" w:color="auto" w:fill="052B82"/>
          </w:tcPr>
          <w:p>
            <w:pPr>
              <w:spacing w:after="0"/>
              <w:rPr>
                <w:sz w:val="17"/>
                <w:szCs w:val="17"/>
                <w:color w:val="auto"/>
              </w:rPr>
            </w:pPr>
          </w:p>
        </w:tc>
        <w:tc>
          <w:tcPr>
            <w:tcW w:w="100" w:type="dxa"/>
            <w:vAlign w:val="bottom"/>
            <w:shd w:val="clear" w:color="auto" w:fill="E8EDF4"/>
          </w:tcPr>
          <w:p>
            <w:pPr>
              <w:spacing w:after="0"/>
              <w:rPr>
                <w:sz w:val="17"/>
                <w:szCs w:val="17"/>
                <w:color w:val="auto"/>
              </w:rPr>
            </w:pPr>
          </w:p>
        </w:tc>
        <w:tc>
          <w:tcPr>
            <w:tcW w:w="8360" w:type="dxa"/>
            <w:vAlign w:val="bottom"/>
            <w:tcBorders>
              <w:right w:val="single" w:sz="8" w:color="4C4C4C"/>
            </w:tcBorders>
            <w:gridSpan w:val="2"/>
            <w:shd w:val="clear" w:color="auto" w:fill="E8EDF4"/>
          </w:tcPr>
          <w:p>
            <w:pPr>
              <w:spacing w:after="0" w:line="202" w:lineRule="exact"/>
              <w:rPr>
                <w:sz w:val="20"/>
                <w:szCs w:val="20"/>
                <w:color w:val="auto"/>
              </w:rPr>
            </w:pPr>
            <w:r>
              <w:rPr>
                <w:rFonts w:ascii="Arial" w:cs="Arial" w:eastAsia="Arial" w:hAnsi="Arial"/>
                <w:sz w:val="18"/>
                <w:szCs w:val="18"/>
                <w:color w:val="auto"/>
              </w:rPr>
              <w:t>experience in the design, manufacture, sale and marketing of semiconductors for a broad set of</w:t>
            </w:r>
          </w:p>
        </w:tc>
        <w:tc>
          <w:tcPr>
            <w:tcW w:w="0" w:type="dxa"/>
            <w:vAlign w:val="bottom"/>
          </w:tcPr>
          <w:p>
            <w:pPr>
              <w:spacing w:after="0"/>
              <w:rPr>
                <w:sz w:val="1"/>
                <w:szCs w:val="1"/>
                <w:color w:val="auto"/>
              </w:rPr>
            </w:pPr>
          </w:p>
        </w:tc>
      </w:tr>
      <w:tr>
        <w:trPr>
          <w:trHeight w:val="203"/>
        </w:trPr>
        <w:tc>
          <w:tcPr>
            <w:tcW w:w="2580" w:type="dxa"/>
            <w:vAlign w:val="bottom"/>
            <w:tcBorders>
              <w:left w:val="single" w:sz="8" w:color="4C4C4C"/>
            </w:tcBorders>
            <w:shd w:val="clear" w:color="auto" w:fill="052B82"/>
          </w:tcPr>
          <w:p>
            <w:pPr>
              <w:spacing w:after="0"/>
              <w:rPr>
                <w:sz w:val="17"/>
                <w:szCs w:val="17"/>
                <w:color w:val="auto"/>
              </w:rPr>
            </w:pPr>
          </w:p>
        </w:tc>
        <w:tc>
          <w:tcPr>
            <w:tcW w:w="100" w:type="dxa"/>
            <w:vAlign w:val="bottom"/>
            <w:shd w:val="clear" w:color="auto" w:fill="E8EDF4"/>
          </w:tcPr>
          <w:p>
            <w:pPr>
              <w:spacing w:after="0"/>
              <w:rPr>
                <w:sz w:val="17"/>
                <w:szCs w:val="17"/>
                <w:color w:val="auto"/>
              </w:rPr>
            </w:pPr>
          </w:p>
        </w:tc>
        <w:tc>
          <w:tcPr>
            <w:tcW w:w="8360" w:type="dxa"/>
            <w:vAlign w:val="bottom"/>
            <w:tcBorders>
              <w:right w:val="single" w:sz="8" w:color="4C4C4C"/>
            </w:tcBorders>
            <w:gridSpan w:val="2"/>
            <w:shd w:val="clear" w:color="auto" w:fill="E8EDF4"/>
          </w:tcPr>
          <w:p>
            <w:pPr>
              <w:spacing w:after="0" w:line="202" w:lineRule="exact"/>
              <w:rPr>
                <w:sz w:val="20"/>
                <w:szCs w:val="20"/>
                <w:color w:val="auto"/>
              </w:rPr>
            </w:pPr>
            <w:r>
              <w:rPr>
                <w:rFonts w:ascii="Arial" w:cs="Arial" w:eastAsia="Arial" w:hAnsi="Arial"/>
                <w:sz w:val="18"/>
                <w:szCs w:val="18"/>
                <w:color w:val="auto"/>
              </w:rPr>
              <w:t>markets, including many of the markets serviced by the Company and his extensive executive</w:t>
            </w:r>
          </w:p>
        </w:tc>
        <w:tc>
          <w:tcPr>
            <w:tcW w:w="0" w:type="dxa"/>
            <w:vAlign w:val="bottom"/>
          </w:tcPr>
          <w:p>
            <w:pPr>
              <w:spacing w:after="0"/>
              <w:rPr>
                <w:sz w:val="1"/>
                <w:szCs w:val="1"/>
                <w:color w:val="auto"/>
              </w:rPr>
            </w:pPr>
          </w:p>
        </w:tc>
      </w:tr>
      <w:tr>
        <w:trPr>
          <w:trHeight w:val="217"/>
        </w:trPr>
        <w:tc>
          <w:tcPr>
            <w:tcW w:w="2580" w:type="dxa"/>
            <w:vAlign w:val="bottom"/>
            <w:tcBorders>
              <w:left w:val="single" w:sz="8" w:color="4C4C4C"/>
            </w:tcBorders>
            <w:shd w:val="clear" w:color="auto" w:fill="052B82"/>
          </w:tcPr>
          <w:p>
            <w:pPr>
              <w:spacing w:after="0"/>
              <w:rPr>
                <w:sz w:val="18"/>
                <w:szCs w:val="18"/>
                <w:color w:val="auto"/>
              </w:rPr>
            </w:pPr>
          </w:p>
        </w:tc>
        <w:tc>
          <w:tcPr>
            <w:tcW w:w="100" w:type="dxa"/>
            <w:vAlign w:val="bottom"/>
            <w:shd w:val="clear" w:color="auto" w:fill="E8EDF4"/>
          </w:tcPr>
          <w:p>
            <w:pPr>
              <w:spacing w:after="0"/>
              <w:rPr>
                <w:sz w:val="18"/>
                <w:szCs w:val="18"/>
                <w:color w:val="auto"/>
              </w:rPr>
            </w:pPr>
          </w:p>
        </w:tc>
        <w:tc>
          <w:tcPr>
            <w:tcW w:w="4040" w:type="dxa"/>
            <w:vAlign w:val="bottom"/>
            <w:shd w:val="clear" w:color="auto" w:fill="E8EDF4"/>
          </w:tcPr>
          <w:p>
            <w:pPr>
              <w:spacing w:after="0"/>
              <w:rPr>
                <w:sz w:val="20"/>
                <w:szCs w:val="20"/>
                <w:color w:val="auto"/>
              </w:rPr>
            </w:pPr>
            <w:r>
              <w:rPr>
                <w:rFonts w:ascii="Arial" w:cs="Arial" w:eastAsia="Arial" w:hAnsi="Arial"/>
                <w:sz w:val="18"/>
                <w:szCs w:val="18"/>
                <w:color w:val="auto"/>
              </w:rPr>
              <w:t>leadership experience.</w:t>
            </w:r>
          </w:p>
        </w:tc>
        <w:tc>
          <w:tcPr>
            <w:tcW w:w="4320" w:type="dxa"/>
            <w:vAlign w:val="bottom"/>
            <w:tcBorders>
              <w:right w:val="single" w:sz="8" w:color="4C4C4C"/>
            </w:tcBorders>
            <w:shd w:val="clear" w:color="auto" w:fill="E8EDF4"/>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580" w:type="dxa"/>
            <w:vAlign w:val="bottom"/>
            <w:tcBorders>
              <w:left w:val="single" w:sz="8" w:color="4C4C4C"/>
            </w:tcBorders>
            <w:shd w:val="clear" w:color="auto" w:fill="052B82"/>
          </w:tcPr>
          <w:p>
            <w:pPr>
              <w:spacing w:after="0"/>
              <w:rPr>
                <w:sz w:val="24"/>
                <w:szCs w:val="24"/>
                <w:color w:val="auto"/>
              </w:rPr>
            </w:pPr>
          </w:p>
        </w:tc>
        <w:tc>
          <w:tcPr>
            <w:tcW w:w="100" w:type="dxa"/>
            <w:vAlign w:val="bottom"/>
            <w:shd w:val="clear" w:color="auto" w:fill="E8EDF4"/>
          </w:tcPr>
          <w:p>
            <w:pPr>
              <w:spacing w:after="0"/>
              <w:rPr>
                <w:sz w:val="24"/>
                <w:szCs w:val="24"/>
                <w:color w:val="auto"/>
              </w:rPr>
            </w:pPr>
          </w:p>
        </w:tc>
        <w:tc>
          <w:tcPr>
            <w:tcW w:w="4040" w:type="dxa"/>
            <w:vAlign w:val="bottom"/>
            <w:shd w:val="clear" w:color="auto" w:fill="E8EDF4"/>
          </w:tcPr>
          <w:p>
            <w:pPr>
              <w:spacing w:after="0"/>
              <w:rPr>
                <w:sz w:val="20"/>
                <w:szCs w:val="20"/>
                <w:color w:val="auto"/>
              </w:rPr>
            </w:pPr>
            <w:r>
              <w:rPr>
                <w:rFonts w:ascii="Arial" w:cs="Arial" w:eastAsia="Arial" w:hAnsi="Arial"/>
                <w:sz w:val="18"/>
                <w:szCs w:val="18"/>
                <w:b w:val="1"/>
                <w:bCs w:val="1"/>
                <w:color w:val="auto"/>
              </w:rPr>
              <w:t>Other Public Company Boards</w:t>
            </w:r>
          </w:p>
        </w:tc>
        <w:tc>
          <w:tcPr>
            <w:tcW w:w="4320" w:type="dxa"/>
            <w:vAlign w:val="bottom"/>
            <w:tcBorders>
              <w:right w:val="single" w:sz="8" w:color="4C4C4C"/>
            </w:tcBorders>
            <w:shd w:val="clear" w:color="auto" w:fill="E8EDF4"/>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580" w:type="dxa"/>
            <w:vAlign w:val="bottom"/>
            <w:tcBorders>
              <w:left w:val="single" w:sz="8" w:color="4C4C4C"/>
            </w:tcBorders>
            <w:shd w:val="clear" w:color="auto" w:fill="052B82"/>
          </w:tcPr>
          <w:p>
            <w:pPr>
              <w:spacing w:after="0"/>
              <w:rPr>
                <w:sz w:val="24"/>
                <w:szCs w:val="24"/>
                <w:color w:val="auto"/>
              </w:rPr>
            </w:pPr>
          </w:p>
        </w:tc>
        <w:tc>
          <w:tcPr>
            <w:tcW w:w="100" w:type="dxa"/>
            <w:vAlign w:val="bottom"/>
            <w:shd w:val="clear" w:color="auto" w:fill="E8EDF4"/>
          </w:tcPr>
          <w:p>
            <w:pPr>
              <w:spacing w:after="0"/>
              <w:rPr>
                <w:sz w:val="24"/>
                <w:szCs w:val="24"/>
                <w:color w:val="auto"/>
              </w:rPr>
            </w:pPr>
          </w:p>
        </w:tc>
        <w:tc>
          <w:tcPr>
            <w:tcW w:w="4040" w:type="dxa"/>
            <w:vAlign w:val="bottom"/>
            <w:shd w:val="clear" w:color="auto" w:fill="E8EDF4"/>
          </w:tcPr>
          <w:p>
            <w:pPr>
              <w:spacing w:after="0"/>
              <w:rPr>
                <w:sz w:val="20"/>
                <w:szCs w:val="20"/>
                <w:color w:val="auto"/>
              </w:rPr>
            </w:pPr>
            <w:r>
              <w:rPr>
                <w:rFonts w:ascii="Arial" w:cs="Arial" w:eastAsia="Arial" w:hAnsi="Arial"/>
                <w:sz w:val="18"/>
                <w:szCs w:val="18"/>
                <w:b w:val="1"/>
                <w:bCs w:val="1"/>
                <w:color w:val="auto"/>
              </w:rPr>
              <w:t>Current</w:t>
            </w:r>
          </w:p>
        </w:tc>
        <w:tc>
          <w:tcPr>
            <w:tcW w:w="4320" w:type="dxa"/>
            <w:vAlign w:val="bottom"/>
            <w:tcBorders>
              <w:right w:val="single" w:sz="8" w:color="4C4C4C"/>
            </w:tcBorders>
            <w:shd w:val="clear" w:color="auto" w:fill="E8EDF4"/>
          </w:tcPr>
          <w:p>
            <w:pPr>
              <w:ind w:left="120"/>
              <w:spacing w:after="0"/>
              <w:rPr>
                <w:sz w:val="20"/>
                <w:szCs w:val="20"/>
                <w:color w:val="auto"/>
              </w:rPr>
            </w:pPr>
            <w:r>
              <w:rPr>
                <w:rFonts w:ascii="Arial" w:cs="Arial" w:eastAsia="Arial" w:hAnsi="Arial"/>
                <w:sz w:val="18"/>
                <w:szCs w:val="18"/>
                <w:b w:val="1"/>
                <w:bCs w:val="1"/>
                <w:color w:val="auto"/>
              </w:rPr>
              <w:t>Past 5 Years</w:t>
            </w:r>
          </w:p>
        </w:tc>
        <w:tc>
          <w:tcPr>
            <w:tcW w:w="0" w:type="dxa"/>
            <w:vAlign w:val="bottom"/>
          </w:tcPr>
          <w:p>
            <w:pPr>
              <w:spacing w:after="0"/>
              <w:rPr>
                <w:sz w:val="1"/>
                <w:szCs w:val="1"/>
                <w:color w:val="auto"/>
              </w:rPr>
            </w:pPr>
          </w:p>
        </w:tc>
      </w:tr>
      <w:tr>
        <w:trPr>
          <w:trHeight w:val="203"/>
        </w:trPr>
        <w:tc>
          <w:tcPr>
            <w:tcW w:w="2580" w:type="dxa"/>
            <w:vAlign w:val="bottom"/>
            <w:tcBorders>
              <w:left w:val="single" w:sz="8" w:color="4C4C4C"/>
            </w:tcBorders>
            <w:shd w:val="clear" w:color="auto" w:fill="052B82"/>
          </w:tcPr>
          <w:p>
            <w:pPr>
              <w:spacing w:after="0"/>
              <w:rPr>
                <w:sz w:val="17"/>
                <w:szCs w:val="17"/>
                <w:color w:val="auto"/>
              </w:rPr>
            </w:pPr>
          </w:p>
        </w:tc>
        <w:tc>
          <w:tcPr>
            <w:tcW w:w="100" w:type="dxa"/>
            <w:vAlign w:val="bottom"/>
            <w:shd w:val="clear" w:color="auto" w:fill="E8EDF4"/>
          </w:tcPr>
          <w:p>
            <w:pPr>
              <w:spacing w:after="0"/>
              <w:rPr>
                <w:sz w:val="17"/>
                <w:szCs w:val="17"/>
                <w:color w:val="auto"/>
              </w:rPr>
            </w:pPr>
          </w:p>
        </w:tc>
        <w:tc>
          <w:tcPr>
            <w:tcW w:w="4040" w:type="dxa"/>
            <w:vAlign w:val="bottom"/>
            <w:shd w:val="clear" w:color="auto" w:fill="E8EDF4"/>
          </w:tcPr>
          <w:p>
            <w:pPr>
              <w:spacing w:after="0" w:line="202" w:lineRule="exact"/>
              <w:rPr>
                <w:sz w:val="20"/>
                <w:szCs w:val="20"/>
                <w:color w:val="auto"/>
              </w:rPr>
            </w:pPr>
            <w:r>
              <w:rPr>
                <w:rFonts w:ascii="Arial" w:cs="Arial" w:eastAsia="Arial" w:hAnsi="Arial"/>
                <w:sz w:val="18"/>
                <w:szCs w:val="18"/>
                <w:color w:val="auto"/>
              </w:rPr>
              <w:t>Amesite, Inc.</w:t>
            </w:r>
          </w:p>
        </w:tc>
        <w:tc>
          <w:tcPr>
            <w:tcW w:w="4320" w:type="dxa"/>
            <w:vAlign w:val="bottom"/>
            <w:tcBorders>
              <w:right w:val="single" w:sz="8" w:color="4C4C4C"/>
            </w:tcBorders>
            <w:shd w:val="clear" w:color="auto" w:fill="E8EDF4"/>
          </w:tcPr>
          <w:p>
            <w:pPr>
              <w:ind w:left="120"/>
              <w:spacing w:after="0" w:line="202" w:lineRule="exact"/>
              <w:rPr>
                <w:sz w:val="20"/>
                <w:szCs w:val="20"/>
                <w:color w:val="auto"/>
              </w:rPr>
            </w:pPr>
            <w:r>
              <w:rPr>
                <w:rFonts w:ascii="Arial" w:cs="Arial" w:eastAsia="Arial" w:hAnsi="Arial"/>
                <w:sz w:val="18"/>
                <w:szCs w:val="18"/>
                <w:color w:val="auto"/>
              </w:rPr>
              <w:t>Cavium, Inc. (until 2018)</w:t>
            </w:r>
          </w:p>
        </w:tc>
        <w:tc>
          <w:tcPr>
            <w:tcW w:w="0" w:type="dxa"/>
            <w:vAlign w:val="bottom"/>
          </w:tcPr>
          <w:p>
            <w:pPr>
              <w:spacing w:after="0"/>
              <w:rPr>
                <w:sz w:val="1"/>
                <w:szCs w:val="1"/>
                <w:color w:val="auto"/>
              </w:rPr>
            </w:pPr>
          </w:p>
        </w:tc>
      </w:tr>
      <w:tr>
        <w:trPr>
          <w:trHeight w:val="203"/>
        </w:trPr>
        <w:tc>
          <w:tcPr>
            <w:tcW w:w="2580" w:type="dxa"/>
            <w:vAlign w:val="bottom"/>
            <w:tcBorders>
              <w:left w:val="single" w:sz="8" w:color="4C4C4C"/>
            </w:tcBorders>
            <w:shd w:val="clear" w:color="auto" w:fill="052B82"/>
          </w:tcPr>
          <w:p>
            <w:pPr>
              <w:spacing w:after="0"/>
              <w:rPr>
                <w:sz w:val="17"/>
                <w:szCs w:val="17"/>
                <w:color w:val="auto"/>
              </w:rPr>
            </w:pPr>
          </w:p>
        </w:tc>
        <w:tc>
          <w:tcPr>
            <w:tcW w:w="100" w:type="dxa"/>
            <w:vAlign w:val="bottom"/>
            <w:shd w:val="clear" w:color="auto" w:fill="E8EDF4"/>
          </w:tcPr>
          <w:p>
            <w:pPr>
              <w:spacing w:after="0"/>
              <w:rPr>
                <w:sz w:val="17"/>
                <w:szCs w:val="17"/>
                <w:color w:val="auto"/>
              </w:rPr>
            </w:pPr>
          </w:p>
        </w:tc>
        <w:tc>
          <w:tcPr>
            <w:tcW w:w="4040" w:type="dxa"/>
            <w:vAlign w:val="bottom"/>
            <w:shd w:val="clear" w:color="auto" w:fill="E8EDF4"/>
          </w:tcPr>
          <w:p>
            <w:pPr>
              <w:spacing w:after="0" w:line="202" w:lineRule="exact"/>
              <w:rPr>
                <w:sz w:val="20"/>
                <w:szCs w:val="20"/>
                <w:color w:val="auto"/>
              </w:rPr>
            </w:pPr>
            <w:r>
              <w:rPr>
                <w:rFonts w:ascii="Arial" w:cs="Arial" w:eastAsia="Arial" w:hAnsi="Arial"/>
                <w:sz w:val="18"/>
                <w:szCs w:val="18"/>
                <w:color w:val="auto"/>
              </w:rPr>
              <w:t>Marvell Semiconductor, Inc.</w:t>
            </w:r>
          </w:p>
        </w:tc>
        <w:tc>
          <w:tcPr>
            <w:tcW w:w="4320" w:type="dxa"/>
            <w:vAlign w:val="bottom"/>
            <w:tcBorders>
              <w:right w:val="single" w:sz="8" w:color="4C4C4C"/>
            </w:tcBorders>
            <w:shd w:val="clear" w:color="auto" w:fill="E8EDF4"/>
          </w:tcPr>
          <w:p>
            <w:pPr>
              <w:ind w:left="120"/>
              <w:spacing w:after="0" w:line="202" w:lineRule="exact"/>
              <w:rPr>
                <w:sz w:val="20"/>
                <w:szCs w:val="20"/>
                <w:color w:val="auto"/>
              </w:rPr>
            </w:pPr>
            <w:r>
              <w:rPr>
                <w:rFonts w:ascii="Arial" w:cs="Arial" w:eastAsia="Arial" w:hAnsi="Arial"/>
                <w:sz w:val="18"/>
                <w:szCs w:val="18"/>
                <w:color w:val="auto"/>
              </w:rPr>
              <w:t>Quantenna Communications, Inc.</w:t>
            </w:r>
          </w:p>
        </w:tc>
        <w:tc>
          <w:tcPr>
            <w:tcW w:w="0" w:type="dxa"/>
            <w:vAlign w:val="bottom"/>
          </w:tcPr>
          <w:p>
            <w:pPr>
              <w:spacing w:after="0"/>
              <w:rPr>
                <w:sz w:val="1"/>
                <w:szCs w:val="1"/>
                <w:color w:val="auto"/>
              </w:rPr>
            </w:pPr>
          </w:p>
        </w:tc>
      </w:tr>
      <w:tr>
        <w:trPr>
          <w:trHeight w:val="217"/>
        </w:trPr>
        <w:tc>
          <w:tcPr>
            <w:tcW w:w="2580" w:type="dxa"/>
            <w:vAlign w:val="bottom"/>
            <w:tcBorders>
              <w:left w:val="single" w:sz="8" w:color="4C4C4C"/>
            </w:tcBorders>
            <w:shd w:val="clear" w:color="auto" w:fill="052B82"/>
          </w:tcPr>
          <w:p>
            <w:pPr>
              <w:spacing w:after="0"/>
              <w:rPr>
                <w:sz w:val="18"/>
                <w:szCs w:val="18"/>
                <w:color w:val="auto"/>
              </w:rPr>
            </w:pPr>
          </w:p>
        </w:tc>
        <w:tc>
          <w:tcPr>
            <w:tcW w:w="100" w:type="dxa"/>
            <w:vAlign w:val="bottom"/>
            <w:shd w:val="clear" w:color="auto" w:fill="E8EDF4"/>
          </w:tcPr>
          <w:p>
            <w:pPr>
              <w:spacing w:after="0"/>
              <w:rPr>
                <w:sz w:val="18"/>
                <w:szCs w:val="18"/>
                <w:color w:val="auto"/>
              </w:rPr>
            </w:pPr>
          </w:p>
        </w:tc>
        <w:tc>
          <w:tcPr>
            <w:tcW w:w="4040" w:type="dxa"/>
            <w:vAlign w:val="bottom"/>
            <w:shd w:val="clear" w:color="auto" w:fill="E8EDF4"/>
          </w:tcPr>
          <w:p>
            <w:pPr>
              <w:spacing w:after="0"/>
              <w:rPr>
                <w:sz w:val="20"/>
                <w:szCs w:val="20"/>
                <w:color w:val="auto"/>
              </w:rPr>
            </w:pPr>
            <w:r>
              <w:rPr>
                <w:rFonts w:ascii="Arial" w:cs="Arial" w:eastAsia="Arial" w:hAnsi="Arial"/>
                <w:sz w:val="18"/>
                <w:szCs w:val="18"/>
                <w:color w:val="auto"/>
              </w:rPr>
              <w:t>SiTime Corp.</w:t>
            </w:r>
          </w:p>
        </w:tc>
        <w:tc>
          <w:tcPr>
            <w:tcW w:w="4320" w:type="dxa"/>
            <w:vAlign w:val="bottom"/>
            <w:tcBorders>
              <w:right w:val="single" w:sz="8" w:color="4C4C4C"/>
            </w:tcBorders>
            <w:shd w:val="clear" w:color="auto" w:fill="E8EDF4"/>
          </w:tcPr>
          <w:p>
            <w:pPr>
              <w:ind w:left="120"/>
              <w:spacing w:after="0"/>
              <w:rPr>
                <w:sz w:val="20"/>
                <w:szCs w:val="20"/>
                <w:color w:val="auto"/>
              </w:rPr>
            </w:pPr>
            <w:r>
              <w:rPr>
                <w:rFonts w:ascii="Arial" w:cs="Arial" w:eastAsia="Arial" w:hAnsi="Arial"/>
                <w:sz w:val="18"/>
                <w:szCs w:val="18"/>
                <w:color w:val="auto"/>
              </w:rPr>
              <w:t>(until 2018)</w:t>
            </w:r>
          </w:p>
        </w:tc>
        <w:tc>
          <w:tcPr>
            <w:tcW w:w="0" w:type="dxa"/>
            <w:vAlign w:val="bottom"/>
          </w:tcPr>
          <w:p>
            <w:pPr>
              <w:spacing w:after="0"/>
              <w:rPr>
                <w:sz w:val="1"/>
                <w:szCs w:val="1"/>
                <w:color w:val="auto"/>
              </w:rPr>
            </w:pPr>
          </w:p>
        </w:tc>
      </w:tr>
      <w:tr>
        <w:trPr>
          <w:trHeight w:val="68"/>
        </w:trPr>
        <w:tc>
          <w:tcPr>
            <w:tcW w:w="2580" w:type="dxa"/>
            <w:vAlign w:val="bottom"/>
            <w:tcBorders>
              <w:left w:val="single" w:sz="8" w:color="4C4C4C"/>
              <w:bottom w:val="single" w:sz="8" w:color="4C4C4C"/>
            </w:tcBorders>
            <w:shd w:val="clear" w:color="auto" w:fill="052B82"/>
          </w:tcPr>
          <w:p>
            <w:pPr>
              <w:spacing w:after="0"/>
              <w:rPr>
                <w:sz w:val="5"/>
                <w:szCs w:val="5"/>
                <w:color w:val="auto"/>
              </w:rPr>
            </w:pPr>
          </w:p>
        </w:tc>
        <w:tc>
          <w:tcPr>
            <w:tcW w:w="100" w:type="dxa"/>
            <w:vAlign w:val="bottom"/>
            <w:tcBorders>
              <w:bottom w:val="single" w:sz="8" w:color="4C4C4C"/>
            </w:tcBorders>
            <w:shd w:val="clear" w:color="auto" w:fill="E8EDF4"/>
          </w:tcPr>
          <w:p>
            <w:pPr>
              <w:spacing w:after="0"/>
              <w:rPr>
                <w:sz w:val="5"/>
                <w:szCs w:val="5"/>
                <w:color w:val="auto"/>
              </w:rPr>
            </w:pPr>
          </w:p>
        </w:tc>
        <w:tc>
          <w:tcPr>
            <w:tcW w:w="4040" w:type="dxa"/>
            <w:vAlign w:val="bottom"/>
            <w:tcBorders>
              <w:bottom w:val="single" w:sz="8" w:color="4C4C4C"/>
            </w:tcBorders>
            <w:shd w:val="clear" w:color="auto" w:fill="E8EDF4"/>
          </w:tcPr>
          <w:p>
            <w:pPr>
              <w:spacing w:after="0"/>
              <w:rPr>
                <w:sz w:val="5"/>
                <w:szCs w:val="5"/>
                <w:color w:val="auto"/>
              </w:rPr>
            </w:pPr>
          </w:p>
        </w:tc>
        <w:tc>
          <w:tcPr>
            <w:tcW w:w="4320" w:type="dxa"/>
            <w:vAlign w:val="bottom"/>
            <w:tcBorders>
              <w:bottom w:val="single" w:sz="8" w:color="4C4C4C"/>
              <w:right w:val="single" w:sz="8" w:color="4C4C4C"/>
            </w:tcBorders>
            <w:shd w:val="clear" w:color="auto" w:fill="E8EDF4"/>
          </w:tcPr>
          <w:p>
            <w:pPr>
              <w:spacing w:after="0"/>
              <w:rPr>
                <w:sz w:val="5"/>
                <w:szCs w:val="5"/>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9320"/>
        <w:spacing w:after="0"/>
        <w:tabs>
          <w:tab w:leader="none" w:pos="11000" w:val="left"/>
        </w:tabs>
        <w:rPr>
          <w:sz w:val="20"/>
          <w:szCs w:val="20"/>
          <w:color w:val="auto"/>
        </w:rPr>
      </w:pPr>
      <w:r>
        <w:rPr>
          <w:rFonts w:ascii="Arial" w:cs="Arial" w:eastAsia="Arial" w:hAnsi="Arial"/>
          <w:sz w:val="14"/>
          <w:szCs w:val="14"/>
          <w:b w:val="1"/>
          <w:bCs w:val="1"/>
          <w:color w:val="052B82"/>
        </w:rPr>
        <w:t>2020 Proxy Statement</w:t>
      </w:r>
      <w:r>
        <w:rPr>
          <w:sz w:val="20"/>
          <w:szCs w:val="20"/>
          <w:color w:val="auto"/>
        </w:rPr>
        <w:tab/>
      </w:r>
      <w:r>
        <w:rPr>
          <w:rFonts w:ascii="Arial" w:cs="Arial" w:eastAsia="Arial" w:hAnsi="Arial"/>
          <w:sz w:val="17"/>
          <w:szCs w:val="17"/>
          <w:color w:val="999999"/>
        </w:rPr>
        <w:t>21</w:t>
      </w:r>
    </w:p>
    <w:p>
      <w:pPr>
        <w:sectPr>
          <w:pgSz w:w="11900" w:h="16838" w:orient="portrait"/>
          <w:cols w:equalWidth="0" w:num="1">
            <w:col w:w="11240"/>
          </w:cols>
          <w:pgMar w:left="240" w:top="459" w:right="4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2649855"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210" w:type="dxa"/>
        <w:tblCellMar>
          <w:top w:w="0" w:type="dxa"/>
          <w:left w:w="0" w:type="dxa"/>
          <w:bottom w:w="0" w:type="dxa"/>
          <w:right w:w="0" w:type="dxa"/>
        </w:tblCellMar>
      </w:tblPr>
      <w:tr>
        <w:trPr>
          <w:trHeight w:val="283"/>
        </w:trPr>
        <w:tc>
          <w:tcPr>
            <w:tcW w:w="2600" w:type="dxa"/>
            <w:vAlign w:val="bottom"/>
            <w:tcBorders>
              <w:top w:val="single" w:sz="8" w:color="4C4C4C"/>
              <w:left w:val="single" w:sz="8" w:color="4C4C4C"/>
            </w:tcBorders>
            <w:shd w:val="clear" w:color="auto" w:fill="052B82"/>
          </w:tcPr>
          <w:p>
            <w:pPr>
              <w:ind w:left="220"/>
              <w:spacing w:after="0"/>
              <w:rPr>
                <w:sz w:val="20"/>
                <w:szCs w:val="20"/>
                <w:color w:val="auto"/>
              </w:rPr>
            </w:pPr>
            <w:r>
              <w:rPr>
                <w:rFonts w:ascii="Arial" w:cs="Arial" w:eastAsia="Arial" w:hAnsi="Arial"/>
                <w:sz w:val="22"/>
                <w:szCs w:val="22"/>
                <w:b w:val="1"/>
                <w:bCs w:val="1"/>
                <w:color w:val="FFFFFF"/>
              </w:rPr>
              <w:t>Karen M. Golz</w:t>
            </w:r>
          </w:p>
        </w:tc>
        <w:tc>
          <w:tcPr>
            <w:tcW w:w="100" w:type="dxa"/>
            <w:vAlign w:val="bottom"/>
            <w:tcBorders>
              <w:top w:val="single" w:sz="8" w:color="4C4C4C"/>
            </w:tcBorders>
            <w:shd w:val="clear" w:color="auto" w:fill="E8EDF4"/>
          </w:tcPr>
          <w:p>
            <w:pPr>
              <w:spacing w:after="0"/>
              <w:rPr>
                <w:sz w:val="24"/>
                <w:szCs w:val="24"/>
                <w:color w:val="auto"/>
              </w:rPr>
            </w:pPr>
          </w:p>
        </w:tc>
        <w:tc>
          <w:tcPr>
            <w:tcW w:w="4040" w:type="dxa"/>
            <w:vAlign w:val="bottom"/>
            <w:tcBorders>
              <w:top w:val="single" w:sz="8" w:color="4C4C4C"/>
            </w:tcBorders>
            <w:shd w:val="clear" w:color="auto" w:fill="E8EDF4"/>
          </w:tcPr>
          <w:p>
            <w:pPr>
              <w:spacing w:after="0"/>
              <w:rPr>
                <w:sz w:val="20"/>
                <w:szCs w:val="20"/>
                <w:color w:val="auto"/>
              </w:rPr>
            </w:pPr>
            <w:r>
              <w:rPr>
                <w:rFonts w:ascii="Arial" w:cs="Arial" w:eastAsia="Arial" w:hAnsi="Arial"/>
                <w:sz w:val="18"/>
                <w:szCs w:val="18"/>
                <w:b w:val="1"/>
                <w:bCs w:val="1"/>
                <w:color w:val="auto"/>
              </w:rPr>
              <w:t>Professional Experience and Background</w:t>
            </w:r>
          </w:p>
        </w:tc>
        <w:tc>
          <w:tcPr>
            <w:tcW w:w="4320" w:type="dxa"/>
            <w:vAlign w:val="bottom"/>
            <w:tcBorders>
              <w:top w:val="single" w:sz="8" w:color="4C4C4C"/>
              <w:right w:val="single" w:sz="8" w:color="4C4C4C"/>
            </w:tcBorders>
            <w:shd w:val="clear" w:color="auto" w:fill="E8EDF4"/>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600" w:type="dxa"/>
            <w:vAlign w:val="bottom"/>
            <w:tcBorders>
              <w:left w:val="single" w:sz="8" w:color="4C4C4C"/>
            </w:tcBorders>
            <w:vMerge w:val="restart"/>
            <w:shd w:val="clear" w:color="auto" w:fill="052B82"/>
          </w:tcPr>
          <w:p>
            <w:pPr>
              <w:ind w:left="220"/>
              <w:spacing w:after="0"/>
              <w:rPr>
                <w:sz w:val="20"/>
                <w:szCs w:val="20"/>
                <w:color w:val="auto"/>
              </w:rPr>
            </w:pPr>
            <w:r>
              <w:rPr>
                <w:rFonts w:ascii="Arial" w:cs="Arial" w:eastAsia="Arial" w:hAnsi="Arial"/>
                <w:sz w:val="18"/>
                <w:szCs w:val="18"/>
                <w:b w:val="1"/>
                <w:bCs w:val="1"/>
                <w:color w:val="FFFFFF"/>
              </w:rPr>
              <w:t>Independent</w:t>
            </w:r>
          </w:p>
        </w:tc>
        <w:tc>
          <w:tcPr>
            <w:tcW w:w="100" w:type="dxa"/>
            <w:vAlign w:val="bottom"/>
            <w:shd w:val="clear" w:color="auto" w:fill="E8EDF4"/>
          </w:tcPr>
          <w:p>
            <w:pPr>
              <w:spacing w:after="0"/>
              <w:rPr>
                <w:sz w:val="17"/>
                <w:szCs w:val="17"/>
                <w:color w:val="auto"/>
              </w:rPr>
            </w:pPr>
          </w:p>
        </w:tc>
        <w:tc>
          <w:tcPr>
            <w:tcW w:w="8360" w:type="dxa"/>
            <w:vAlign w:val="bottom"/>
            <w:tcBorders>
              <w:right w:val="single" w:sz="8" w:color="4C4C4C"/>
            </w:tcBorders>
            <w:gridSpan w:val="2"/>
            <w:shd w:val="clear" w:color="auto" w:fill="E8EDF4"/>
          </w:tcPr>
          <w:p>
            <w:pPr>
              <w:spacing w:after="0" w:line="202" w:lineRule="exact"/>
              <w:rPr>
                <w:sz w:val="20"/>
                <w:szCs w:val="20"/>
                <w:color w:val="auto"/>
              </w:rPr>
            </w:pPr>
            <w:r>
              <w:rPr>
                <w:rFonts w:ascii="Arial" w:cs="Arial" w:eastAsia="Arial" w:hAnsi="Arial"/>
                <w:sz w:val="18"/>
                <w:szCs w:val="18"/>
                <w:color w:val="auto"/>
              </w:rPr>
              <w:t>Ms. Golz is a retired partner from Ernst &amp; Young, a public accounting firm, where she held various</w:t>
            </w:r>
          </w:p>
        </w:tc>
        <w:tc>
          <w:tcPr>
            <w:tcW w:w="0" w:type="dxa"/>
            <w:vAlign w:val="bottom"/>
          </w:tcPr>
          <w:p>
            <w:pPr>
              <w:spacing w:after="0"/>
              <w:rPr>
                <w:sz w:val="1"/>
                <w:szCs w:val="1"/>
                <w:color w:val="auto"/>
              </w:rPr>
            </w:pPr>
          </w:p>
        </w:tc>
      </w:tr>
      <w:tr>
        <w:trPr>
          <w:trHeight w:val="113"/>
        </w:trPr>
        <w:tc>
          <w:tcPr>
            <w:tcW w:w="2600" w:type="dxa"/>
            <w:vAlign w:val="bottom"/>
            <w:tcBorders>
              <w:left w:val="single" w:sz="8" w:color="4C4C4C"/>
            </w:tcBorders>
            <w:vMerge w:val="continue"/>
            <w:shd w:val="clear" w:color="auto" w:fill="052B82"/>
          </w:tcPr>
          <w:p>
            <w:pPr>
              <w:spacing w:after="0"/>
              <w:rPr>
                <w:sz w:val="9"/>
                <w:szCs w:val="9"/>
                <w:color w:val="auto"/>
              </w:rPr>
            </w:pPr>
          </w:p>
        </w:tc>
        <w:tc>
          <w:tcPr>
            <w:tcW w:w="100" w:type="dxa"/>
            <w:vAlign w:val="bottom"/>
            <w:shd w:val="clear" w:color="auto" w:fill="E8EDF4"/>
          </w:tcPr>
          <w:p>
            <w:pPr>
              <w:spacing w:after="0"/>
              <w:rPr>
                <w:sz w:val="9"/>
                <w:szCs w:val="9"/>
                <w:color w:val="auto"/>
              </w:rPr>
            </w:pPr>
          </w:p>
        </w:tc>
        <w:tc>
          <w:tcPr>
            <w:tcW w:w="8360" w:type="dxa"/>
            <w:vAlign w:val="bottom"/>
            <w:tcBorders>
              <w:right w:val="single" w:sz="8" w:color="4C4C4C"/>
            </w:tcBorders>
            <w:gridSpan w:val="2"/>
            <w:vMerge w:val="restart"/>
            <w:shd w:val="clear" w:color="auto" w:fill="E8EDF4"/>
          </w:tcPr>
          <w:p>
            <w:pPr>
              <w:spacing w:after="0" w:line="202" w:lineRule="exact"/>
              <w:rPr>
                <w:sz w:val="20"/>
                <w:szCs w:val="20"/>
                <w:color w:val="auto"/>
              </w:rPr>
            </w:pPr>
            <w:r>
              <w:rPr>
                <w:rFonts w:ascii="Arial" w:cs="Arial" w:eastAsia="Arial" w:hAnsi="Arial"/>
                <w:sz w:val="18"/>
                <w:szCs w:val="18"/>
                <w:color w:val="auto"/>
              </w:rPr>
              <w:t>senior leadership positions during her tenure at the firm, including most recently as Global Vice Chair,</w:t>
            </w:r>
          </w:p>
        </w:tc>
        <w:tc>
          <w:tcPr>
            <w:tcW w:w="0" w:type="dxa"/>
            <w:vAlign w:val="bottom"/>
          </w:tcPr>
          <w:p>
            <w:pPr>
              <w:spacing w:after="0"/>
              <w:rPr>
                <w:sz w:val="1"/>
                <w:szCs w:val="1"/>
                <w:color w:val="auto"/>
              </w:rPr>
            </w:pPr>
          </w:p>
        </w:tc>
      </w:tr>
      <w:tr>
        <w:trPr>
          <w:trHeight w:val="90"/>
        </w:trPr>
        <w:tc>
          <w:tcPr>
            <w:tcW w:w="2600" w:type="dxa"/>
            <w:vAlign w:val="bottom"/>
            <w:tcBorders>
              <w:left w:val="single" w:sz="8" w:color="4C4C4C"/>
            </w:tcBorders>
            <w:vMerge w:val="restart"/>
            <w:shd w:val="clear" w:color="auto" w:fill="052B82"/>
          </w:tcPr>
          <w:p>
            <w:pPr>
              <w:ind w:left="220"/>
              <w:spacing w:after="0"/>
              <w:rPr>
                <w:sz w:val="20"/>
                <w:szCs w:val="20"/>
                <w:color w:val="auto"/>
              </w:rPr>
            </w:pPr>
            <w:r>
              <w:rPr>
                <w:rFonts w:ascii="Arial" w:cs="Arial" w:eastAsia="Arial" w:hAnsi="Arial"/>
                <w:sz w:val="18"/>
                <w:szCs w:val="18"/>
                <w:b w:val="1"/>
                <w:bCs w:val="1"/>
                <w:color w:val="FFFFFF"/>
              </w:rPr>
              <w:t>Director since: 2018</w:t>
            </w:r>
          </w:p>
        </w:tc>
        <w:tc>
          <w:tcPr>
            <w:tcW w:w="100" w:type="dxa"/>
            <w:vAlign w:val="bottom"/>
            <w:shd w:val="clear" w:color="auto" w:fill="E8EDF4"/>
          </w:tcPr>
          <w:p>
            <w:pPr>
              <w:spacing w:after="0"/>
              <w:rPr>
                <w:sz w:val="7"/>
                <w:szCs w:val="7"/>
                <w:color w:val="auto"/>
              </w:rPr>
            </w:pPr>
          </w:p>
        </w:tc>
        <w:tc>
          <w:tcPr>
            <w:tcW w:w="8360" w:type="dxa"/>
            <w:vAlign w:val="bottom"/>
            <w:tcBorders>
              <w:right w:val="single" w:sz="8" w:color="4C4C4C"/>
            </w:tcBorders>
            <w:gridSpan w:val="2"/>
            <w:vMerge w:val="continue"/>
            <w:shd w:val="clear" w:color="auto" w:fill="E8EDF4"/>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600" w:type="dxa"/>
            <w:vAlign w:val="bottom"/>
            <w:tcBorders>
              <w:left w:val="single" w:sz="8" w:color="4C4C4C"/>
            </w:tcBorders>
            <w:vMerge w:val="continue"/>
            <w:shd w:val="clear" w:color="auto" w:fill="052B82"/>
          </w:tcPr>
          <w:p>
            <w:pPr>
              <w:spacing w:after="0"/>
              <w:rPr>
                <w:sz w:val="12"/>
                <w:szCs w:val="12"/>
                <w:color w:val="auto"/>
              </w:rPr>
            </w:pPr>
          </w:p>
        </w:tc>
        <w:tc>
          <w:tcPr>
            <w:tcW w:w="100" w:type="dxa"/>
            <w:vAlign w:val="bottom"/>
            <w:shd w:val="clear" w:color="auto" w:fill="E8EDF4"/>
          </w:tcPr>
          <w:p>
            <w:pPr>
              <w:spacing w:after="0"/>
              <w:rPr>
                <w:sz w:val="12"/>
                <w:szCs w:val="12"/>
                <w:color w:val="auto"/>
              </w:rPr>
            </w:pPr>
          </w:p>
        </w:tc>
        <w:tc>
          <w:tcPr>
            <w:tcW w:w="8360" w:type="dxa"/>
            <w:vAlign w:val="bottom"/>
            <w:tcBorders>
              <w:right w:val="single" w:sz="8" w:color="4C4C4C"/>
            </w:tcBorders>
            <w:gridSpan w:val="2"/>
            <w:vMerge w:val="restart"/>
            <w:shd w:val="clear" w:color="auto" w:fill="E8EDF4"/>
          </w:tcPr>
          <w:p>
            <w:pPr>
              <w:spacing w:after="0" w:line="202" w:lineRule="exact"/>
              <w:rPr>
                <w:sz w:val="20"/>
                <w:szCs w:val="20"/>
                <w:color w:val="auto"/>
              </w:rPr>
            </w:pPr>
            <w:r>
              <w:rPr>
                <w:rFonts w:ascii="Arial" w:cs="Arial" w:eastAsia="Arial" w:hAnsi="Arial"/>
                <w:sz w:val="18"/>
                <w:szCs w:val="18"/>
                <w:color w:val="auto"/>
              </w:rPr>
              <w:t>Japan from 2016 to 2017 and prior thereto, from 2010 to 2016, as Global Vice Chair, Professional</w:t>
            </w:r>
          </w:p>
        </w:tc>
        <w:tc>
          <w:tcPr>
            <w:tcW w:w="0" w:type="dxa"/>
            <w:vAlign w:val="bottom"/>
          </w:tcPr>
          <w:p>
            <w:pPr>
              <w:spacing w:after="0"/>
              <w:rPr>
                <w:sz w:val="1"/>
                <w:szCs w:val="1"/>
                <w:color w:val="auto"/>
              </w:rPr>
            </w:pPr>
          </w:p>
        </w:tc>
      </w:tr>
      <w:tr>
        <w:trPr>
          <w:trHeight w:val="53"/>
        </w:trPr>
        <w:tc>
          <w:tcPr>
            <w:tcW w:w="2600" w:type="dxa"/>
            <w:vAlign w:val="bottom"/>
            <w:tcBorders>
              <w:left w:val="single" w:sz="8" w:color="4C4C4C"/>
            </w:tcBorders>
            <w:shd w:val="clear" w:color="auto" w:fill="052B82"/>
          </w:tcPr>
          <w:p>
            <w:pPr>
              <w:spacing w:after="0"/>
              <w:rPr>
                <w:sz w:val="4"/>
                <w:szCs w:val="4"/>
                <w:color w:val="auto"/>
              </w:rPr>
            </w:pPr>
          </w:p>
        </w:tc>
        <w:tc>
          <w:tcPr>
            <w:tcW w:w="100" w:type="dxa"/>
            <w:vAlign w:val="bottom"/>
            <w:shd w:val="clear" w:color="auto" w:fill="E8EDF4"/>
          </w:tcPr>
          <w:p>
            <w:pPr>
              <w:spacing w:after="0"/>
              <w:rPr>
                <w:sz w:val="4"/>
                <w:szCs w:val="4"/>
                <w:color w:val="auto"/>
              </w:rPr>
            </w:pPr>
          </w:p>
        </w:tc>
        <w:tc>
          <w:tcPr>
            <w:tcW w:w="8360" w:type="dxa"/>
            <w:vAlign w:val="bottom"/>
            <w:tcBorders>
              <w:right w:val="single" w:sz="8" w:color="4C4C4C"/>
            </w:tcBorders>
            <w:gridSpan w:val="2"/>
            <w:vMerge w:val="continue"/>
            <w:shd w:val="clear" w:color="auto" w:fill="E8EDF4"/>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600" w:type="dxa"/>
            <w:vAlign w:val="bottom"/>
            <w:tcBorders>
              <w:left w:val="single" w:sz="8" w:color="4C4C4C"/>
            </w:tcBorders>
            <w:vMerge w:val="restart"/>
            <w:shd w:val="clear" w:color="auto" w:fill="052B82"/>
          </w:tcPr>
          <w:p>
            <w:pPr>
              <w:ind w:left="220"/>
              <w:spacing w:after="0"/>
              <w:rPr>
                <w:sz w:val="20"/>
                <w:szCs w:val="20"/>
                <w:color w:val="auto"/>
              </w:rPr>
            </w:pPr>
            <w:r>
              <w:rPr>
                <w:rFonts w:ascii="Arial" w:cs="Arial" w:eastAsia="Arial" w:hAnsi="Arial"/>
                <w:sz w:val="18"/>
                <w:szCs w:val="18"/>
                <w:b w:val="1"/>
                <w:bCs w:val="1"/>
                <w:color w:val="FFFFFF"/>
              </w:rPr>
              <w:t>Age: 65</w:t>
            </w:r>
          </w:p>
        </w:tc>
        <w:tc>
          <w:tcPr>
            <w:tcW w:w="100" w:type="dxa"/>
            <w:vAlign w:val="bottom"/>
            <w:shd w:val="clear" w:color="auto" w:fill="E8EDF4"/>
          </w:tcPr>
          <w:p>
            <w:pPr>
              <w:spacing w:after="0"/>
              <w:rPr>
                <w:sz w:val="17"/>
                <w:szCs w:val="17"/>
                <w:color w:val="auto"/>
              </w:rPr>
            </w:pPr>
          </w:p>
        </w:tc>
        <w:tc>
          <w:tcPr>
            <w:tcW w:w="8360" w:type="dxa"/>
            <w:vAlign w:val="bottom"/>
            <w:tcBorders>
              <w:right w:val="single" w:sz="8" w:color="4C4C4C"/>
            </w:tcBorders>
            <w:gridSpan w:val="2"/>
            <w:shd w:val="clear" w:color="auto" w:fill="E8EDF4"/>
          </w:tcPr>
          <w:p>
            <w:pPr>
              <w:spacing w:after="0" w:line="202" w:lineRule="exact"/>
              <w:rPr>
                <w:sz w:val="20"/>
                <w:szCs w:val="20"/>
                <w:color w:val="auto"/>
              </w:rPr>
            </w:pPr>
            <w:r>
              <w:rPr>
                <w:rFonts w:ascii="Arial" w:cs="Arial" w:eastAsia="Arial" w:hAnsi="Arial"/>
                <w:sz w:val="18"/>
                <w:szCs w:val="18"/>
                <w:color w:val="auto"/>
              </w:rPr>
              <w:t>Practice. Ms. Golz currently serves as senior advisor to The Boston Consulting Group’s Audit and Risk</w:t>
            </w:r>
          </w:p>
        </w:tc>
        <w:tc>
          <w:tcPr>
            <w:tcW w:w="0" w:type="dxa"/>
            <w:vAlign w:val="bottom"/>
          </w:tcPr>
          <w:p>
            <w:pPr>
              <w:spacing w:after="0"/>
              <w:rPr>
                <w:sz w:val="1"/>
                <w:szCs w:val="1"/>
                <w:color w:val="auto"/>
              </w:rPr>
            </w:pPr>
          </w:p>
        </w:tc>
      </w:tr>
      <w:tr>
        <w:trPr>
          <w:trHeight w:val="109"/>
        </w:trPr>
        <w:tc>
          <w:tcPr>
            <w:tcW w:w="2600" w:type="dxa"/>
            <w:vAlign w:val="bottom"/>
            <w:tcBorders>
              <w:left w:val="single" w:sz="8" w:color="4C4C4C"/>
            </w:tcBorders>
            <w:vMerge w:val="continue"/>
            <w:shd w:val="clear" w:color="auto" w:fill="052B82"/>
          </w:tcPr>
          <w:p>
            <w:pPr>
              <w:spacing w:after="0"/>
              <w:rPr>
                <w:sz w:val="9"/>
                <w:szCs w:val="9"/>
                <w:color w:val="auto"/>
              </w:rPr>
            </w:pPr>
          </w:p>
        </w:tc>
        <w:tc>
          <w:tcPr>
            <w:tcW w:w="100" w:type="dxa"/>
            <w:vAlign w:val="bottom"/>
            <w:shd w:val="clear" w:color="auto" w:fill="E8EDF4"/>
          </w:tcPr>
          <w:p>
            <w:pPr>
              <w:spacing w:after="0"/>
              <w:rPr>
                <w:sz w:val="9"/>
                <w:szCs w:val="9"/>
                <w:color w:val="auto"/>
              </w:rPr>
            </w:pPr>
          </w:p>
        </w:tc>
        <w:tc>
          <w:tcPr>
            <w:tcW w:w="8360" w:type="dxa"/>
            <w:vAlign w:val="bottom"/>
            <w:tcBorders>
              <w:right w:val="single" w:sz="8" w:color="4C4C4C"/>
            </w:tcBorders>
            <w:gridSpan w:val="2"/>
            <w:vMerge w:val="restart"/>
            <w:shd w:val="clear" w:color="auto" w:fill="E8EDF4"/>
          </w:tcPr>
          <w:p>
            <w:pPr>
              <w:spacing w:after="0" w:line="202" w:lineRule="exact"/>
              <w:rPr>
                <w:sz w:val="20"/>
                <w:szCs w:val="20"/>
                <w:color w:val="auto"/>
              </w:rPr>
            </w:pPr>
            <w:r>
              <w:rPr>
                <w:rFonts w:ascii="Arial" w:cs="Arial" w:eastAsia="Arial" w:hAnsi="Arial"/>
                <w:sz w:val="18"/>
                <w:szCs w:val="18"/>
                <w:color w:val="auto"/>
              </w:rPr>
              <w:t>Committee, a role she has held since 2017, and she sits on the Board of Trustees of the University of</w:t>
            </w:r>
          </w:p>
        </w:tc>
        <w:tc>
          <w:tcPr>
            <w:tcW w:w="0" w:type="dxa"/>
            <w:vAlign w:val="bottom"/>
          </w:tcPr>
          <w:p>
            <w:pPr>
              <w:spacing w:after="0"/>
              <w:rPr>
                <w:sz w:val="1"/>
                <w:szCs w:val="1"/>
                <w:color w:val="auto"/>
              </w:rPr>
            </w:pPr>
          </w:p>
        </w:tc>
      </w:tr>
      <w:tr>
        <w:trPr>
          <w:trHeight w:val="94"/>
        </w:trPr>
        <w:tc>
          <w:tcPr>
            <w:tcW w:w="2600" w:type="dxa"/>
            <w:vAlign w:val="bottom"/>
            <w:tcBorders>
              <w:left w:val="single" w:sz="8" w:color="4C4C4C"/>
            </w:tcBorders>
            <w:shd w:val="clear" w:color="auto" w:fill="052B82"/>
          </w:tcPr>
          <w:p>
            <w:pPr>
              <w:spacing w:after="0"/>
              <w:rPr>
                <w:sz w:val="8"/>
                <w:szCs w:val="8"/>
                <w:color w:val="auto"/>
              </w:rPr>
            </w:pPr>
          </w:p>
        </w:tc>
        <w:tc>
          <w:tcPr>
            <w:tcW w:w="100" w:type="dxa"/>
            <w:vAlign w:val="bottom"/>
            <w:shd w:val="clear" w:color="auto" w:fill="E8EDF4"/>
          </w:tcPr>
          <w:p>
            <w:pPr>
              <w:spacing w:after="0"/>
              <w:rPr>
                <w:sz w:val="8"/>
                <w:szCs w:val="8"/>
                <w:color w:val="auto"/>
              </w:rPr>
            </w:pPr>
          </w:p>
        </w:tc>
        <w:tc>
          <w:tcPr>
            <w:tcW w:w="8360" w:type="dxa"/>
            <w:vAlign w:val="bottom"/>
            <w:tcBorders>
              <w:right w:val="single" w:sz="8" w:color="4C4C4C"/>
            </w:tcBorders>
            <w:gridSpan w:val="2"/>
            <w:vMerge w:val="continue"/>
            <w:shd w:val="clear" w:color="auto" w:fill="E8EDF4"/>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600" w:type="dxa"/>
            <w:vAlign w:val="bottom"/>
            <w:tcBorders>
              <w:left w:val="single" w:sz="8" w:color="4C4C4C"/>
            </w:tcBorders>
            <w:shd w:val="clear" w:color="auto" w:fill="052B82"/>
          </w:tcPr>
          <w:p>
            <w:pPr>
              <w:ind w:left="220"/>
              <w:spacing w:after="0"/>
              <w:rPr>
                <w:sz w:val="20"/>
                <w:szCs w:val="20"/>
                <w:color w:val="auto"/>
              </w:rPr>
            </w:pPr>
            <w:r>
              <w:rPr>
                <w:rFonts w:ascii="Arial" w:cs="Arial" w:eastAsia="Arial" w:hAnsi="Arial"/>
                <w:sz w:val="18"/>
                <w:szCs w:val="18"/>
                <w:b w:val="1"/>
                <w:bCs w:val="1"/>
                <w:color w:val="FFFFFF"/>
              </w:rPr>
              <w:t>Committee(s):</w:t>
            </w:r>
          </w:p>
        </w:tc>
        <w:tc>
          <w:tcPr>
            <w:tcW w:w="100" w:type="dxa"/>
            <w:vAlign w:val="bottom"/>
            <w:shd w:val="clear" w:color="auto" w:fill="E8EDF4"/>
          </w:tcPr>
          <w:p>
            <w:pPr>
              <w:spacing w:after="0"/>
              <w:rPr>
                <w:sz w:val="18"/>
                <w:szCs w:val="18"/>
                <w:color w:val="auto"/>
              </w:rPr>
            </w:pPr>
          </w:p>
        </w:tc>
        <w:tc>
          <w:tcPr>
            <w:tcW w:w="8360" w:type="dxa"/>
            <w:vAlign w:val="bottom"/>
            <w:tcBorders>
              <w:right w:val="single" w:sz="8" w:color="4C4C4C"/>
            </w:tcBorders>
            <w:gridSpan w:val="2"/>
            <w:shd w:val="clear" w:color="auto" w:fill="E8EDF4"/>
          </w:tcPr>
          <w:p>
            <w:pPr>
              <w:spacing w:after="0"/>
              <w:rPr>
                <w:sz w:val="20"/>
                <w:szCs w:val="20"/>
                <w:color w:val="auto"/>
              </w:rPr>
            </w:pPr>
            <w:r>
              <w:rPr>
                <w:rFonts w:ascii="Arial" w:cs="Arial" w:eastAsia="Arial" w:hAnsi="Arial"/>
                <w:sz w:val="18"/>
                <w:szCs w:val="18"/>
                <w:color w:val="auto"/>
              </w:rPr>
              <w:t>Illinois Foundation. Ms. Golz is also a National Association of Corporate Directors (NACD) Board</w:t>
            </w:r>
          </w:p>
        </w:tc>
        <w:tc>
          <w:tcPr>
            <w:tcW w:w="0" w:type="dxa"/>
            <w:vAlign w:val="bottom"/>
          </w:tcPr>
          <w:p>
            <w:pPr>
              <w:spacing w:after="0"/>
              <w:rPr>
                <w:sz w:val="1"/>
                <w:szCs w:val="1"/>
                <w:color w:val="auto"/>
              </w:rPr>
            </w:pPr>
          </w:p>
        </w:tc>
      </w:tr>
      <w:tr>
        <w:trPr>
          <w:trHeight w:val="247"/>
        </w:trPr>
        <w:tc>
          <w:tcPr>
            <w:tcW w:w="2600" w:type="dxa"/>
            <w:vAlign w:val="bottom"/>
            <w:tcBorders>
              <w:left w:val="single" w:sz="8" w:color="4C4C4C"/>
            </w:tcBorders>
            <w:shd w:val="clear" w:color="auto" w:fill="052B82"/>
          </w:tcPr>
          <w:p>
            <w:pPr>
              <w:ind w:left="220"/>
              <w:spacing w:after="0"/>
              <w:rPr>
                <w:sz w:val="20"/>
                <w:szCs w:val="20"/>
                <w:color w:val="auto"/>
              </w:rPr>
            </w:pPr>
            <w:r>
              <w:rPr>
                <w:rFonts w:ascii="Arial" w:cs="Arial" w:eastAsia="Arial" w:hAnsi="Arial"/>
                <w:sz w:val="18"/>
                <w:szCs w:val="18"/>
                <w:color w:val="FFFFFF"/>
              </w:rPr>
              <w:t>Audit</w:t>
            </w:r>
          </w:p>
        </w:tc>
        <w:tc>
          <w:tcPr>
            <w:tcW w:w="100" w:type="dxa"/>
            <w:vAlign w:val="bottom"/>
            <w:shd w:val="clear" w:color="auto" w:fill="E8EDF4"/>
          </w:tcPr>
          <w:p>
            <w:pPr>
              <w:spacing w:after="0"/>
              <w:rPr>
                <w:sz w:val="21"/>
                <w:szCs w:val="21"/>
                <w:color w:val="auto"/>
              </w:rPr>
            </w:pPr>
          </w:p>
        </w:tc>
        <w:tc>
          <w:tcPr>
            <w:tcW w:w="4040" w:type="dxa"/>
            <w:vAlign w:val="bottom"/>
            <w:shd w:val="clear" w:color="auto" w:fill="E8EDF4"/>
          </w:tcPr>
          <w:p>
            <w:pPr>
              <w:spacing w:after="0"/>
              <w:rPr>
                <w:sz w:val="20"/>
                <w:szCs w:val="20"/>
                <w:color w:val="auto"/>
              </w:rPr>
            </w:pPr>
            <w:r>
              <w:rPr>
                <w:rFonts w:ascii="Arial" w:cs="Arial" w:eastAsia="Arial" w:hAnsi="Arial"/>
                <w:sz w:val="18"/>
                <w:szCs w:val="18"/>
                <w:color w:val="auto"/>
              </w:rPr>
              <w:t>Leadership Fellow.</w:t>
            </w:r>
          </w:p>
        </w:tc>
        <w:tc>
          <w:tcPr>
            <w:tcW w:w="4320" w:type="dxa"/>
            <w:vAlign w:val="bottom"/>
            <w:tcBorders>
              <w:right w:val="single" w:sz="8" w:color="4C4C4C"/>
            </w:tcBorders>
            <w:shd w:val="clear" w:color="auto" w:fill="E8EDF4"/>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600" w:type="dxa"/>
            <w:vAlign w:val="bottom"/>
            <w:tcBorders>
              <w:left w:val="single" w:sz="8" w:color="4C4C4C"/>
            </w:tcBorders>
            <w:shd w:val="clear" w:color="auto" w:fill="052B82"/>
          </w:tcPr>
          <w:p>
            <w:pPr>
              <w:spacing w:after="0"/>
              <w:rPr>
                <w:sz w:val="20"/>
                <w:szCs w:val="20"/>
                <w:color w:val="auto"/>
              </w:rPr>
            </w:pPr>
          </w:p>
        </w:tc>
        <w:tc>
          <w:tcPr>
            <w:tcW w:w="100" w:type="dxa"/>
            <w:vAlign w:val="bottom"/>
            <w:shd w:val="clear" w:color="auto" w:fill="E8EDF4"/>
          </w:tcPr>
          <w:p>
            <w:pPr>
              <w:spacing w:after="0"/>
              <w:rPr>
                <w:sz w:val="20"/>
                <w:szCs w:val="20"/>
                <w:color w:val="auto"/>
              </w:rPr>
            </w:pPr>
          </w:p>
        </w:tc>
        <w:tc>
          <w:tcPr>
            <w:tcW w:w="4040" w:type="dxa"/>
            <w:vAlign w:val="bottom"/>
            <w:shd w:val="clear" w:color="auto" w:fill="E8EDF4"/>
          </w:tcPr>
          <w:p>
            <w:pPr>
              <w:spacing w:after="0"/>
              <w:rPr>
                <w:sz w:val="20"/>
                <w:szCs w:val="20"/>
                <w:color w:val="auto"/>
              </w:rPr>
            </w:pPr>
            <w:r>
              <w:rPr>
                <w:rFonts w:ascii="Arial" w:cs="Arial" w:eastAsia="Arial" w:hAnsi="Arial"/>
                <w:sz w:val="18"/>
                <w:szCs w:val="18"/>
                <w:b w:val="1"/>
                <w:bCs w:val="1"/>
                <w:color w:val="auto"/>
              </w:rPr>
              <w:t>Key Qualifications and Expertise</w:t>
            </w:r>
          </w:p>
        </w:tc>
        <w:tc>
          <w:tcPr>
            <w:tcW w:w="4320" w:type="dxa"/>
            <w:vAlign w:val="bottom"/>
            <w:tcBorders>
              <w:right w:val="single" w:sz="8" w:color="4C4C4C"/>
            </w:tcBorders>
            <w:shd w:val="clear" w:color="auto" w:fill="E8EDF4"/>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600" w:type="dxa"/>
            <w:vAlign w:val="bottom"/>
            <w:tcBorders>
              <w:left w:val="single" w:sz="8" w:color="4C4C4C"/>
            </w:tcBorders>
            <w:shd w:val="clear" w:color="auto" w:fill="052B82"/>
          </w:tcPr>
          <w:p>
            <w:pPr>
              <w:spacing w:after="0"/>
              <w:rPr>
                <w:sz w:val="24"/>
                <w:szCs w:val="24"/>
                <w:color w:val="auto"/>
              </w:rPr>
            </w:pPr>
          </w:p>
        </w:tc>
        <w:tc>
          <w:tcPr>
            <w:tcW w:w="100" w:type="dxa"/>
            <w:vAlign w:val="bottom"/>
            <w:shd w:val="clear" w:color="auto" w:fill="E8EDF4"/>
          </w:tcPr>
          <w:p>
            <w:pPr>
              <w:spacing w:after="0"/>
              <w:rPr>
                <w:sz w:val="24"/>
                <w:szCs w:val="24"/>
                <w:color w:val="auto"/>
              </w:rPr>
            </w:pPr>
          </w:p>
        </w:tc>
        <w:tc>
          <w:tcPr>
            <w:tcW w:w="8360" w:type="dxa"/>
            <w:vAlign w:val="bottom"/>
            <w:tcBorders>
              <w:right w:val="single" w:sz="8" w:color="4C4C4C"/>
            </w:tcBorders>
            <w:gridSpan w:val="2"/>
            <w:shd w:val="clear" w:color="auto" w:fill="E8EDF4"/>
          </w:tcPr>
          <w:p>
            <w:pPr>
              <w:spacing w:after="0"/>
              <w:rPr>
                <w:sz w:val="20"/>
                <w:szCs w:val="20"/>
                <w:color w:val="auto"/>
              </w:rPr>
            </w:pPr>
            <w:r>
              <w:rPr>
                <w:rFonts w:ascii="Arial" w:cs="Arial" w:eastAsia="Arial" w:hAnsi="Arial"/>
                <w:sz w:val="18"/>
                <w:szCs w:val="18"/>
                <w:color w:val="auto"/>
              </w:rPr>
              <w:t>We believe Ms. Golz’s qualifications to serve on our Board of Directors include her accounting and audit</w:t>
            </w:r>
          </w:p>
        </w:tc>
        <w:tc>
          <w:tcPr>
            <w:tcW w:w="0" w:type="dxa"/>
            <w:vAlign w:val="bottom"/>
          </w:tcPr>
          <w:p>
            <w:pPr>
              <w:spacing w:after="0"/>
              <w:rPr>
                <w:sz w:val="1"/>
                <w:szCs w:val="1"/>
                <w:color w:val="auto"/>
              </w:rPr>
            </w:pPr>
          </w:p>
        </w:tc>
      </w:tr>
      <w:tr>
        <w:trPr>
          <w:trHeight w:val="203"/>
        </w:trPr>
        <w:tc>
          <w:tcPr>
            <w:tcW w:w="2600" w:type="dxa"/>
            <w:vAlign w:val="bottom"/>
            <w:tcBorders>
              <w:left w:val="single" w:sz="8" w:color="4C4C4C"/>
            </w:tcBorders>
            <w:shd w:val="clear" w:color="auto" w:fill="052B82"/>
          </w:tcPr>
          <w:p>
            <w:pPr>
              <w:spacing w:after="0"/>
              <w:rPr>
                <w:sz w:val="17"/>
                <w:szCs w:val="17"/>
                <w:color w:val="auto"/>
              </w:rPr>
            </w:pPr>
          </w:p>
        </w:tc>
        <w:tc>
          <w:tcPr>
            <w:tcW w:w="100" w:type="dxa"/>
            <w:vAlign w:val="bottom"/>
            <w:shd w:val="clear" w:color="auto" w:fill="E8EDF4"/>
          </w:tcPr>
          <w:p>
            <w:pPr>
              <w:spacing w:after="0"/>
              <w:rPr>
                <w:sz w:val="17"/>
                <w:szCs w:val="17"/>
                <w:color w:val="auto"/>
              </w:rPr>
            </w:pPr>
          </w:p>
        </w:tc>
        <w:tc>
          <w:tcPr>
            <w:tcW w:w="8360" w:type="dxa"/>
            <w:vAlign w:val="bottom"/>
            <w:tcBorders>
              <w:right w:val="single" w:sz="8" w:color="4C4C4C"/>
            </w:tcBorders>
            <w:gridSpan w:val="2"/>
            <w:shd w:val="clear" w:color="auto" w:fill="E8EDF4"/>
          </w:tcPr>
          <w:p>
            <w:pPr>
              <w:spacing w:after="0" w:line="202" w:lineRule="exact"/>
              <w:rPr>
                <w:sz w:val="20"/>
                <w:szCs w:val="20"/>
                <w:color w:val="auto"/>
              </w:rPr>
            </w:pPr>
            <w:r>
              <w:rPr>
                <w:rFonts w:ascii="Arial" w:cs="Arial" w:eastAsia="Arial" w:hAnsi="Arial"/>
                <w:sz w:val="18"/>
                <w:szCs w:val="18"/>
                <w:color w:val="auto"/>
              </w:rPr>
              <w:t>expertise and extensive experience helping large organizations successfully navigate the complexities</w:t>
            </w:r>
          </w:p>
        </w:tc>
        <w:tc>
          <w:tcPr>
            <w:tcW w:w="0" w:type="dxa"/>
            <w:vAlign w:val="bottom"/>
          </w:tcPr>
          <w:p>
            <w:pPr>
              <w:spacing w:after="0"/>
              <w:rPr>
                <w:sz w:val="1"/>
                <w:szCs w:val="1"/>
                <w:color w:val="auto"/>
              </w:rPr>
            </w:pPr>
          </w:p>
        </w:tc>
      </w:tr>
      <w:tr>
        <w:trPr>
          <w:trHeight w:val="217"/>
        </w:trPr>
        <w:tc>
          <w:tcPr>
            <w:tcW w:w="2600" w:type="dxa"/>
            <w:vAlign w:val="bottom"/>
            <w:tcBorders>
              <w:left w:val="single" w:sz="8" w:color="4C4C4C"/>
            </w:tcBorders>
            <w:shd w:val="clear" w:color="auto" w:fill="052B82"/>
          </w:tcPr>
          <w:p>
            <w:pPr>
              <w:spacing w:after="0"/>
              <w:rPr>
                <w:sz w:val="18"/>
                <w:szCs w:val="18"/>
                <w:color w:val="auto"/>
              </w:rPr>
            </w:pPr>
          </w:p>
        </w:tc>
        <w:tc>
          <w:tcPr>
            <w:tcW w:w="100" w:type="dxa"/>
            <w:vAlign w:val="bottom"/>
            <w:shd w:val="clear" w:color="auto" w:fill="E8EDF4"/>
          </w:tcPr>
          <w:p>
            <w:pPr>
              <w:spacing w:after="0"/>
              <w:rPr>
                <w:sz w:val="18"/>
                <w:szCs w:val="18"/>
                <w:color w:val="auto"/>
              </w:rPr>
            </w:pPr>
          </w:p>
        </w:tc>
        <w:tc>
          <w:tcPr>
            <w:tcW w:w="4040" w:type="dxa"/>
            <w:vAlign w:val="bottom"/>
            <w:shd w:val="clear" w:color="auto" w:fill="E8EDF4"/>
          </w:tcPr>
          <w:p>
            <w:pPr>
              <w:spacing w:after="0"/>
              <w:rPr>
                <w:sz w:val="20"/>
                <w:szCs w:val="20"/>
                <w:color w:val="auto"/>
              </w:rPr>
            </w:pPr>
            <w:r>
              <w:rPr>
                <w:rFonts w:ascii="Arial" w:cs="Arial" w:eastAsia="Arial" w:hAnsi="Arial"/>
                <w:sz w:val="18"/>
                <w:szCs w:val="18"/>
                <w:color w:val="auto"/>
              </w:rPr>
              <w:t>of international trade and regulation.</w:t>
            </w:r>
          </w:p>
        </w:tc>
        <w:tc>
          <w:tcPr>
            <w:tcW w:w="4320" w:type="dxa"/>
            <w:vAlign w:val="bottom"/>
            <w:tcBorders>
              <w:right w:val="single" w:sz="8" w:color="4C4C4C"/>
            </w:tcBorders>
            <w:shd w:val="clear" w:color="auto" w:fill="E8EDF4"/>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600" w:type="dxa"/>
            <w:vAlign w:val="bottom"/>
            <w:tcBorders>
              <w:left w:val="single" w:sz="8" w:color="4C4C4C"/>
            </w:tcBorders>
            <w:shd w:val="clear" w:color="auto" w:fill="052B82"/>
          </w:tcPr>
          <w:p>
            <w:pPr>
              <w:spacing w:after="0"/>
              <w:rPr>
                <w:sz w:val="24"/>
                <w:szCs w:val="24"/>
                <w:color w:val="auto"/>
              </w:rPr>
            </w:pPr>
          </w:p>
        </w:tc>
        <w:tc>
          <w:tcPr>
            <w:tcW w:w="100" w:type="dxa"/>
            <w:vAlign w:val="bottom"/>
            <w:shd w:val="clear" w:color="auto" w:fill="E8EDF4"/>
          </w:tcPr>
          <w:p>
            <w:pPr>
              <w:spacing w:after="0"/>
              <w:rPr>
                <w:sz w:val="24"/>
                <w:szCs w:val="24"/>
                <w:color w:val="auto"/>
              </w:rPr>
            </w:pPr>
          </w:p>
        </w:tc>
        <w:tc>
          <w:tcPr>
            <w:tcW w:w="4040" w:type="dxa"/>
            <w:vAlign w:val="bottom"/>
            <w:shd w:val="clear" w:color="auto" w:fill="E8EDF4"/>
          </w:tcPr>
          <w:p>
            <w:pPr>
              <w:spacing w:after="0"/>
              <w:rPr>
                <w:sz w:val="20"/>
                <w:szCs w:val="20"/>
                <w:color w:val="auto"/>
              </w:rPr>
            </w:pPr>
            <w:r>
              <w:rPr>
                <w:rFonts w:ascii="Arial" w:cs="Arial" w:eastAsia="Arial" w:hAnsi="Arial"/>
                <w:sz w:val="18"/>
                <w:szCs w:val="18"/>
                <w:b w:val="1"/>
                <w:bCs w:val="1"/>
                <w:color w:val="auto"/>
              </w:rPr>
              <w:t>Other Public Company Boards</w:t>
            </w:r>
          </w:p>
        </w:tc>
        <w:tc>
          <w:tcPr>
            <w:tcW w:w="4320" w:type="dxa"/>
            <w:vAlign w:val="bottom"/>
            <w:tcBorders>
              <w:right w:val="single" w:sz="8" w:color="4C4C4C"/>
            </w:tcBorders>
            <w:shd w:val="clear" w:color="auto" w:fill="E8EDF4"/>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600" w:type="dxa"/>
            <w:vAlign w:val="bottom"/>
            <w:tcBorders>
              <w:left w:val="single" w:sz="8" w:color="4C4C4C"/>
            </w:tcBorders>
            <w:shd w:val="clear" w:color="auto" w:fill="052B82"/>
          </w:tcPr>
          <w:p>
            <w:pPr>
              <w:spacing w:after="0"/>
              <w:rPr>
                <w:sz w:val="24"/>
                <w:szCs w:val="24"/>
                <w:color w:val="auto"/>
              </w:rPr>
            </w:pPr>
          </w:p>
        </w:tc>
        <w:tc>
          <w:tcPr>
            <w:tcW w:w="100" w:type="dxa"/>
            <w:vAlign w:val="bottom"/>
            <w:shd w:val="clear" w:color="auto" w:fill="E8EDF4"/>
          </w:tcPr>
          <w:p>
            <w:pPr>
              <w:spacing w:after="0"/>
              <w:rPr>
                <w:sz w:val="24"/>
                <w:szCs w:val="24"/>
                <w:color w:val="auto"/>
              </w:rPr>
            </w:pPr>
          </w:p>
        </w:tc>
        <w:tc>
          <w:tcPr>
            <w:tcW w:w="4040" w:type="dxa"/>
            <w:vAlign w:val="bottom"/>
            <w:shd w:val="clear" w:color="auto" w:fill="E8EDF4"/>
          </w:tcPr>
          <w:p>
            <w:pPr>
              <w:spacing w:after="0"/>
              <w:rPr>
                <w:sz w:val="20"/>
                <w:szCs w:val="20"/>
                <w:color w:val="auto"/>
              </w:rPr>
            </w:pPr>
            <w:r>
              <w:rPr>
                <w:rFonts w:ascii="Arial" w:cs="Arial" w:eastAsia="Arial" w:hAnsi="Arial"/>
                <w:sz w:val="18"/>
                <w:szCs w:val="18"/>
                <w:b w:val="1"/>
                <w:bCs w:val="1"/>
                <w:color w:val="auto"/>
              </w:rPr>
              <w:t>Current</w:t>
            </w:r>
          </w:p>
        </w:tc>
        <w:tc>
          <w:tcPr>
            <w:tcW w:w="4320" w:type="dxa"/>
            <w:vAlign w:val="bottom"/>
            <w:tcBorders>
              <w:right w:val="single" w:sz="8" w:color="4C4C4C"/>
            </w:tcBorders>
            <w:shd w:val="clear" w:color="auto" w:fill="E8EDF4"/>
          </w:tcPr>
          <w:p>
            <w:pPr>
              <w:ind w:left="120"/>
              <w:spacing w:after="0"/>
              <w:rPr>
                <w:sz w:val="20"/>
                <w:szCs w:val="20"/>
                <w:color w:val="auto"/>
              </w:rPr>
            </w:pPr>
            <w:r>
              <w:rPr>
                <w:rFonts w:ascii="Arial" w:cs="Arial" w:eastAsia="Arial" w:hAnsi="Arial"/>
                <w:sz w:val="18"/>
                <w:szCs w:val="18"/>
                <w:b w:val="1"/>
                <w:bCs w:val="1"/>
                <w:color w:val="auto"/>
              </w:rPr>
              <w:t>Past 5 Years</w:t>
            </w:r>
          </w:p>
        </w:tc>
        <w:tc>
          <w:tcPr>
            <w:tcW w:w="0" w:type="dxa"/>
            <w:vAlign w:val="bottom"/>
          </w:tcPr>
          <w:p>
            <w:pPr>
              <w:spacing w:after="0"/>
              <w:rPr>
                <w:sz w:val="1"/>
                <w:szCs w:val="1"/>
                <w:color w:val="auto"/>
              </w:rPr>
            </w:pPr>
          </w:p>
        </w:tc>
      </w:tr>
      <w:tr>
        <w:trPr>
          <w:trHeight w:val="217"/>
        </w:trPr>
        <w:tc>
          <w:tcPr>
            <w:tcW w:w="2600" w:type="dxa"/>
            <w:vAlign w:val="bottom"/>
            <w:tcBorders>
              <w:left w:val="single" w:sz="8" w:color="4C4C4C"/>
            </w:tcBorders>
            <w:shd w:val="clear" w:color="auto" w:fill="052B82"/>
          </w:tcPr>
          <w:p>
            <w:pPr>
              <w:spacing w:after="0"/>
              <w:rPr>
                <w:sz w:val="18"/>
                <w:szCs w:val="18"/>
                <w:color w:val="auto"/>
              </w:rPr>
            </w:pPr>
          </w:p>
        </w:tc>
        <w:tc>
          <w:tcPr>
            <w:tcW w:w="100" w:type="dxa"/>
            <w:vAlign w:val="bottom"/>
            <w:shd w:val="clear" w:color="auto" w:fill="E8EDF4"/>
          </w:tcPr>
          <w:p>
            <w:pPr>
              <w:spacing w:after="0"/>
              <w:rPr>
                <w:sz w:val="18"/>
                <w:szCs w:val="18"/>
                <w:color w:val="auto"/>
              </w:rPr>
            </w:pPr>
          </w:p>
        </w:tc>
        <w:tc>
          <w:tcPr>
            <w:tcW w:w="4040" w:type="dxa"/>
            <w:vAlign w:val="bottom"/>
            <w:shd w:val="clear" w:color="auto" w:fill="E8EDF4"/>
          </w:tcPr>
          <w:p>
            <w:pPr>
              <w:spacing w:after="0"/>
              <w:rPr>
                <w:sz w:val="20"/>
                <w:szCs w:val="20"/>
                <w:color w:val="auto"/>
              </w:rPr>
            </w:pPr>
            <w:r>
              <w:rPr>
                <w:rFonts w:ascii="Arial" w:cs="Arial" w:eastAsia="Arial" w:hAnsi="Arial"/>
                <w:sz w:val="18"/>
                <w:szCs w:val="18"/>
                <w:color w:val="auto"/>
              </w:rPr>
              <w:t>None</w:t>
            </w:r>
          </w:p>
        </w:tc>
        <w:tc>
          <w:tcPr>
            <w:tcW w:w="4320" w:type="dxa"/>
            <w:vAlign w:val="bottom"/>
            <w:tcBorders>
              <w:right w:val="single" w:sz="8" w:color="4C4C4C"/>
            </w:tcBorders>
            <w:shd w:val="clear" w:color="auto" w:fill="E8EDF4"/>
          </w:tcPr>
          <w:p>
            <w:pPr>
              <w:ind w:left="1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68"/>
        </w:trPr>
        <w:tc>
          <w:tcPr>
            <w:tcW w:w="2600" w:type="dxa"/>
            <w:vAlign w:val="bottom"/>
            <w:tcBorders>
              <w:left w:val="single" w:sz="8" w:color="4C4C4C"/>
              <w:bottom w:val="single" w:sz="8" w:color="4C4C4C"/>
            </w:tcBorders>
            <w:shd w:val="clear" w:color="auto" w:fill="052B82"/>
          </w:tcPr>
          <w:p>
            <w:pPr>
              <w:spacing w:after="0"/>
              <w:rPr>
                <w:sz w:val="5"/>
                <w:szCs w:val="5"/>
                <w:color w:val="auto"/>
              </w:rPr>
            </w:pPr>
          </w:p>
        </w:tc>
        <w:tc>
          <w:tcPr>
            <w:tcW w:w="100" w:type="dxa"/>
            <w:vAlign w:val="bottom"/>
            <w:tcBorders>
              <w:bottom w:val="single" w:sz="8" w:color="4C4C4C"/>
            </w:tcBorders>
            <w:shd w:val="clear" w:color="auto" w:fill="E8EDF4"/>
          </w:tcPr>
          <w:p>
            <w:pPr>
              <w:spacing w:after="0"/>
              <w:rPr>
                <w:sz w:val="5"/>
                <w:szCs w:val="5"/>
                <w:color w:val="auto"/>
              </w:rPr>
            </w:pPr>
          </w:p>
        </w:tc>
        <w:tc>
          <w:tcPr>
            <w:tcW w:w="4040" w:type="dxa"/>
            <w:vAlign w:val="bottom"/>
            <w:tcBorders>
              <w:bottom w:val="single" w:sz="8" w:color="4C4C4C"/>
            </w:tcBorders>
            <w:shd w:val="clear" w:color="auto" w:fill="E8EDF4"/>
          </w:tcPr>
          <w:p>
            <w:pPr>
              <w:spacing w:after="0"/>
              <w:rPr>
                <w:sz w:val="5"/>
                <w:szCs w:val="5"/>
                <w:color w:val="auto"/>
              </w:rPr>
            </w:pPr>
          </w:p>
        </w:tc>
        <w:tc>
          <w:tcPr>
            <w:tcW w:w="4320" w:type="dxa"/>
            <w:vAlign w:val="bottom"/>
            <w:tcBorders>
              <w:bottom w:val="single" w:sz="8" w:color="4C4C4C"/>
              <w:right w:val="single" w:sz="8" w:color="4C4C4C"/>
            </w:tcBorders>
            <w:shd w:val="clear" w:color="auto" w:fill="E8EDF4"/>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600" w:type="dxa"/>
            <w:vAlign w:val="bottom"/>
            <w:tcBorders>
              <w:bottom w:val="single" w:sz="8" w:color="4C4C4C"/>
            </w:tcBorders>
          </w:tcPr>
          <w:p>
            <w:pPr>
              <w:spacing w:after="0"/>
              <w:rPr>
                <w:sz w:val="17"/>
                <w:szCs w:val="17"/>
                <w:color w:val="auto"/>
              </w:rPr>
            </w:pPr>
          </w:p>
        </w:tc>
        <w:tc>
          <w:tcPr>
            <w:tcW w:w="100" w:type="dxa"/>
            <w:vAlign w:val="bottom"/>
            <w:tcBorders>
              <w:bottom w:val="single" w:sz="8" w:color="4C4C4C"/>
            </w:tcBorders>
          </w:tcPr>
          <w:p>
            <w:pPr>
              <w:spacing w:after="0"/>
              <w:rPr>
                <w:sz w:val="17"/>
                <w:szCs w:val="17"/>
                <w:color w:val="auto"/>
              </w:rPr>
            </w:pPr>
          </w:p>
        </w:tc>
        <w:tc>
          <w:tcPr>
            <w:tcW w:w="4040" w:type="dxa"/>
            <w:vAlign w:val="bottom"/>
            <w:tcBorders>
              <w:bottom w:val="single" w:sz="8" w:color="4C4C4C"/>
            </w:tcBorders>
          </w:tcPr>
          <w:p>
            <w:pPr>
              <w:spacing w:after="0"/>
              <w:rPr>
                <w:sz w:val="17"/>
                <w:szCs w:val="17"/>
                <w:color w:val="auto"/>
              </w:rPr>
            </w:pPr>
          </w:p>
        </w:tc>
        <w:tc>
          <w:tcPr>
            <w:tcW w:w="4320" w:type="dxa"/>
            <w:vAlign w:val="bottom"/>
            <w:tcBorders>
              <w:bottom w:val="single" w:sz="8" w:color="4C4C4C"/>
            </w:tcBorders>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2600" w:type="dxa"/>
            <w:vAlign w:val="bottom"/>
            <w:tcBorders>
              <w:left w:val="single" w:sz="8" w:color="4C4C4C"/>
            </w:tcBorders>
            <w:shd w:val="clear" w:color="auto" w:fill="052B82"/>
          </w:tcPr>
          <w:p>
            <w:pPr>
              <w:ind w:left="220"/>
              <w:spacing w:after="0"/>
              <w:rPr>
                <w:sz w:val="20"/>
                <w:szCs w:val="20"/>
                <w:color w:val="auto"/>
              </w:rPr>
            </w:pPr>
            <w:r>
              <w:rPr>
                <w:rFonts w:ascii="Arial" w:cs="Arial" w:eastAsia="Arial" w:hAnsi="Arial"/>
                <w:sz w:val="22"/>
                <w:szCs w:val="22"/>
                <w:b w:val="1"/>
                <w:bCs w:val="1"/>
                <w:color w:val="FFFFFF"/>
              </w:rPr>
              <w:t>Mark M. Little</w:t>
            </w:r>
          </w:p>
        </w:tc>
        <w:tc>
          <w:tcPr>
            <w:tcW w:w="100" w:type="dxa"/>
            <w:vAlign w:val="bottom"/>
            <w:shd w:val="clear" w:color="auto" w:fill="E8EDF4"/>
          </w:tcPr>
          <w:p>
            <w:pPr>
              <w:spacing w:after="0"/>
              <w:rPr>
                <w:sz w:val="22"/>
                <w:szCs w:val="22"/>
                <w:color w:val="auto"/>
              </w:rPr>
            </w:pPr>
          </w:p>
        </w:tc>
        <w:tc>
          <w:tcPr>
            <w:tcW w:w="4040" w:type="dxa"/>
            <w:vAlign w:val="bottom"/>
            <w:shd w:val="clear" w:color="auto" w:fill="E8EDF4"/>
          </w:tcPr>
          <w:p>
            <w:pPr>
              <w:spacing w:after="0"/>
              <w:rPr>
                <w:sz w:val="20"/>
                <w:szCs w:val="20"/>
                <w:color w:val="auto"/>
              </w:rPr>
            </w:pPr>
            <w:r>
              <w:rPr>
                <w:rFonts w:ascii="Arial" w:cs="Arial" w:eastAsia="Arial" w:hAnsi="Arial"/>
                <w:sz w:val="18"/>
                <w:szCs w:val="18"/>
                <w:b w:val="1"/>
                <w:bCs w:val="1"/>
                <w:color w:val="auto"/>
              </w:rPr>
              <w:t>Professional Experience and Background</w:t>
            </w:r>
          </w:p>
        </w:tc>
        <w:tc>
          <w:tcPr>
            <w:tcW w:w="4320" w:type="dxa"/>
            <w:vAlign w:val="bottom"/>
            <w:tcBorders>
              <w:right w:val="single" w:sz="8" w:color="4C4C4C"/>
            </w:tcBorders>
            <w:shd w:val="clear" w:color="auto" w:fill="E8EDF4"/>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600" w:type="dxa"/>
            <w:vAlign w:val="bottom"/>
            <w:tcBorders>
              <w:left w:val="single" w:sz="8" w:color="4C4C4C"/>
            </w:tcBorders>
            <w:vMerge w:val="restart"/>
            <w:shd w:val="clear" w:color="auto" w:fill="052B82"/>
          </w:tcPr>
          <w:p>
            <w:pPr>
              <w:ind w:left="220"/>
              <w:spacing w:after="0"/>
              <w:rPr>
                <w:sz w:val="20"/>
                <w:szCs w:val="20"/>
                <w:color w:val="auto"/>
              </w:rPr>
            </w:pPr>
            <w:r>
              <w:rPr>
                <w:rFonts w:ascii="Arial" w:cs="Arial" w:eastAsia="Arial" w:hAnsi="Arial"/>
                <w:sz w:val="18"/>
                <w:szCs w:val="18"/>
                <w:b w:val="1"/>
                <w:bCs w:val="1"/>
                <w:color w:val="FFFFFF"/>
              </w:rPr>
              <w:t>Independent</w:t>
            </w:r>
          </w:p>
        </w:tc>
        <w:tc>
          <w:tcPr>
            <w:tcW w:w="100" w:type="dxa"/>
            <w:vAlign w:val="bottom"/>
            <w:shd w:val="clear" w:color="auto" w:fill="E8EDF4"/>
          </w:tcPr>
          <w:p>
            <w:pPr>
              <w:spacing w:after="0"/>
              <w:rPr>
                <w:sz w:val="17"/>
                <w:szCs w:val="17"/>
                <w:color w:val="auto"/>
              </w:rPr>
            </w:pPr>
          </w:p>
        </w:tc>
        <w:tc>
          <w:tcPr>
            <w:tcW w:w="8360" w:type="dxa"/>
            <w:vAlign w:val="bottom"/>
            <w:tcBorders>
              <w:right w:val="single" w:sz="8" w:color="4C4C4C"/>
            </w:tcBorders>
            <w:gridSpan w:val="2"/>
            <w:shd w:val="clear" w:color="auto" w:fill="E8EDF4"/>
          </w:tcPr>
          <w:p>
            <w:pPr>
              <w:spacing w:after="0" w:line="202" w:lineRule="exact"/>
              <w:rPr>
                <w:sz w:val="20"/>
                <w:szCs w:val="20"/>
                <w:color w:val="auto"/>
              </w:rPr>
            </w:pPr>
            <w:r>
              <w:rPr>
                <w:rFonts w:ascii="Arial" w:cs="Arial" w:eastAsia="Arial" w:hAnsi="Arial"/>
                <w:sz w:val="18"/>
                <w:szCs w:val="18"/>
                <w:color w:val="auto"/>
              </w:rPr>
              <w:t>Dr. Little is the former Senior Vice President, GE Global Research and Chief Technology Officer of</w:t>
            </w:r>
          </w:p>
        </w:tc>
        <w:tc>
          <w:tcPr>
            <w:tcW w:w="0" w:type="dxa"/>
            <w:vAlign w:val="bottom"/>
          </w:tcPr>
          <w:p>
            <w:pPr>
              <w:spacing w:after="0"/>
              <w:rPr>
                <w:sz w:val="1"/>
                <w:szCs w:val="1"/>
                <w:color w:val="auto"/>
              </w:rPr>
            </w:pPr>
          </w:p>
        </w:tc>
      </w:tr>
      <w:tr>
        <w:trPr>
          <w:trHeight w:val="113"/>
        </w:trPr>
        <w:tc>
          <w:tcPr>
            <w:tcW w:w="2600" w:type="dxa"/>
            <w:vAlign w:val="bottom"/>
            <w:tcBorders>
              <w:left w:val="single" w:sz="8" w:color="4C4C4C"/>
            </w:tcBorders>
            <w:vMerge w:val="continue"/>
            <w:shd w:val="clear" w:color="auto" w:fill="052B82"/>
          </w:tcPr>
          <w:p>
            <w:pPr>
              <w:spacing w:after="0"/>
              <w:rPr>
                <w:sz w:val="9"/>
                <w:szCs w:val="9"/>
                <w:color w:val="auto"/>
              </w:rPr>
            </w:pPr>
          </w:p>
        </w:tc>
        <w:tc>
          <w:tcPr>
            <w:tcW w:w="100" w:type="dxa"/>
            <w:vAlign w:val="bottom"/>
            <w:shd w:val="clear" w:color="auto" w:fill="E8EDF4"/>
          </w:tcPr>
          <w:p>
            <w:pPr>
              <w:spacing w:after="0"/>
              <w:rPr>
                <w:sz w:val="9"/>
                <w:szCs w:val="9"/>
                <w:color w:val="auto"/>
              </w:rPr>
            </w:pPr>
          </w:p>
        </w:tc>
        <w:tc>
          <w:tcPr>
            <w:tcW w:w="8360" w:type="dxa"/>
            <w:vAlign w:val="bottom"/>
            <w:tcBorders>
              <w:right w:val="single" w:sz="8" w:color="4C4C4C"/>
            </w:tcBorders>
            <w:gridSpan w:val="2"/>
            <w:vMerge w:val="restart"/>
            <w:shd w:val="clear" w:color="auto" w:fill="E8EDF4"/>
          </w:tcPr>
          <w:p>
            <w:pPr>
              <w:spacing w:after="0" w:line="202" w:lineRule="exact"/>
              <w:rPr>
                <w:sz w:val="20"/>
                <w:szCs w:val="20"/>
                <w:color w:val="auto"/>
              </w:rPr>
            </w:pPr>
            <w:r>
              <w:rPr>
                <w:rFonts w:ascii="Arial" w:cs="Arial" w:eastAsia="Arial" w:hAnsi="Arial"/>
                <w:sz w:val="18"/>
                <w:szCs w:val="18"/>
                <w:color w:val="auto"/>
              </w:rPr>
              <w:t>General Electric Company, or GE, a global digital industrial company. Dr. Little joined GE in 1978, and</w:t>
            </w:r>
          </w:p>
        </w:tc>
        <w:tc>
          <w:tcPr>
            <w:tcW w:w="0" w:type="dxa"/>
            <w:vAlign w:val="bottom"/>
          </w:tcPr>
          <w:p>
            <w:pPr>
              <w:spacing w:after="0"/>
              <w:rPr>
                <w:sz w:val="1"/>
                <w:szCs w:val="1"/>
                <w:color w:val="auto"/>
              </w:rPr>
            </w:pPr>
          </w:p>
        </w:tc>
      </w:tr>
      <w:tr>
        <w:trPr>
          <w:trHeight w:val="90"/>
        </w:trPr>
        <w:tc>
          <w:tcPr>
            <w:tcW w:w="2600" w:type="dxa"/>
            <w:vAlign w:val="bottom"/>
            <w:tcBorders>
              <w:left w:val="single" w:sz="8" w:color="4C4C4C"/>
            </w:tcBorders>
            <w:vMerge w:val="restart"/>
            <w:shd w:val="clear" w:color="auto" w:fill="052B82"/>
          </w:tcPr>
          <w:p>
            <w:pPr>
              <w:ind w:left="220"/>
              <w:spacing w:after="0"/>
              <w:rPr>
                <w:sz w:val="20"/>
                <w:szCs w:val="20"/>
                <w:color w:val="auto"/>
              </w:rPr>
            </w:pPr>
            <w:r>
              <w:rPr>
                <w:rFonts w:ascii="Arial" w:cs="Arial" w:eastAsia="Arial" w:hAnsi="Arial"/>
                <w:sz w:val="18"/>
                <w:szCs w:val="18"/>
                <w:b w:val="1"/>
                <w:bCs w:val="1"/>
                <w:color w:val="FFFFFF"/>
              </w:rPr>
              <w:t>Director since: 2017</w:t>
            </w:r>
          </w:p>
        </w:tc>
        <w:tc>
          <w:tcPr>
            <w:tcW w:w="100" w:type="dxa"/>
            <w:vAlign w:val="bottom"/>
            <w:shd w:val="clear" w:color="auto" w:fill="E8EDF4"/>
          </w:tcPr>
          <w:p>
            <w:pPr>
              <w:spacing w:after="0"/>
              <w:rPr>
                <w:sz w:val="7"/>
                <w:szCs w:val="7"/>
                <w:color w:val="auto"/>
              </w:rPr>
            </w:pPr>
          </w:p>
        </w:tc>
        <w:tc>
          <w:tcPr>
            <w:tcW w:w="8360" w:type="dxa"/>
            <w:vAlign w:val="bottom"/>
            <w:tcBorders>
              <w:right w:val="single" w:sz="8" w:color="4C4C4C"/>
            </w:tcBorders>
            <w:gridSpan w:val="2"/>
            <w:vMerge w:val="continue"/>
            <w:shd w:val="clear" w:color="auto" w:fill="E8EDF4"/>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600" w:type="dxa"/>
            <w:vAlign w:val="bottom"/>
            <w:tcBorders>
              <w:left w:val="single" w:sz="8" w:color="4C4C4C"/>
            </w:tcBorders>
            <w:vMerge w:val="continue"/>
            <w:shd w:val="clear" w:color="auto" w:fill="052B82"/>
          </w:tcPr>
          <w:p>
            <w:pPr>
              <w:spacing w:after="0"/>
              <w:rPr>
                <w:sz w:val="12"/>
                <w:szCs w:val="12"/>
                <w:color w:val="auto"/>
              </w:rPr>
            </w:pPr>
          </w:p>
        </w:tc>
        <w:tc>
          <w:tcPr>
            <w:tcW w:w="100" w:type="dxa"/>
            <w:vAlign w:val="bottom"/>
            <w:shd w:val="clear" w:color="auto" w:fill="E8EDF4"/>
          </w:tcPr>
          <w:p>
            <w:pPr>
              <w:spacing w:after="0"/>
              <w:rPr>
                <w:sz w:val="12"/>
                <w:szCs w:val="12"/>
                <w:color w:val="auto"/>
              </w:rPr>
            </w:pPr>
          </w:p>
        </w:tc>
        <w:tc>
          <w:tcPr>
            <w:tcW w:w="8360" w:type="dxa"/>
            <w:vAlign w:val="bottom"/>
            <w:tcBorders>
              <w:right w:val="single" w:sz="8" w:color="4C4C4C"/>
            </w:tcBorders>
            <w:gridSpan w:val="2"/>
            <w:vMerge w:val="restart"/>
            <w:shd w:val="clear" w:color="auto" w:fill="E8EDF4"/>
          </w:tcPr>
          <w:p>
            <w:pPr>
              <w:spacing w:after="0" w:line="202" w:lineRule="exact"/>
              <w:rPr>
                <w:sz w:val="20"/>
                <w:szCs w:val="20"/>
                <w:color w:val="auto"/>
              </w:rPr>
            </w:pPr>
            <w:r>
              <w:rPr>
                <w:rFonts w:ascii="Arial" w:cs="Arial" w:eastAsia="Arial" w:hAnsi="Arial"/>
                <w:sz w:val="18"/>
                <w:szCs w:val="18"/>
                <w:color w:val="auto"/>
              </w:rPr>
              <w:t>during his 37-year tenure, held management positions in engineering and business, culminating with his</w:t>
            </w:r>
          </w:p>
        </w:tc>
        <w:tc>
          <w:tcPr>
            <w:tcW w:w="0" w:type="dxa"/>
            <w:vAlign w:val="bottom"/>
          </w:tcPr>
          <w:p>
            <w:pPr>
              <w:spacing w:after="0"/>
              <w:rPr>
                <w:sz w:val="1"/>
                <w:szCs w:val="1"/>
                <w:color w:val="auto"/>
              </w:rPr>
            </w:pPr>
          </w:p>
        </w:tc>
      </w:tr>
      <w:tr>
        <w:trPr>
          <w:trHeight w:val="53"/>
        </w:trPr>
        <w:tc>
          <w:tcPr>
            <w:tcW w:w="2600" w:type="dxa"/>
            <w:vAlign w:val="bottom"/>
            <w:tcBorders>
              <w:left w:val="single" w:sz="8" w:color="4C4C4C"/>
            </w:tcBorders>
            <w:shd w:val="clear" w:color="auto" w:fill="052B82"/>
          </w:tcPr>
          <w:p>
            <w:pPr>
              <w:spacing w:after="0"/>
              <w:rPr>
                <w:sz w:val="4"/>
                <w:szCs w:val="4"/>
                <w:color w:val="auto"/>
              </w:rPr>
            </w:pPr>
          </w:p>
        </w:tc>
        <w:tc>
          <w:tcPr>
            <w:tcW w:w="100" w:type="dxa"/>
            <w:vAlign w:val="bottom"/>
            <w:shd w:val="clear" w:color="auto" w:fill="E8EDF4"/>
          </w:tcPr>
          <w:p>
            <w:pPr>
              <w:spacing w:after="0"/>
              <w:rPr>
                <w:sz w:val="4"/>
                <w:szCs w:val="4"/>
                <w:color w:val="auto"/>
              </w:rPr>
            </w:pPr>
          </w:p>
        </w:tc>
        <w:tc>
          <w:tcPr>
            <w:tcW w:w="8360" w:type="dxa"/>
            <w:vAlign w:val="bottom"/>
            <w:tcBorders>
              <w:right w:val="single" w:sz="8" w:color="4C4C4C"/>
            </w:tcBorders>
            <w:gridSpan w:val="2"/>
            <w:vMerge w:val="continue"/>
            <w:shd w:val="clear" w:color="auto" w:fill="E8EDF4"/>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600" w:type="dxa"/>
            <w:vAlign w:val="bottom"/>
            <w:tcBorders>
              <w:left w:val="single" w:sz="8" w:color="4C4C4C"/>
            </w:tcBorders>
            <w:vMerge w:val="restart"/>
            <w:shd w:val="clear" w:color="auto" w:fill="052B82"/>
          </w:tcPr>
          <w:p>
            <w:pPr>
              <w:ind w:left="220"/>
              <w:spacing w:after="0"/>
              <w:rPr>
                <w:sz w:val="20"/>
                <w:szCs w:val="20"/>
                <w:color w:val="auto"/>
              </w:rPr>
            </w:pPr>
            <w:r>
              <w:rPr>
                <w:rFonts w:ascii="Arial" w:cs="Arial" w:eastAsia="Arial" w:hAnsi="Arial"/>
                <w:sz w:val="18"/>
                <w:szCs w:val="18"/>
                <w:b w:val="1"/>
                <w:bCs w:val="1"/>
                <w:color w:val="FFFFFF"/>
              </w:rPr>
              <w:t>Age: 67</w:t>
            </w:r>
          </w:p>
        </w:tc>
        <w:tc>
          <w:tcPr>
            <w:tcW w:w="100" w:type="dxa"/>
            <w:vAlign w:val="bottom"/>
            <w:shd w:val="clear" w:color="auto" w:fill="E8EDF4"/>
          </w:tcPr>
          <w:p>
            <w:pPr>
              <w:spacing w:after="0"/>
              <w:rPr>
                <w:sz w:val="17"/>
                <w:szCs w:val="17"/>
                <w:color w:val="auto"/>
              </w:rPr>
            </w:pPr>
          </w:p>
        </w:tc>
        <w:tc>
          <w:tcPr>
            <w:tcW w:w="8360" w:type="dxa"/>
            <w:vAlign w:val="bottom"/>
            <w:tcBorders>
              <w:right w:val="single" w:sz="8" w:color="4C4C4C"/>
            </w:tcBorders>
            <w:gridSpan w:val="2"/>
            <w:shd w:val="clear" w:color="auto" w:fill="E8EDF4"/>
          </w:tcPr>
          <w:p>
            <w:pPr>
              <w:spacing w:after="0" w:line="202" w:lineRule="exact"/>
              <w:rPr>
                <w:sz w:val="20"/>
                <w:szCs w:val="20"/>
                <w:color w:val="auto"/>
              </w:rPr>
            </w:pPr>
            <w:r>
              <w:rPr>
                <w:rFonts w:ascii="Arial" w:cs="Arial" w:eastAsia="Arial" w:hAnsi="Arial"/>
                <w:sz w:val="18"/>
                <w:szCs w:val="18"/>
                <w:color w:val="auto"/>
              </w:rPr>
              <w:t>most recent position, which he held from 2005 until 2015. In addition to his technology leadership,</w:t>
            </w:r>
          </w:p>
        </w:tc>
        <w:tc>
          <w:tcPr>
            <w:tcW w:w="0" w:type="dxa"/>
            <w:vAlign w:val="bottom"/>
          </w:tcPr>
          <w:p>
            <w:pPr>
              <w:spacing w:after="0"/>
              <w:rPr>
                <w:sz w:val="1"/>
                <w:szCs w:val="1"/>
                <w:color w:val="auto"/>
              </w:rPr>
            </w:pPr>
          </w:p>
        </w:tc>
      </w:tr>
      <w:tr>
        <w:trPr>
          <w:trHeight w:val="109"/>
        </w:trPr>
        <w:tc>
          <w:tcPr>
            <w:tcW w:w="2600" w:type="dxa"/>
            <w:vAlign w:val="bottom"/>
            <w:tcBorders>
              <w:left w:val="single" w:sz="8" w:color="4C4C4C"/>
            </w:tcBorders>
            <w:vMerge w:val="continue"/>
            <w:shd w:val="clear" w:color="auto" w:fill="052B82"/>
          </w:tcPr>
          <w:p>
            <w:pPr>
              <w:spacing w:after="0"/>
              <w:rPr>
                <w:sz w:val="9"/>
                <w:szCs w:val="9"/>
                <w:color w:val="auto"/>
              </w:rPr>
            </w:pPr>
          </w:p>
        </w:tc>
        <w:tc>
          <w:tcPr>
            <w:tcW w:w="100" w:type="dxa"/>
            <w:vAlign w:val="bottom"/>
            <w:shd w:val="clear" w:color="auto" w:fill="E8EDF4"/>
          </w:tcPr>
          <w:p>
            <w:pPr>
              <w:spacing w:after="0"/>
              <w:rPr>
                <w:sz w:val="9"/>
                <w:szCs w:val="9"/>
                <w:color w:val="auto"/>
              </w:rPr>
            </w:pPr>
          </w:p>
        </w:tc>
        <w:tc>
          <w:tcPr>
            <w:tcW w:w="8360" w:type="dxa"/>
            <w:vAlign w:val="bottom"/>
            <w:tcBorders>
              <w:right w:val="single" w:sz="8" w:color="4C4C4C"/>
            </w:tcBorders>
            <w:gridSpan w:val="2"/>
            <w:vMerge w:val="restart"/>
            <w:shd w:val="clear" w:color="auto" w:fill="E8EDF4"/>
          </w:tcPr>
          <w:p>
            <w:pPr>
              <w:spacing w:after="0" w:line="202" w:lineRule="exact"/>
              <w:rPr>
                <w:sz w:val="20"/>
                <w:szCs w:val="20"/>
                <w:color w:val="auto"/>
              </w:rPr>
            </w:pPr>
            <w:r>
              <w:rPr>
                <w:rFonts w:ascii="Arial" w:cs="Arial" w:eastAsia="Arial" w:hAnsi="Arial"/>
                <w:sz w:val="18"/>
                <w:szCs w:val="18"/>
                <w:color w:val="auto"/>
              </w:rPr>
              <w:t>Dr. Little led several multi-billion dollar business units at GE, including GE Energy’s power-generation</w:t>
            </w:r>
          </w:p>
        </w:tc>
        <w:tc>
          <w:tcPr>
            <w:tcW w:w="0" w:type="dxa"/>
            <w:vAlign w:val="bottom"/>
          </w:tcPr>
          <w:p>
            <w:pPr>
              <w:spacing w:after="0"/>
              <w:rPr>
                <w:sz w:val="1"/>
                <w:szCs w:val="1"/>
                <w:color w:val="auto"/>
              </w:rPr>
            </w:pPr>
          </w:p>
        </w:tc>
      </w:tr>
      <w:tr>
        <w:trPr>
          <w:trHeight w:val="94"/>
        </w:trPr>
        <w:tc>
          <w:tcPr>
            <w:tcW w:w="2600" w:type="dxa"/>
            <w:vAlign w:val="bottom"/>
            <w:tcBorders>
              <w:left w:val="single" w:sz="8" w:color="4C4C4C"/>
            </w:tcBorders>
            <w:shd w:val="clear" w:color="auto" w:fill="052B82"/>
          </w:tcPr>
          <w:p>
            <w:pPr>
              <w:spacing w:after="0"/>
              <w:rPr>
                <w:sz w:val="8"/>
                <w:szCs w:val="8"/>
                <w:color w:val="auto"/>
              </w:rPr>
            </w:pPr>
          </w:p>
        </w:tc>
        <w:tc>
          <w:tcPr>
            <w:tcW w:w="100" w:type="dxa"/>
            <w:vAlign w:val="bottom"/>
            <w:shd w:val="clear" w:color="auto" w:fill="E8EDF4"/>
          </w:tcPr>
          <w:p>
            <w:pPr>
              <w:spacing w:after="0"/>
              <w:rPr>
                <w:sz w:val="8"/>
                <w:szCs w:val="8"/>
                <w:color w:val="auto"/>
              </w:rPr>
            </w:pPr>
          </w:p>
        </w:tc>
        <w:tc>
          <w:tcPr>
            <w:tcW w:w="8360" w:type="dxa"/>
            <w:vAlign w:val="bottom"/>
            <w:tcBorders>
              <w:right w:val="single" w:sz="8" w:color="4C4C4C"/>
            </w:tcBorders>
            <w:gridSpan w:val="2"/>
            <w:vMerge w:val="continue"/>
            <w:shd w:val="clear" w:color="auto" w:fill="E8EDF4"/>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2600" w:type="dxa"/>
            <w:vAlign w:val="bottom"/>
            <w:tcBorders>
              <w:left w:val="single" w:sz="8" w:color="4C4C4C"/>
            </w:tcBorders>
            <w:shd w:val="clear" w:color="auto" w:fill="052B82"/>
          </w:tcPr>
          <w:p>
            <w:pPr>
              <w:ind w:left="220"/>
              <w:spacing w:after="0"/>
              <w:rPr>
                <w:sz w:val="20"/>
                <w:szCs w:val="20"/>
                <w:color w:val="auto"/>
              </w:rPr>
            </w:pPr>
            <w:r>
              <w:rPr>
                <w:rFonts w:ascii="Arial" w:cs="Arial" w:eastAsia="Arial" w:hAnsi="Arial"/>
                <w:sz w:val="18"/>
                <w:szCs w:val="18"/>
                <w:b w:val="1"/>
                <w:bCs w:val="1"/>
                <w:color w:val="FFFFFF"/>
              </w:rPr>
              <w:t>Committee(s):</w:t>
            </w:r>
          </w:p>
        </w:tc>
        <w:tc>
          <w:tcPr>
            <w:tcW w:w="100" w:type="dxa"/>
            <w:vAlign w:val="bottom"/>
            <w:shd w:val="clear" w:color="auto" w:fill="E8EDF4"/>
          </w:tcPr>
          <w:p>
            <w:pPr>
              <w:spacing w:after="0"/>
              <w:rPr>
                <w:sz w:val="22"/>
                <w:szCs w:val="22"/>
                <w:color w:val="auto"/>
              </w:rPr>
            </w:pPr>
          </w:p>
        </w:tc>
        <w:tc>
          <w:tcPr>
            <w:tcW w:w="4040" w:type="dxa"/>
            <w:vAlign w:val="bottom"/>
            <w:shd w:val="clear" w:color="auto" w:fill="E8EDF4"/>
          </w:tcPr>
          <w:p>
            <w:pPr>
              <w:spacing w:after="0"/>
              <w:rPr>
                <w:sz w:val="20"/>
                <w:szCs w:val="20"/>
                <w:color w:val="auto"/>
              </w:rPr>
            </w:pPr>
            <w:r>
              <w:rPr>
                <w:rFonts w:ascii="Arial" w:cs="Arial" w:eastAsia="Arial" w:hAnsi="Arial"/>
                <w:sz w:val="18"/>
                <w:szCs w:val="18"/>
                <w:color w:val="auto"/>
              </w:rPr>
              <w:t>segment.</w:t>
            </w:r>
          </w:p>
        </w:tc>
        <w:tc>
          <w:tcPr>
            <w:tcW w:w="4320" w:type="dxa"/>
            <w:vAlign w:val="bottom"/>
            <w:tcBorders>
              <w:right w:val="single" w:sz="8" w:color="4C4C4C"/>
            </w:tcBorders>
            <w:shd w:val="clear" w:color="auto" w:fill="E8EDF4"/>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2600" w:type="dxa"/>
            <w:vAlign w:val="bottom"/>
            <w:tcBorders>
              <w:left w:val="single" w:sz="8" w:color="4C4C4C"/>
            </w:tcBorders>
            <w:shd w:val="clear" w:color="auto" w:fill="052B82"/>
          </w:tcPr>
          <w:p>
            <w:pPr>
              <w:ind w:left="220"/>
              <w:spacing w:after="0"/>
              <w:rPr>
                <w:sz w:val="20"/>
                <w:szCs w:val="20"/>
                <w:color w:val="auto"/>
              </w:rPr>
            </w:pPr>
            <w:r>
              <w:rPr>
                <w:rFonts w:ascii="Arial" w:cs="Arial" w:eastAsia="Arial" w:hAnsi="Arial"/>
                <w:sz w:val="18"/>
                <w:szCs w:val="18"/>
                <w:color w:val="FFFFFF"/>
              </w:rPr>
              <w:t>Compensation</w:t>
            </w:r>
          </w:p>
        </w:tc>
        <w:tc>
          <w:tcPr>
            <w:tcW w:w="100" w:type="dxa"/>
            <w:vAlign w:val="bottom"/>
            <w:shd w:val="clear" w:color="auto" w:fill="E8EDF4"/>
          </w:tcPr>
          <w:p>
            <w:pPr>
              <w:spacing w:after="0"/>
              <w:rPr>
                <w:sz w:val="21"/>
                <w:szCs w:val="21"/>
                <w:color w:val="auto"/>
              </w:rPr>
            </w:pPr>
          </w:p>
        </w:tc>
        <w:tc>
          <w:tcPr>
            <w:tcW w:w="4040" w:type="dxa"/>
            <w:vAlign w:val="bottom"/>
            <w:shd w:val="clear" w:color="auto" w:fill="E8EDF4"/>
          </w:tcPr>
          <w:p>
            <w:pPr>
              <w:spacing w:after="0"/>
              <w:rPr>
                <w:sz w:val="20"/>
                <w:szCs w:val="20"/>
                <w:color w:val="auto"/>
              </w:rPr>
            </w:pPr>
            <w:r>
              <w:rPr>
                <w:rFonts w:ascii="Arial" w:cs="Arial" w:eastAsia="Arial" w:hAnsi="Arial"/>
                <w:sz w:val="18"/>
                <w:szCs w:val="18"/>
                <w:b w:val="1"/>
                <w:bCs w:val="1"/>
                <w:color w:val="auto"/>
              </w:rPr>
              <w:t>Key Qualifications and Expertise</w:t>
            </w:r>
          </w:p>
        </w:tc>
        <w:tc>
          <w:tcPr>
            <w:tcW w:w="4320" w:type="dxa"/>
            <w:vAlign w:val="bottom"/>
            <w:tcBorders>
              <w:right w:val="single" w:sz="8" w:color="4C4C4C"/>
            </w:tcBorders>
            <w:shd w:val="clear" w:color="auto" w:fill="E8EDF4"/>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2600" w:type="dxa"/>
            <w:vAlign w:val="bottom"/>
            <w:tcBorders>
              <w:left w:val="single" w:sz="8" w:color="4C4C4C"/>
            </w:tcBorders>
            <w:shd w:val="clear" w:color="auto" w:fill="052B82"/>
          </w:tcPr>
          <w:p>
            <w:pPr>
              <w:spacing w:after="0"/>
              <w:rPr>
                <w:sz w:val="24"/>
                <w:szCs w:val="24"/>
                <w:color w:val="auto"/>
              </w:rPr>
            </w:pPr>
          </w:p>
        </w:tc>
        <w:tc>
          <w:tcPr>
            <w:tcW w:w="100" w:type="dxa"/>
            <w:vAlign w:val="bottom"/>
            <w:shd w:val="clear" w:color="auto" w:fill="E8EDF4"/>
          </w:tcPr>
          <w:p>
            <w:pPr>
              <w:spacing w:after="0"/>
              <w:rPr>
                <w:sz w:val="24"/>
                <w:szCs w:val="24"/>
                <w:color w:val="auto"/>
              </w:rPr>
            </w:pPr>
          </w:p>
        </w:tc>
        <w:tc>
          <w:tcPr>
            <w:tcW w:w="8360" w:type="dxa"/>
            <w:vAlign w:val="bottom"/>
            <w:tcBorders>
              <w:right w:val="single" w:sz="8" w:color="4C4C4C"/>
            </w:tcBorders>
            <w:gridSpan w:val="2"/>
            <w:shd w:val="clear" w:color="auto" w:fill="E8EDF4"/>
          </w:tcPr>
          <w:p>
            <w:pPr>
              <w:spacing w:after="0"/>
              <w:rPr>
                <w:sz w:val="20"/>
                <w:szCs w:val="20"/>
                <w:color w:val="auto"/>
              </w:rPr>
            </w:pPr>
            <w:r>
              <w:rPr>
                <w:rFonts w:ascii="Arial" w:cs="Arial" w:eastAsia="Arial" w:hAnsi="Arial"/>
                <w:sz w:val="18"/>
                <w:szCs w:val="18"/>
                <w:color w:val="auto"/>
              </w:rPr>
              <w:t>We believe Dr. Little’s qualifications to serve on our Board of Directors include his extensive leadership</w:t>
            </w:r>
          </w:p>
        </w:tc>
        <w:tc>
          <w:tcPr>
            <w:tcW w:w="0" w:type="dxa"/>
            <w:vAlign w:val="bottom"/>
          </w:tcPr>
          <w:p>
            <w:pPr>
              <w:spacing w:after="0"/>
              <w:rPr>
                <w:sz w:val="1"/>
                <w:szCs w:val="1"/>
                <w:color w:val="auto"/>
              </w:rPr>
            </w:pPr>
          </w:p>
        </w:tc>
      </w:tr>
      <w:tr>
        <w:trPr>
          <w:trHeight w:val="203"/>
        </w:trPr>
        <w:tc>
          <w:tcPr>
            <w:tcW w:w="2600" w:type="dxa"/>
            <w:vAlign w:val="bottom"/>
            <w:tcBorders>
              <w:left w:val="single" w:sz="8" w:color="4C4C4C"/>
            </w:tcBorders>
            <w:shd w:val="clear" w:color="auto" w:fill="052B82"/>
          </w:tcPr>
          <w:p>
            <w:pPr>
              <w:spacing w:after="0"/>
              <w:rPr>
                <w:sz w:val="17"/>
                <w:szCs w:val="17"/>
                <w:color w:val="auto"/>
              </w:rPr>
            </w:pPr>
          </w:p>
        </w:tc>
        <w:tc>
          <w:tcPr>
            <w:tcW w:w="100" w:type="dxa"/>
            <w:vAlign w:val="bottom"/>
            <w:shd w:val="clear" w:color="auto" w:fill="E8EDF4"/>
          </w:tcPr>
          <w:p>
            <w:pPr>
              <w:spacing w:after="0"/>
              <w:rPr>
                <w:sz w:val="17"/>
                <w:szCs w:val="17"/>
                <w:color w:val="auto"/>
              </w:rPr>
            </w:pPr>
          </w:p>
        </w:tc>
        <w:tc>
          <w:tcPr>
            <w:tcW w:w="8360" w:type="dxa"/>
            <w:vAlign w:val="bottom"/>
            <w:tcBorders>
              <w:right w:val="single" w:sz="8" w:color="4C4C4C"/>
            </w:tcBorders>
            <w:gridSpan w:val="2"/>
            <w:shd w:val="clear" w:color="auto" w:fill="E8EDF4"/>
          </w:tcPr>
          <w:p>
            <w:pPr>
              <w:spacing w:after="0" w:line="202" w:lineRule="exact"/>
              <w:rPr>
                <w:sz w:val="20"/>
                <w:szCs w:val="20"/>
                <w:color w:val="auto"/>
              </w:rPr>
            </w:pPr>
            <w:r>
              <w:rPr>
                <w:rFonts w:ascii="Arial" w:cs="Arial" w:eastAsia="Arial" w:hAnsi="Arial"/>
                <w:sz w:val="18"/>
                <w:szCs w:val="18"/>
                <w:color w:val="auto"/>
              </w:rPr>
              <w:t>experience in a global technology company, combined with his experience driving change and</w:t>
            </w:r>
          </w:p>
        </w:tc>
        <w:tc>
          <w:tcPr>
            <w:tcW w:w="0" w:type="dxa"/>
            <w:vAlign w:val="bottom"/>
          </w:tcPr>
          <w:p>
            <w:pPr>
              <w:spacing w:after="0"/>
              <w:rPr>
                <w:sz w:val="1"/>
                <w:szCs w:val="1"/>
                <w:color w:val="auto"/>
              </w:rPr>
            </w:pPr>
          </w:p>
        </w:tc>
      </w:tr>
      <w:tr>
        <w:trPr>
          <w:trHeight w:val="217"/>
        </w:trPr>
        <w:tc>
          <w:tcPr>
            <w:tcW w:w="2600" w:type="dxa"/>
            <w:vAlign w:val="bottom"/>
            <w:tcBorders>
              <w:left w:val="single" w:sz="8" w:color="4C4C4C"/>
            </w:tcBorders>
            <w:shd w:val="clear" w:color="auto" w:fill="052B82"/>
          </w:tcPr>
          <w:p>
            <w:pPr>
              <w:spacing w:after="0"/>
              <w:rPr>
                <w:sz w:val="18"/>
                <w:szCs w:val="18"/>
                <w:color w:val="auto"/>
              </w:rPr>
            </w:pPr>
          </w:p>
        </w:tc>
        <w:tc>
          <w:tcPr>
            <w:tcW w:w="100" w:type="dxa"/>
            <w:vAlign w:val="bottom"/>
            <w:shd w:val="clear" w:color="auto" w:fill="E8EDF4"/>
          </w:tcPr>
          <w:p>
            <w:pPr>
              <w:spacing w:after="0"/>
              <w:rPr>
                <w:sz w:val="18"/>
                <w:szCs w:val="18"/>
                <w:color w:val="auto"/>
              </w:rPr>
            </w:pPr>
          </w:p>
        </w:tc>
        <w:tc>
          <w:tcPr>
            <w:tcW w:w="8360" w:type="dxa"/>
            <w:vAlign w:val="bottom"/>
            <w:tcBorders>
              <w:right w:val="single" w:sz="8" w:color="4C4C4C"/>
            </w:tcBorders>
            <w:gridSpan w:val="2"/>
            <w:shd w:val="clear" w:color="auto" w:fill="E8EDF4"/>
          </w:tcPr>
          <w:p>
            <w:pPr>
              <w:spacing w:after="0"/>
              <w:rPr>
                <w:sz w:val="20"/>
                <w:szCs w:val="20"/>
                <w:color w:val="auto"/>
              </w:rPr>
            </w:pPr>
            <w:r>
              <w:rPr>
                <w:rFonts w:ascii="Arial" w:cs="Arial" w:eastAsia="Arial" w:hAnsi="Arial"/>
                <w:sz w:val="18"/>
                <w:szCs w:val="18"/>
                <w:color w:val="auto"/>
              </w:rPr>
              <w:t>innovation through GE’s various phases of business transformation.</w:t>
            </w:r>
          </w:p>
        </w:tc>
        <w:tc>
          <w:tcPr>
            <w:tcW w:w="0" w:type="dxa"/>
            <w:vAlign w:val="bottom"/>
          </w:tcPr>
          <w:p>
            <w:pPr>
              <w:spacing w:after="0"/>
              <w:rPr>
                <w:sz w:val="1"/>
                <w:szCs w:val="1"/>
                <w:color w:val="auto"/>
              </w:rPr>
            </w:pPr>
          </w:p>
        </w:tc>
      </w:tr>
      <w:tr>
        <w:trPr>
          <w:trHeight w:val="324"/>
        </w:trPr>
        <w:tc>
          <w:tcPr>
            <w:tcW w:w="2600" w:type="dxa"/>
            <w:vAlign w:val="bottom"/>
            <w:tcBorders>
              <w:left w:val="single" w:sz="8" w:color="4C4C4C"/>
            </w:tcBorders>
            <w:shd w:val="clear" w:color="auto" w:fill="052B82"/>
          </w:tcPr>
          <w:p>
            <w:pPr>
              <w:spacing w:after="0"/>
              <w:rPr>
                <w:sz w:val="24"/>
                <w:szCs w:val="24"/>
                <w:color w:val="auto"/>
              </w:rPr>
            </w:pPr>
          </w:p>
        </w:tc>
        <w:tc>
          <w:tcPr>
            <w:tcW w:w="100" w:type="dxa"/>
            <w:vAlign w:val="bottom"/>
            <w:shd w:val="clear" w:color="auto" w:fill="E8EDF4"/>
          </w:tcPr>
          <w:p>
            <w:pPr>
              <w:spacing w:after="0"/>
              <w:rPr>
                <w:sz w:val="24"/>
                <w:szCs w:val="24"/>
                <w:color w:val="auto"/>
              </w:rPr>
            </w:pPr>
          </w:p>
        </w:tc>
        <w:tc>
          <w:tcPr>
            <w:tcW w:w="4040" w:type="dxa"/>
            <w:vAlign w:val="bottom"/>
            <w:shd w:val="clear" w:color="auto" w:fill="E8EDF4"/>
          </w:tcPr>
          <w:p>
            <w:pPr>
              <w:spacing w:after="0"/>
              <w:rPr>
                <w:sz w:val="20"/>
                <w:szCs w:val="20"/>
                <w:color w:val="auto"/>
              </w:rPr>
            </w:pPr>
            <w:r>
              <w:rPr>
                <w:rFonts w:ascii="Arial" w:cs="Arial" w:eastAsia="Arial" w:hAnsi="Arial"/>
                <w:sz w:val="18"/>
                <w:szCs w:val="18"/>
                <w:b w:val="1"/>
                <w:bCs w:val="1"/>
                <w:color w:val="auto"/>
              </w:rPr>
              <w:t>Other Public Company Boards</w:t>
            </w:r>
          </w:p>
        </w:tc>
        <w:tc>
          <w:tcPr>
            <w:tcW w:w="4320" w:type="dxa"/>
            <w:vAlign w:val="bottom"/>
            <w:tcBorders>
              <w:right w:val="single" w:sz="8" w:color="4C4C4C"/>
            </w:tcBorders>
            <w:shd w:val="clear" w:color="auto" w:fill="E8EDF4"/>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600" w:type="dxa"/>
            <w:vAlign w:val="bottom"/>
            <w:tcBorders>
              <w:left w:val="single" w:sz="8" w:color="4C4C4C"/>
            </w:tcBorders>
            <w:shd w:val="clear" w:color="auto" w:fill="052B82"/>
          </w:tcPr>
          <w:p>
            <w:pPr>
              <w:spacing w:after="0"/>
              <w:rPr>
                <w:sz w:val="24"/>
                <w:szCs w:val="24"/>
                <w:color w:val="auto"/>
              </w:rPr>
            </w:pPr>
          </w:p>
        </w:tc>
        <w:tc>
          <w:tcPr>
            <w:tcW w:w="100" w:type="dxa"/>
            <w:vAlign w:val="bottom"/>
            <w:shd w:val="clear" w:color="auto" w:fill="E8EDF4"/>
          </w:tcPr>
          <w:p>
            <w:pPr>
              <w:spacing w:after="0"/>
              <w:rPr>
                <w:sz w:val="24"/>
                <w:szCs w:val="24"/>
                <w:color w:val="auto"/>
              </w:rPr>
            </w:pPr>
          </w:p>
        </w:tc>
        <w:tc>
          <w:tcPr>
            <w:tcW w:w="4040" w:type="dxa"/>
            <w:vAlign w:val="bottom"/>
            <w:shd w:val="clear" w:color="auto" w:fill="E8EDF4"/>
          </w:tcPr>
          <w:p>
            <w:pPr>
              <w:spacing w:after="0"/>
              <w:rPr>
                <w:sz w:val="20"/>
                <w:szCs w:val="20"/>
                <w:color w:val="auto"/>
              </w:rPr>
            </w:pPr>
            <w:r>
              <w:rPr>
                <w:rFonts w:ascii="Arial" w:cs="Arial" w:eastAsia="Arial" w:hAnsi="Arial"/>
                <w:sz w:val="18"/>
                <w:szCs w:val="18"/>
                <w:b w:val="1"/>
                <w:bCs w:val="1"/>
                <w:color w:val="auto"/>
              </w:rPr>
              <w:t>Current</w:t>
            </w:r>
          </w:p>
        </w:tc>
        <w:tc>
          <w:tcPr>
            <w:tcW w:w="4320" w:type="dxa"/>
            <w:vAlign w:val="bottom"/>
            <w:tcBorders>
              <w:right w:val="single" w:sz="8" w:color="4C4C4C"/>
            </w:tcBorders>
            <w:shd w:val="clear" w:color="auto" w:fill="E8EDF4"/>
          </w:tcPr>
          <w:p>
            <w:pPr>
              <w:ind w:left="120"/>
              <w:spacing w:after="0"/>
              <w:rPr>
                <w:sz w:val="20"/>
                <w:szCs w:val="20"/>
                <w:color w:val="auto"/>
              </w:rPr>
            </w:pPr>
            <w:r>
              <w:rPr>
                <w:rFonts w:ascii="Arial" w:cs="Arial" w:eastAsia="Arial" w:hAnsi="Arial"/>
                <w:sz w:val="18"/>
                <w:szCs w:val="18"/>
                <w:b w:val="1"/>
                <w:bCs w:val="1"/>
                <w:color w:val="auto"/>
              </w:rPr>
              <w:t>Past 5 Years</w:t>
            </w:r>
          </w:p>
        </w:tc>
        <w:tc>
          <w:tcPr>
            <w:tcW w:w="0" w:type="dxa"/>
            <w:vAlign w:val="bottom"/>
          </w:tcPr>
          <w:p>
            <w:pPr>
              <w:spacing w:after="0"/>
              <w:rPr>
                <w:sz w:val="1"/>
                <w:szCs w:val="1"/>
                <w:color w:val="auto"/>
              </w:rPr>
            </w:pPr>
          </w:p>
        </w:tc>
      </w:tr>
      <w:tr>
        <w:trPr>
          <w:trHeight w:val="217"/>
        </w:trPr>
        <w:tc>
          <w:tcPr>
            <w:tcW w:w="2600" w:type="dxa"/>
            <w:vAlign w:val="bottom"/>
            <w:tcBorders>
              <w:left w:val="single" w:sz="8" w:color="4C4C4C"/>
            </w:tcBorders>
            <w:shd w:val="clear" w:color="auto" w:fill="052B82"/>
          </w:tcPr>
          <w:p>
            <w:pPr>
              <w:spacing w:after="0"/>
              <w:rPr>
                <w:sz w:val="18"/>
                <w:szCs w:val="18"/>
                <w:color w:val="auto"/>
              </w:rPr>
            </w:pPr>
          </w:p>
        </w:tc>
        <w:tc>
          <w:tcPr>
            <w:tcW w:w="100" w:type="dxa"/>
            <w:vAlign w:val="bottom"/>
            <w:shd w:val="clear" w:color="auto" w:fill="E8EDF4"/>
          </w:tcPr>
          <w:p>
            <w:pPr>
              <w:spacing w:after="0"/>
              <w:rPr>
                <w:sz w:val="18"/>
                <w:szCs w:val="18"/>
                <w:color w:val="auto"/>
              </w:rPr>
            </w:pPr>
          </w:p>
        </w:tc>
        <w:tc>
          <w:tcPr>
            <w:tcW w:w="4040" w:type="dxa"/>
            <w:vAlign w:val="bottom"/>
            <w:shd w:val="clear" w:color="auto" w:fill="E8EDF4"/>
          </w:tcPr>
          <w:p>
            <w:pPr>
              <w:spacing w:after="0"/>
              <w:rPr>
                <w:sz w:val="20"/>
                <w:szCs w:val="20"/>
                <w:color w:val="auto"/>
              </w:rPr>
            </w:pPr>
            <w:r>
              <w:rPr>
                <w:rFonts w:ascii="Arial" w:cs="Arial" w:eastAsia="Arial" w:hAnsi="Arial"/>
                <w:sz w:val="18"/>
                <w:szCs w:val="18"/>
                <w:color w:val="auto"/>
              </w:rPr>
              <w:t>None</w:t>
            </w:r>
          </w:p>
        </w:tc>
        <w:tc>
          <w:tcPr>
            <w:tcW w:w="4320" w:type="dxa"/>
            <w:vAlign w:val="bottom"/>
            <w:tcBorders>
              <w:right w:val="single" w:sz="8" w:color="4C4C4C"/>
            </w:tcBorders>
            <w:shd w:val="clear" w:color="auto" w:fill="E8EDF4"/>
          </w:tcPr>
          <w:p>
            <w:pPr>
              <w:ind w:left="1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68"/>
        </w:trPr>
        <w:tc>
          <w:tcPr>
            <w:tcW w:w="2600" w:type="dxa"/>
            <w:vAlign w:val="bottom"/>
            <w:tcBorders>
              <w:left w:val="single" w:sz="8" w:color="4C4C4C"/>
              <w:bottom w:val="single" w:sz="8" w:color="4C4C4C"/>
            </w:tcBorders>
            <w:shd w:val="clear" w:color="auto" w:fill="052B82"/>
          </w:tcPr>
          <w:p>
            <w:pPr>
              <w:spacing w:after="0"/>
              <w:rPr>
                <w:sz w:val="5"/>
                <w:szCs w:val="5"/>
                <w:color w:val="auto"/>
              </w:rPr>
            </w:pPr>
          </w:p>
        </w:tc>
        <w:tc>
          <w:tcPr>
            <w:tcW w:w="100" w:type="dxa"/>
            <w:vAlign w:val="bottom"/>
            <w:tcBorders>
              <w:bottom w:val="single" w:sz="8" w:color="4C4C4C"/>
            </w:tcBorders>
            <w:shd w:val="clear" w:color="auto" w:fill="E8EDF4"/>
          </w:tcPr>
          <w:p>
            <w:pPr>
              <w:spacing w:after="0"/>
              <w:rPr>
                <w:sz w:val="5"/>
                <w:szCs w:val="5"/>
                <w:color w:val="auto"/>
              </w:rPr>
            </w:pPr>
          </w:p>
        </w:tc>
        <w:tc>
          <w:tcPr>
            <w:tcW w:w="4040" w:type="dxa"/>
            <w:vAlign w:val="bottom"/>
            <w:tcBorders>
              <w:bottom w:val="single" w:sz="8" w:color="4C4C4C"/>
            </w:tcBorders>
            <w:shd w:val="clear" w:color="auto" w:fill="E8EDF4"/>
          </w:tcPr>
          <w:p>
            <w:pPr>
              <w:spacing w:after="0"/>
              <w:rPr>
                <w:sz w:val="5"/>
                <w:szCs w:val="5"/>
                <w:color w:val="auto"/>
              </w:rPr>
            </w:pPr>
          </w:p>
        </w:tc>
        <w:tc>
          <w:tcPr>
            <w:tcW w:w="4320" w:type="dxa"/>
            <w:vAlign w:val="bottom"/>
            <w:tcBorders>
              <w:bottom w:val="single" w:sz="8" w:color="4C4C4C"/>
              <w:right w:val="single" w:sz="8" w:color="4C4C4C"/>
            </w:tcBorders>
            <w:shd w:val="clear" w:color="auto" w:fill="E8EDF4"/>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600" w:type="dxa"/>
            <w:vAlign w:val="bottom"/>
            <w:tcBorders>
              <w:bottom w:val="single" w:sz="8" w:color="4C4C4C"/>
            </w:tcBorders>
          </w:tcPr>
          <w:p>
            <w:pPr>
              <w:spacing w:after="0"/>
              <w:rPr>
                <w:sz w:val="17"/>
                <w:szCs w:val="17"/>
                <w:color w:val="auto"/>
              </w:rPr>
            </w:pPr>
          </w:p>
        </w:tc>
        <w:tc>
          <w:tcPr>
            <w:tcW w:w="100" w:type="dxa"/>
            <w:vAlign w:val="bottom"/>
            <w:tcBorders>
              <w:bottom w:val="single" w:sz="8" w:color="4C4C4C"/>
            </w:tcBorders>
          </w:tcPr>
          <w:p>
            <w:pPr>
              <w:spacing w:after="0"/>
              <w:rPr>
                <w:sz w:val="17"/>
                <w:szCs w:val="17"/>
                <w:color w:val="auto"/>
              </w:rPr>
            </w:pPr>
          </w:p>
        </w:tc>
        <w:tc>
          <w:tcPr>
            <w:tcW w:w="4040" w:type="dxa"/>
            <w:vAlign w:val="bottom"/>
            <w:tcBorders>
              <w:bottom w:val="single" w:sz="8" w:color="4C4C4C"/>
            </w:tcBorders>
          </w:tcPr>
          <w:p>
            <w:pPr>
              <w:spacing w:after="0"/>
              <w:rPr>
                <w:sz w:val="17"/>
                <w:szCs w:val="17"/>
                <w:color w:val="auto"/>
              </w:rPr>
            </w:pPr>
          </w:p>
        </w:tc>
        <w:tc>
          <w:tcPr>
            <w:tcW w:w="4320" w:type="dxa"/>
            <w:vAlign w:val="bottom"/>
            <w:tcBorders>
              <w:bottom w:val="single" w:sz="8" w:color="4C4C4C"/>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600" w:type="dxa"/>
            <w:vAlign w:val="bottom"/>
            <w:tcBorders>
              <w:left w:val="single" w:sz="8" w:color="4C4C4C"/>
            </w:tcBorders>
            <w:shd w:val="clear" w:color="auto" w:fill="052B82"/>
          </w:tcPr>
          <w:p>
            <w:pPr>
              <w:ind w:left="340"/>
              <w:spacing w:after="0" w:line="204" w:lineRule="exact"/>
              <w:rPr>
                <w:sz w:val="20"/>
                <w:szCs w:val="20"/>
                <w:color w:val="auto"/>
              </w:rPr>
            </w:pPr>
            <w:r>
              <w:rPr>
                <w:rFonts w:ascii="Arial" w:cs="Arial" w:eastAsia="Arial" w:hAnsi="Arial"/>
                <w:sz w:val="22"/>
                <w:szCs w:val="22"/>
                <w:b w:val="1"/>
                <w:bCs w:val="1"/>
                <w:color w:val="FFFFFF"/>
              </w:rPr>
              <w:t>Kenton J.</w:t>
            </w:r>
          </w:p>
        </w:tc>
        <w:tc>
          <w:tcPr>
            <w:tcW w:w="100" w:type="dxa"/>
            <w:vAlign w:val="bottom"/>
            <w:shd w:val="clear" w:color="auto" w:fill="E8EDF4"/>
          </w:tcPr>
          <w:p>
            <w:pPr>
              <w:spacing w:after="0"/>
              <w:rPr>
                <w:sz w:val="17"/>
                <w:szCs w:val="17"/>
                <w:color w:val="auto"/>
              </w:rPr>
            </w:pPr>
          </w:p>
        </w:tc>
        <w:tc>
          <w:tcPr>
            <w:tcW w:w="4040" w:type="dxa"/>
            <w:vAlign w:val="bottom"/>
            <w:shd w:val="clear" w:color="auto" w:fill="E8EDF4"/>
          </w:tcPr>
          <w:p>
            <w:pPr>
              <w:spacing w:after="0" w:line="204" w:lineRule="exact"/>
              <w:rPr>
                <w:sz w:val="20"/>
                <w:szCs w:val="20"/>
                <w:color w:val="auto"/>
              </w:rPr>
            </w:pPr>
            <w:r>
              <w:rPr>
                <w:rFonts w:ascii="Arial" w:cs="Arial" w:eastAsia="Arial" w:hAnsi="Arial"/>
                <w:sz w:val="18"/>
                <w:szCs w:val="18"/>
                <w:b w:val="1"/>
                <w:bCs w:val="1"/>
                <w:color w:val="auto"/>
              </w:rPr>
              <w:t>Professional Experience and Background</w:t>
            </w:r>
          </w:p>
        </w:tc>
        <w:tc>
          <w:tcPr>
            <w:tcW w:w="4320" w:type="dxa"/>
            <w:vAlign w:val="bottom"/>
            <w:tcBorders>
              <w:right w:val="single" w:sz="8" w:color="4C4C4C"/>
            </w:tcBorders>
            <w:shd w:val="clear" w:color="auto" w:fill="E8EDF4"/>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600" w:type="dxa"/>
            <w:vAlign w:val="bottom"/>
            <w:tcBorders>
              <w:left w:val="single" w:sz="8" w:color="4C4C4C"/>
            </w:tcBorders>
            <w:shd w:val="clear" w:color="auto" w:fill="052B82"/>
          </w:tcPr>
          <w:p>
            <w:pPr>
              <w:ind w:left="340"/>
              <w:spacing w:after="0"/>
              <w:rPr>
                <w:sz w:val="20"/>
                <w:szCs w:val="20"/>
                <w:color w:val="auto"/>
              </w:rPr>
            </w:pPr>
            <w:r>
              <w:rPr>
                <w:rFonts w:ascii="Arial" w:cs="Arial" w:eastAsia="Arial" w:hAnsi="Arial"/>
                <w:sz w:val="22"/>
                <w:szCs w:val="22"/>
                <w:b w:val="1"/>
                <w:bCs w:val="1"/>
                <w:color w:val="FFFFFF"/>
              </w:rPr>
              <w:t>Sicchitano</w:t>
            </w:r>
          </w:p>
        </w:tc>
        <w:tc>
          <w:tcPr>
            <w:tcW w:w="100" w:type="dxa"/>
            <w:vAlign w:val="bottom"/>
            <w:shd w:val="clear" w:color="auto" w:fill="E8EDF4"/>
          </w:tcPr>
          <w:p>
            <w:pPr>
              <w:spacing w:after="0"/>
              <w:rPr>
                <w:sz w:val="22"/>
                <w:szCs w:val="22"/>
                <w:color w:val="auto"/>
              </w:rPr>
            </w:pPr>
          </w:p>
        </w:tc>
        <w:tc>
          <w:tcPr>
            <w:tcW w:w="8360" w:type="dxa"/>
            <w:vAlign w:val="bottom"/>
            <w:tcBorders>
              <w:right w:val="single" w:sz="8" w:color="4C4C4C"/>
            </w:tcBorders>
            <w:gridSpan w:val="2"/>
            <w:shd w:val="clear" w:color="auto" w:fill="E8EDF4"/>
          </w:tcPr>
          <w:p>
            <w:pPr>
              <w:spacing w:after="0"/>
              <w:rPr>
                <w:sz w:val="20"/>
                <w:szCs w:val="20"/>
                <w:color w:val="auto"/>
              </w:rPr>
            </w:pPr>
            <w:r>
              <w:rPr>
                <w:rFonts w:ascii="Arial" w:cs="Arial" w:eastAsia="Arial" w:hAnsi="Arial"/>
                <w:sz w:val="18"/>
                <w:szCs w:val="18"/>
                <w:color w:val="auto"/>
              </w:rPr>
              <w:t>Mr. Sicchitano retired from PricewaterhouseCoopers LLP, or PwC, a public accounting firm, in July</w:t>
            </w:r>
          </w:p>
        </w:tc>
        <w:tc>
          <w:tcPr>
            <w:tcW w:w="0" w:type="dxa"/>
            <w:vAlign w:val="bottom"/>
          </w:tcPr>
          <w:p>
            <w:pPr>
              <w:spacing w:after="0"/>
              <w:rPr>
                <w:sz w:val="1"/>
                <w:szCs w:val="1"/>
                <w:color w:val="auto"/>
              </w:rPr>
            </w:pPr>
          </w:p>
        </w:tc>
      </w:tr>
      <w:tr>
        <w:trPr>
          <w:trHeight w:val="203"/>
        </w:trPr>
        <w:tc>
          <w:tcPr>
            <w:tcW w:w="2600" w:type="dxa"/>
            <w:vAlign w:val="bottom"/>
            <w:tcBorders>
              <w:left w:val="single" w:sz="8" w:color="4C4C4C"/>
            </w:tcBorders>
            <w:vMerge w:val="restart"/>
            <w:shd w:val="clear" w:color="auto" w:fill="052B82"/>
          </w:tcPr>
          <w:p>
            <w:pPr>
              <w:ind w:left="320"/>
              <w:spacing w:after="0"/>
              <w:rPr>
                <w:sz w:val="20"/>
                <w:szCs w:val="20"/>
                <w:color w:val="auto"/>
              </w:rPr>
            </w:pPr>
            <w:r>
              <w:rPr>
                <w:rFonts w:ascii="Arial" w:cs="Arial" w:eastAsia="Arial" w:hAnsi="Arial"/>
                <w:sz w:val="18"/>
                <w:szCs w:val="18"/>
                <w:b w:val="1"/>
                <w:bCs w:val="1"/>
                <w:color w:val="FFFFFF"/>
              </w:rPr>
              <w:t>Independent</w:t>
            </w:r>
          </w:p>
        </w:tc>
        <w:tc>
          <w:tcPr>
            <w:tcW w:w="100" w:type="dxa"/>
            <w:vAlign w:val="bottom"/>
            <w:shd w:val="clear" w:color="auto" w:fill="E8EDF4"/>
          </w:tcPr>
          <w:p>
            <w:pPr>
              <w:spacing w:after="0"/>
              <w:rPr>
                <w:sz w:val="17"/>
                <w:szCs w:val="17"/>
                <w:color w:val="auto"/>
              </w:rPr>
            </w:pPr>
          </w:p>
        </w:tc>
        <w:tc>
          <w:tcPr>
            <w:tcW w:w="8360" w:type="dxa"/>
            <w:vAlign w:val="bottom"/>
            <w:tcBorders>
              <w:right w:val="single" w:sz="8" w:color="4C4C4C"/>
            </w:tcBorders>
            <w:gridSpan w:val="2"/>
            <w:shd w:val="clear" w:color="auto" w:fill="E8EDF4"/>
          </w:tcPr>
          <w:p>
            <w:pPr>
              <w:spacing w:after="0" w:line="202" w:lineRule="exact"/>
              <w:rPr>
                <w:sz w:val="20"/>
                <w:szCs w:val="20"/>
                <w:color w:val="auto"/>
              </w:rPr>
            </w:pPr>
            <w:r>
              <w:rPr>
                <w:rFonts w:ascii="Arial" w:cs="Arial" w:eastAsia="Arial" w:hAnsi="Arial"/>
                <w:sz w:val="18"/>
                <w:szCs w:val="18"/>
                <w:color w:val="auto"/>
              </w:rPr>
              <w:t>2001. At the time of his retirement, Mr. Sicchitano was the Global Managing Partner of Independence</w:t>
            </w:r>
          </w:p>
        </w:tc>
        <w:tc>
          <w:tcPr>
            <w:tcW w:w="0" w:type="dxa"/>
            <w:vAlign w:val="bottom"/>
          </w:tcPr>
          <w:p>
            <w:pPr>
              <w:spacing w:after="0"/>
              <w:rPr>
                <w:sz w:val="1"/>
                <w:szCs w:val="1"/>
                <w:color w:val="auto"/>
              </w:rPr>
            </w:pPr>
          </w:p>
        </w:tc>
      </w:tr>
      <w:tr>
        <w:trPr>
          <w:trHeight w:val="163"/>
        </w:trPr>
        <w:tc>
          <w:tcPr>
            <w:tcW w:w="2600" w:type="dxa"/>
            <w:vAlign w:val="bottom"/>
            <w:tcBorders>
              <w:left w:val="single" w:sz="8" w:color="4C4C4C"/>
            </w:tcBorders>
            <w:vMerge w:val="continue"/>
            <w:shd w:val="clear" w:color="auto" w:fill="052B82"/>
          </w:tcPr>
          <w:p>
            <w:pPr>
              <w:spacing w:after="0"/>
              <w:rPr>
                <w:sz w:val="14"/>
                <w:szCs w:val="14"/>
                <w:color w:val="auto"/>
              </w:rPr>
            </w:pPr>
          </w:p>
        </w:tc>
        <w:tc>
          <w:tcPr>
            <w:tcW w:w="100" w:type="dxa"/>
            <w:vAlign w:val="bottom"/>
            <w:shd w:val="clear" w:color="auto" w:fill="E8EDF4"/>
          </w:tcPr>
          <w:p>
            <w:pPr>
              <w:spacing w:after="0"/>
              <w:rPr>
                <w:sz w:val="14"/>
                <w:szCs w:val="14"/>
                <w:color w:val="auto"/>
              </w:rPr>
            </w:pPr>
          </w:p>
        </w:tc>
        <w:tc>
          <w:tcPr>
            <w:tcW w:w="8360" w:type="dxa"/>
            <w:vAlign w:val="bottom"/>
            <w:tcBorders>
              <w:right w:val="single" w:sz="8" w:color="4C4C4C"/>
            </w:tcBorders>
            <w:gridSpan w:val="2"/>
            <w:shd w:val="clear" w:color="auto" w:fill="E8EDF4"/>
          </w:tcPr>
          <w:p>
            <w:pPr>
              <w:spacing w:after="0" w:line="163" w:lineRule="exact"/>
              <w:rPr>
                <w:sz w:val="20"/>
                <w:szCs w:val="20"/>
                <w:color w:val="auto"/>
              </w:rPr>
            </w:pPr>
            <w:r>
              <w:rPr>
                <w:rFonts w:ascii="Arial" w:cs="Arial" w:eastAsia="Arial" w:hAnsi="Arial"/>
                <w:sz w:val="18"/>
                <w:szCs w:val="18"/>
                <w:color w:val="auto"/>
              </w:rPr>
              <w:t>and Regulatory Matters for PwC. Mr. Sicchitano joined Price Waterhouse LLP, a predecessor firm of</w:t>
            </w:r>
          </w:p>
        </w:tc>
        <w:tc>
          <w:tcPr>
            <w:tcW w:w="0" w:type="dxa"/>
            <w:vAlign w:val="bottom"/>
          </w:tcPr>
          <w:p>
            <w:pPr>
              <w:spacing w:after="0"/>
              <w:rPr>
                <w:sz w:val="1"/>
                <w:szCs w:val="1"/>
                <w:color w:val="auto"/>
              </w:rPr>
            </w:pPr>
          </w:p>
        </w:tc>
      </w:tr>
      <w:tr>
        <w:trPr>
          <w:trHeight w:val="242"/>
        </w:trPr>
        <w:tc>
          <w:tcPr>
            <w:tcW w:w="2600" w:type="dxa"/>
            <w:vAlign w:val="bottom"/>
            <w:tcBorders>
              <w:left w:val="single" w:sz="8" w:color="4C4C4C"/>
            </w:tcBorders>
            <w:shd w:val="clear" w:color="auto" w:fill="052B82"/>
          </w:tcPr>
          <w:p>
            <w:pPr>
              <w:ind w:left="320"/>
              <w:spacing w:after="0"/>
              <w:rPr>
                <w:sz w:val="20"/>
                <w:szCs w:val="20"/>
                <w:color w:val="auto"/>
              </w:rPr>
            </w:pPr>
            <w:r>
              <w:rPr>
                <w:rFonts w:ascii="Arial" w:cs="Arial" w:eastAsia="Arial" w:hAnsi="Arial"/>
                <w:sz w:val="18"/>
                <w:szCs w:val="18"/>
                <w:b w:val="1"/>
                <w:bCs w:val="1"/>
                <w:color w:val="FFFFFF"/>
              </w:rPr>
              <w:t>Director since: 2003</w:t>
            </w:r>
          </w:p>
        </w:tc>
        <w:tc>
          <w:tcPr>
            <w:tcW w:w="100" w:type="dxa"/>
            <w:vAlign w:val="bottom"/>
            <w:shd w:val="clear" w:color="auto" w:fill="E8EDF4"/>
          </w:tcPr>
          <w:p>
            <w:pPr>
              <w:spacing w:after="0"/>
              <w:rPr>
                <w:sz w:val="21"/>
                <w:szCs w:val="21"/>
                <w:color w:val="auto"/>
              </w:rPr>
            </w:pPr>
          </w:p>
        </w:tc>
        <w:tc>
          <w:tcPr>
            <w:tcW w:w="8360" w:type="dxa"/>
            <w:vAlign w:val="bottom"/>
            <w:tcBorders>
              <w:right w:val="single" w:sz="8" w:color="4C4C4C"/>
            </w:tcBorders>
            <w:gridSpan w:val="2"/>
            <w:shd w:val="clear" w:color="auto" w:fill="E8EDF4"/>
          </w:tcPr>
          <w:p>
            <w:pPr>
              <w:spacing w:after="0"/>
              <w:rPr>
                <w:sz w:val="20"/>
                <w:szCs w:val="20"/>
                <w:color w:val="auto"/>
              </w:rPr>
            </w:pPr>
            <w:r>
              <w:rPr>
                <w:rFonts w:ascii="Arial" w:cs="Arial" w:eastAsia="Arial" w:hAnsi="Arial"/>
                <w:sz w:val="18"/>
                <w:szCs w:val="18"/>
                <w:color w:val="auto"/>
              </w:rPr>
              <w:t>PwC, in 1970 and became a partner in 1979. During his 31-year tenure with PwC, Mr. Sicchitano held</w:t>
            </w:r>
          </w:p>
        </w:tc>
        <w:tc>
          <w:tcPr>
            <w:tcW w:w="0" w:type="dxa"/>
            <w:vAlign w:val="bottom"/>
          </w:tcPr>
          <w:p>
            <w:pPr>
              <w:spacing w:after="0"/>
              <w:rPr>
                <w:sz w:val="1"/>
                <w:szCs w:val="1"/>
                <w:color w:val="auto"/>
              </w:rPr>
            </w:pPr>
          </w:p>
        </w:tc>
      </w:tr>
      <w:tr>
        <w:trPr>
          <w:trHeight w:val="203"/>
        </w:trPr>
        <w:tc>
          <w:tcPr>
            <w:tcW w:w="2600" w:type="dxa"/>
            <w:vAlign w:val="bottom"/>
            <w:tcBorders>
              <w:left w:val="single" w:sz="8" w:color="4C4C4C"/>
            </w:tcBorders>
            <w:vMerge w:val="restart"/>
            <w:shd w:val="clear" w:color="auto" w:fill="052B82"/>
          </w:tcPr>
          <w:p>
            <w:pPr>
              <w:ind w:left="300"/>
              <w:spacing w:after="0"/>
              <w:rPr>
                <w:sz w:val="20"/>
                <w:szCs w:val="20"/>
                <w:color w:val="auto"/>
              </w:rPr>
            </w:pPr>
            <w:r>
              <w:rPr>
                <w:rFonts w:ascii="Arial" w:cs="Arial" w:eastAsia="Arial" w:hAnsi="Arial"/>
                <w:sz w:val="18"/>
                <w:szCs w:val="18"/>
                <w:b w:val="1"/>
                <w:bCs w:val="1"/>
                <w:color w:val="FFFFFF"/>
              </w:rPr>
              <w:t>Age: 75</w:t>
            </w:r>
          </w:p>
        </w:tc>
        <w:tc>
          <w:tcPr>
            <w:tcW w:w="100" w:type="dxa"/>
            <w:vAlign w:val="bottom"/>
            <w:shd w:val="clear" w:color="auto" w:fill="E8EDF4"/>
          </w:tcPr>
          <w:p>
            <w:pPr>
              <w:spacing w:after="0"/>
              <w:rPr>
                <w:sz w:val="17"/>
                <w:szCs w:val="17"/>
                <w:color w:val="auto"/>
              </w:rPr>
            </w:pPr>
          </w:p>
        </w:tc>
        <w:tc>
          <w:tcPr>
            <w:tcW w:w="8360" w:type="dxa"/>
            <w:vAlign w:val="bottom"/>
            <w:tcBorders>
              <w:right w:val="single" w:sz="8" w:color="4C4C4C"/>
            </w:tcBorders>
            <w:gridSpan w:val="2"/>
            <w:shd w:val="clear" w:color="auto" w:fill="E8EDF4"/>
          </w:tcPr>
          <w:p>
            <w:pPr>
              <w:spacing w:after="0" w:line="202" w:lineRule="exact"/>
              <w:rPr>
                <w:sz w:val="20"/>
                <w:szCs w:val="20"/>
                <w:color w:val="auto"/>
              </w:rPr>
            </w:pPr>
            <w:r>
              <w:rPr>
                <w:rFonts w:ascii="Arial" w:cs="Arial" w:eastAsia="Arial" w:hAnsi="Arial"/>
                <w:sz w:val="18"/>
                <w:szCs w:val="18"/>
                <w:color w:val="auto"/>
              </w:rPr>
              <w:t>various positions including the Global Managing Partner of Audit/Business Advisory Services and the</w:t>
            </w:r>
          </w:p>
        </w:tc>
        <w:tc>
          <w:tcPr>
            <w:tcW w:w="0" w:type="dxa"/>
            <w:vAlign w:val="bottom"/>
          </w:tcPr>
          <w:p>
            <w:pPr>
              <w:spacing w:after="0"/>
              <w:rPr>
                <w:sz w:val="1"/>
                <w:szCs w:val="1"/>
                <w:color w:val="auto"/>
              </w:rPr>
            </w:pPr>
          </w:p>
        </w:tc>
      </w:tr>
      <w:tr>
        <w:trPr>
          <w:trHeight w:val="149"/>
        </w:trPr>
        <w:tc>
          <w:tcPr>
            <w:tcW w:w="2600" w:type="dxa"/>
            <w:vAlign w:val="bottom"/>
            <w:tcBorders>
              <w:left w:val="single" w:sz="8" w:color="4C4C4C"/>
            </w:tcBorders>
            <w:vMerge w:val="continue"/>
            <w:shd w:val="clear" w:color="auto" w:fill="052B82"/>
          </w:tcPr>
          <w:p>
            <w:pPr>
              <w:spacing w:after="0"/>
              <w:rPr>
                <w:sz w:val="12"/>
                <w:szCs w:val="12"/>
                <w:color w:val="auto"/>
              </w:rPr>
            </w:pPr>
          </w:p>
        </w:tc>
        <w:tc>
          <w:tcPr>
            <w:tcW w:w="100" w:type="dxa"/>
            <w:vAlign w:val="bottom"/>
            <w:shd w:val="clear" w:color="auto" w:fill="E8EDF4"/>
          </w:tcPr>
          <w:p>
            <w:pPr>
              <w:spacing w:after="0"/>
              <w:rPr>
                <w:sz w:val="12"/>
                <w:szCs w:val="12"/>
                <w:color w:val="auto"/>
              </w:rPr>
            </w:pPr>
          </w:p>
        </w:tc>
        <w:tc>
          <w:tcPr>
            <w:tcW w:w="8360" w:type="dxa"/>
            <w:vAlign w:val="bottom"/>
            <w:tcBorders>
              <w:right w:val="single" w:sz="8" w:color="4C4C4C"/>
            </w:tcBorders>
            <w:gridSpan w:val="2"/>
            <w:vMerge w:val="restart"/>
            <w:shd w:val="clear" w:color="auto" w:fill="E8EDF4"/>
          </w:tcPr>
          <w:p>
            <w:pPr>
              <w:spacing w:after="0"/>
              <w:rPr>
                <w:sz w:val="20"/>
                <w:szCs w:val="20"/>
                <w:color w:val="auto"/>
              </w:rPr>
            </w:pPr>
            <w:r>
              <w:rPr>
                <w:rFonts w:ascii="Arial" w:cs="Arial" w:eastAsia="Arial" w:hAnsi="Arial"/>
                <w:sz w:val="18"/>
                <w:szCs w:val="18"/>
                <w:color w:val="auto"/>
              </w:rPr>
              <w:t>Global Managing Partner responsible for Audit/Business Advisory, Tax and Financial Advisory Services.</w:t>
            </w:r>
          </w:p>
        </w:tc>
        <w:tc>
          <w:tcPr>
            <w:tcW w:w="0" w:type="dxa"/>
            <w:vAlign w:val="bottom"/>
          </w:tcPr>
          <w:p>
            <w:pPr>
              <w:spacing w:after="0"/>
              <w:rPr>
                <w:sz w:val="1"/>
                <w:szCs w:val="1"/>
                <w:color w:val="auto"/>
              </w:rPr>
            </w:pPr>
          </w:p>
        </w:tc>
      </w:tr>
      <w:tr>
        <w:trPr>
          <w:trHeight w:val="68"/>
        </w:trPr>
        <w:tc>
          <w:tcPr>
            <w:tcW w:w="2600" w:type="dxa"/>
            <w:vAlign w:val="bottom"/>
            <w:tcBorders>
              <w:left w:val="single" w:sz="8" w:color="4C4C4C"/>
            </w:tcBorders>
            <w:shd w:val="clear" w:color="auto" w:fill="052B82"/>
          </w:tcPr>
          <w:p>
            <w:pPr>
              <w:spacing w:after="0"/>
              <w:rPr>
                <w:sz w:val="5"/>
                <w:szCs w:val="5"/>
                <w:color w:val="auto"/>
              </w:rPr>
            </w:pPr>
          </w:p>
        </w:tc>
        <w:tc>
          <w:tcPr>
            <w:tcW w:w="100" w:type="dxa"/>
            <w:vAlign w:val="bottom"/>
            <w:shd w:val="clear" w:color="auto" w:fill="E8EDF4"/>
          </w:tcPr>
          <w:p>
            <w:pPr>
              <w:spacing w:after="0"/>
              <w:rPr>
                <w:sz w:val="5"/>
                <w:szCs w:val="5"/>
                <w:color w:val="auto"/>
              </w:rPr>
            </w:pPr>
          </w:p>
        </w:tc>
        <w:tc>
          <w:tcPr>
            <w:tcW w:w="8360" w:type="dxa"/>
            <w:vAlign w:val="bottom"/>
            <w:tcBorders>
              <w:right w:val="single" w:sz="8" w:color="4C4C4C"/>
            </w:tcBorders>
            <w:gridSpan w:val="2"/>
            <w:vMerge w:val="continue"/>
            <w:shd w:val="clear" w:color="auto" w:fill="E8EDF4"/>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2600" w:type="dxa"/>
            <w:vAlign w:val="bottom"/>
            <w:tcBorders>
              <w:left w:val="single" w:sz="8" w:color="4C4C4C"/>
            </w:tcBorders>
            <w:shd w:val="clear" w:color="auto" w:fill="052B82"/>
          </w:tcPr>
          <w:p>
            <w:pPr>
              <w:ind w:left="320"/>
              <w:spacing w:after="0"/>
              <w:rPr>
                <w:sz w:val="20"/>
                <w:szCs w:val="20"/>
                <w:color w:val="auto"/>
              </w:rPr>
            </w:pPr>
            <w:r>
              <w:rPr>
                <w:rFonts w:ascii="Arial" w:cs="Arial" w:eastAsia="Arial" w:hAnsi="Arial"/>
                <w:sz w:val="18"/>
                <w:szCs w:val="18"/>
                <w:b w:val="1"/>
                <w:bCs w:val="1"/>
                <w:color w:val="FFFFFF"/>
              </w:rPr>
              <w:t>Committee(s):</w:t>
            </w:r>
          </w:p>
        </w:tc>
        <w:tc>
          <w:tcPr>
            <w:tcW w:w="100" w:type="dxa"/>
            <w:vAlign w:val="bottom"/>
            <w:shd w:val="clear" w:color="auto" w:fill="E8EDF4"/>
          </w:tcPr>
          <w:p>
            <w:pPr>
              <w:spacing w:after="0"/>
              <w:rPr>
                <w:sz w:val="24"/>
                <w:szCs w:val="24"/>
                <w:color w:val="auto"/>
              </w:rPr>
            </w:pPr>
          </w:p>
        </w:tc>
        <w:tc>
          <w:tcPr>
            <w:tcW w:w="4040" w:type="dxa"/>
            <w:vAlign w:val="bottom"/>
            <w:shd w:val="clear" w:color="auto" w:fill="E8EDF4"/>
          </w:tcPr>
          <w:p>
            <w:pPr>
              <w:spacing w:after="0"/>
              <w:rPr>
                <w:sz w:val="20"/>
                <w:szCs w:val="20"/>
                <w:color w:val="auto"/>
              </w:rPr>
            </w:pPr>
            <w:r>
              <w:rPr>
                <w:rFonts w:ascii="Arial" w:cs="Arial" w:eastAsia="Arial" w:hAnsi="Arial"/>
                <w:sz w:val="18"/>
                <w:szCs w:val="18"/>
                <w:b w:val="1"/>
                <w:bCs w:val="1"/>
                <w:color w:val="auto"/>
              </w:rPr>
              <w:t>Key Qualifications and Expertise</w:t>
            </w:r>
          </w:p>
        </w:tc>
        <w:tc>
          <w:tcPr>
            <w:tcW w:w="4320" w:type="dxa"/>
            <w:vAlign w:val="bottom"/>
            <w:tcBorders>
              <w:right w:val="single" w:sz="8" w:color="4C4C4C"/>
            </w:tcBorders>
            <w:shd w:val="clear" w:color="auto" w:fill="E8EDF4"/>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600" w:type="dxa"/>
            <w:vAlign w:val="bottom"/>
            <w:tcBorders>
              <w:left w:val="single" w:sz="8" w:color="4C4C4C"/>
            </w:tcBorders>
            <w:shd w:val="clear" w:color="auto" w:fill="052B82"/>
          </w:tcPr>
          <w:p>
            <w:pPr>
              <w:ind w:left="300"/>
              <w:spacing w:after="0"/>
              <w:rPr>
                <w:sz w:val="20"/>
                <w:szCs w:val="20"/>
                <w:color w:val="auto"/>
              </w:rPr>
            </w:pPr>
            <w:r>
              <w:rPr>
                <w:rFonts w:ascii="Arial" w:cs="Arial" w:eastAsia="Arial" w:hAnsi="Arial"/>
                <w:sz w:val="18"/>
                <w:szCs w:val="18"/>
                <w:color w:val="FFFFFF"/>
              </w:rPr>
              <w:t>Audit</w:t>
            </w:r>
          </w:p>
        </w:tc>
        <w:tc>
          <w:tcPr>
            <w:tcW w:w="100" w:type="dxa"/>
            <w:vAlign w:val="bottom"/>
            <w:shd w:val="clear" w:color="auto" w:fill="E8EDF4"/>
          </w:tcPr>
          <w:p>
            <w:pPr>
              <w:spacing w:after="0"/>
              <w:rPr>
                <w:sz w:val="18"/>
                <w:szCs w:val="18"/>
                <w:color w:val="auto"/>
              </w:rPr>
            </w:pPr>
          </w:p>
        </w:tc>
        <w:tc>
          <w:tcPr>
            <w:tcW w:w="8360" w:type="dxa"/>
            <w:vAlign w:val="bottom"/>
            <w:tcBorders>
              <w:right w:val="single" w:sz="8" w:color="4C4C4C"/>
            </w:tcBorders>
            <w:gridSpan w:val="2"/>
            <w:vMerge w:val="restart"/>
            <w:shd w:val="clear" w:color="auto" w:fill="E8EDF4"/>
          </w:tcPr>
          <w:p>
            <w:pPr>
              <w:spacing w:after="0"/>
              <w:rPr>
                <w:sz w:val="20"/>
                <w:szCs w:val="20"/>
                <w:color w:val="auto"/>
              </w:rPr>
            </w:pPr>
            <w:r>
              <w:rPr>
                <w:rFonts w:ascii="Arial" w:cs="Arial" w:eastAsia="Arial" w:hAnsi="Arial"/>
                <w:sz w:val="18"/>
                <w:szCs w:val="18"/>
                <w:color w:val="auto"/>
              </w:rPr>
              <w:t>We believe Mr. Sicchitano’s qualifications to serve on our Board of Directors include his extensive</w:t>
            </w:r>
          </w:p>
        </w:tc>
        <w:tc>
          <w:tcPr>
            <w:tcW w:w="0" w:type="dxa"/>
            <w:vAlign w:val="bottom"/>
          </w:tcPr>
          <w:p>
            <w:pPr>
              <w:spacing w:after="0"/>
              <w:rPr>
                <w:sz w:val="1"/>
                <w:szCs w:val="1"/>
                <w:color w:val="auto"/>
              </w:rPr>
            </w:pPr>
          </w:p>
        </w:tc>
      </w:tr>
      <w:tr>
        <w:trPr>
          <w:trHeight w:val="94"/>
        </w:trPr>
        <w:tc>
          <w:tcPr>
            <w:tcW w:w="2600" w:type="dxa"/>
            <w:vAlign w:val="bottom"/>
            <w:tcBorders>
              <w:left w:val="single" w:sz="8" w:color="4C4C4C"/>
            </w:tcBorders>
            <w:shd w:val="clear" w:color="auto" w:fill="052B82"/>
          </w:tcPr>
          <w:p>
            <w:pPr>
              <w:spacing w:after="0"/>
              <w:rPr>
                <w:sz w:val="8"/>
                <w:szCs w:val="8"/>
                <w:color w:val="auto"/>
              </w:rPr>
            </w:pPr>
          </w:p>
        </w:tc>
        <w:tc>
          <w:tcPr>
            <w:tcW w:w="100" w:type="dxa"/>
            <w:vAlign w:val="bottom"/>
            <w:shd w:val="clear" w:color="auto" w:fill="E8EDF4"/>
          </w:tcPr>
          <w:p>
            <w:pPr>
              <w:spacing w:after="0"/>
              <w:rPr>
                <w:sz w:val="8"/>
                <w:szCs w:val="8"/>
                <w:color w:val="auto"/>
              </w:rPr>
            </w:pPr>
          </w:p>
        </w:tc>
        <w:tc>
          <w:tcPr>
            <w:tcW w:w="8360" w:type="dxa"/>
            <w:vAlign w:val="bottom"/>
            <w:tcBorders>
              <w:right w:val="single" w:sz="8" w:color="4C4C4C"/>
            </w:tcBorders>
            <w:gridSpan w:val="2"/>
            <w:vMerge w:val="continue"/>
            <w:shd w:val="clear" w:color="auto" w:fill="E8EDF4"/>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600" w:type="dxa"/>
            <w:vAlign w:val="bottom"/>
            <w:tcBorders>
              <w:left w:val="single" w:sz="8" w:color="4C4C4C"/>
            </w:tcBorders>
            <w:shd w:val="clear" w:color="auto" w:fill="052B82"/>
          </w:tcPr>
          <w:p>
            <w:pPr>
              <w:spacing w:after="0"/>
              <w:rPr>
                <w:sz w:val="18"/>
                <w:szCs w:val="18"/>
                <w:color w:val="auto"/>
              </w:rPr>
            </w:pPr>
          </w:p>
        </w:tc>
        <w:tc>
          <w:tcPr>
            <w:tcW w:w="100" w:type="dxa"/>
            <w:vAlign w:val="bottom"/>
            <w:shd w:val="clear" w:color="auto" w:fill="E8EDF4"/>
          </w:tcPr>
          <w:p>
            <w:pPr>
              <w:spacing w:after="0"/>
              <w:rPr>
                <w:sz w:val="18"/>
                <w:szCs w:val="18"/>
                <w:color w:val="auto"/>
              </w:rPr>
            </w:pPr>
          </w:p>
        </w:tc>
        <w:tc>
          <w:tcPr>
            <w:tcW w:w="8360" w:type="dxa"/>
            <w:vAlign w:val="bottom"/>
            <w:tcBorders>
              <w:right w:val="single" w:sz="8" w:color="4C4C4C"/>
            </w:tcBorders>
            <w:gridSpan w:val="2"/>
            <w:shd w:val="clear" w:color="auto" w:fill="E8EDF4"/>
          </w:tcPr>
          <w:p>
            <w:pPr>
              <w:spacing w:after="0"/>
              <w:rPr>
                <w:sz w:val="20"/>
                <w:szCs w:val="20"/>
                <w:color w:val="auto"/>
              </w:rPr>
            </w:pPr>
            <w:r>
              <w:rPr>
                <w:rFonts w:ascii="Arial" w:cs="Arial" w:eastAsia="Arial" w:hAnsi="Arial"/>
                <w:sz w:val="18"/>
                <w:szCs w:val="18"/>
                <w:color w:val="auto"/>
              </w:rPr>
              <w:t>experience with public and financial accounting matters for complex global organizations.</w:t>
            </w:r>
          </w:p>
        </w:tc>
        <w:tc>
          <w:tcPr>
            <w:tcW w:w="0" w:type="dxa"/>
            <w:vAlign w:val="bottom"/>
          </w:tcPr>
          <w:p>
            <w:pPr>
              <w:spacing w:after="0"/>
              <w:rPr>
                <w:sz w:val="1"/>
                <w:szCs w:val="1"/>
                <w:color w:val="auto"/>
              </w:rPr>
            </w:pPr>
          </w:p>
        </w:tc>
      </w:tr>
      <w:tr>
        <w:trPr>
          <w:trHeight w:val="324"/>
        </w:trPr>
        <w:tc>
          <w:tcPr>
            <w:tcW w:w="2600" w:type="dxa"/>
            <w:vAlign w:val="bottom"/>
            <w:tcBorders>
              <w:left w:val="single" w:sz="8" w:color="4C4C4C"/>
            </w:tcBorders>
            <w:shd w:val="clear" w:color="auto" w:fill="052B82"/>
          </w:tcPr>
          <w:p>
            <w:pPr>
              <w:spacing w:after="0"/>
              <w:rPr>
                <w:sz w:val="24"/>
                <w:szCs w:val="24"/>
                <w:color w:val="auto"/>
              </w:rPr>
            </w:pPr>
          </w:p>
        </w:tc>
        <w:tc>
          <w:tcPr>
            <w:tcW w:w="100" w:type="dxa"/>
            <w:vAlign w:val="bottom"/>
            <w:shd w:val="clear" w:color="auto" w:fill="E8EDF4"/>
          </w:tcPr>
          <w:p>
            <w:pPr>
              <w:spacing w:after="0"/>
              <w:rPr>
                <w:sz w:val="24"/>
                <w:szCs w:val="24"/>
                <w:color w:val="auto"/>
              </w:rPr>
            </w:pPr>
          </w:p>
        </w:tc>
        <w:tc>
          <w:tcPr>
            <w:tcW w:w="4040" w:type="dxa"/>
            <w:vAlign w:val="bottom"/>
            <w:shd w:val="clear" w:color="auto" w:fill="E8EDF4"/>
          </w:tcPr>
          <w:p>
            <w:pPr>
              <w:spacing w:after="0"/>
              <w:rPr>
                <w:sz w:val="20"/>
                <w:szCs w:val="20"/>
                <w:color w:val="auto"/>
              </w:rPr>
            </w:pPr>
            <w:r>
              <w:rPr>
                <w:rFonts w:ascii="Arial" w:cs="Arial" w:eastAsia="Arial" w:hAnsi="Arial"/>
                <w:sz w:val="18"/>
                <w:szCs w:val="18"/>
                <w:b w:val="1"/>
                <w:bCs w:val="1"/>
                <w:color w:val="auto"/>
              </w:rPr>
              <w:t>Other Public Company Boards</w:t>
            </w:r>
          </w:p>
        </w:tc>
        <w:tc>
          <w:tcPr>
            <w:tcW w:w="4320" w:type="dxa"/>
            <w:vAlign w:val="bottom"/>
            <w:tcBorders>
              <w:right w:val="single" w:sz="8" w:color="4C4C4C"/>
            </w:tcBorders>
            <w:shd w:val="clear" w:color="auto" w:fill="E8EDF4"/>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600" w:type="dxa"/>
            <w:vAlign w:val="bottom"/>
            <w:tcBorders>
              <w:left w:val="single" w:sz="8" w:color="4C4C4C"/>
            </w:tcBorders>
            <w:shd w:val="clear" w:color="auto" w:fill="052B82"/>
          </w:tcPr>
          <w:p>
            <w:pPr>
              <w:spacing w:after="0"/>
              <w:rPr>
                <w:sz w:val="24"/>
                <w:szCs w:val="24"/>
                <w:color w:val="auto"/>
              </w:rPr>
            </w:pPr>
          </w:p>
        </w:tc>
        <w:tc>
          <w:tcPr>
            <w:tcW w:w="100" w:type="dxa"/>
            <w:vAlign w:val="bottom"/>
            <w:shd w:val="clear" w:color="auto" w:fill="E8EDF4"/>
          </w:tcPr>
          <w:p>
            <w:pPr>
              <w:spacing w:after="0"/>
              <w:rPr>
                <w:sz w:val="24"/>
                <w:szCs w:val="24"/>
                <w:color w:val="auto"/>
              </w:rPr>
            </w:pPr>
          </w:p>
        </w:tc>
        <w:tc>
          <w:tcPr>
            <w:tcW w:w="4040" w:type="dxa"/>
            <w:vAlign w:val="bottom"/>
            <w:shd w:val="clear" w:color="auto" w:fill="E8EDF4"/>
          </w:tcPr>
          <w:p>
            <w:pPr>
              <w:spacing w:after="0"/>
              <w:rPr>
                <w:sz w:val="20"/>
                <w:szCs w:val="20"/>
                <w:color w:val="auto"/>
              </w:rPr>
            </w:pPr>
            <w:r>
              <w:rPr>
                <w:rFonts w:ascii="Arial" w:cs="Arial" w:eastAsia="Arial" w:hAnsi="Arial"/>
                <w:sz w:val="18"/>
                <w:szCs w:val="18"/>
                <w:b w:val="1"/>
                <w:bCs w:val="1"/>
                <w:color w:val="auto"/>
              </w:rPr>
              <w:t>Current</w:t>
            </w:r>
          </w:p>
        </w:tc>
        <w:tc>
          <w:tcPr>
            <w:tcW w:w="4320" w:type="dxa"/>
            <w:vAlign w:val="bottom"/>
            <w:tcBorders>
              <w:right w:val="single" w:sz="8" w:color="4C4C4C"/>
            </w:tcBorders>
            <w:shd w:val="clear" w:color="auto" w:fill="E8EDF4"/>
          </w:tcPr>
          <w:p>
            <w:pPr>
              <w:ind w:left="120"/>
              <w:spacing w:after="0"/>
              <w:rPr>
                <w:sz w:val="20"/>
                <w:szCs w:val="20"/>
                <w:color w:val="auto"/>
              </w:rPr>
            </w:pPr>
            <w:r>
              <w:rPr>
                <w:rFonts w:ascii="Arial" w:cs="Arial" w:eastAsia="Arial" w:hAnsi="Arial"/>
                <w:sz w:val="18"/>
                <w:szCs w:val="18"/>
                <w:b w:val="1"/>
                <w:bCs w:val="1"/>
                <w:color w:val="auto"/>
              </w:rPr>
              <w:t>Past 5 Years</w:t>
            </w:r>
          </w:p>
        </w:tc>
        <w:tc>
          <w:tcPr>
            <w:tcW w:w="0" w:type="dxa"/>
            <w:vAlign w:val="bottom"/>
          </w:tcPr>
          <w:p>
            <w:pPr>
              <w:spacing w:after="0"/>
              <w:rPr>
                <w:sz w:val="1"/>
                <w:szCs w:val="1"/>
                <w:color w:val="auto"/>
              </w:rPr>
            </w:pPr>
          </w:p>
        </w:tc>
      </w:tr>
      <w:tr>
        <w:trPr>
          <w:trHeight w:val="203"/>
        </w:trPr>
        <w:tc>
          <w:tcPr>
            <w:tcW w:w="2600" w:type="dxa"/>
            <w:vAlign w:val="bottom"/>
            <w:tcBorders>
              <w:left w:val="single" w:sz="8" w:color="4C4C4C"/>
            </w:tcBorders>
            <w:shd w:val="clear" w:color="auto" w:fill="052B82"/>
          </w:tcPr>
          <w:p>
            <w:pPr>
              <w:spacing w:after="0"/>
              <w:rPr>
                <w:sz w:val="17"/>
                <w:szCs w:val="17"/>
                <w:color w:val="auto"/>
              </w:rPr>
            </w:pPr>
          </w:p>
        </w:tc>
        <w:tc>
          <w:tcPr>
            <w:tcW w:w="100" w:type="dxa"/>
            <w:vAlign w:val="bottom"/>
            <w:shd w:val="clear" w:color="auto" w:fill="E8EDF4"/>
          </w:tcPr>
          <w:p>
            <w:pPr>
              <w:spacing w:after="0"/>
              <w:rPr>
                <w:sz w:val="17"/>
                <w:szCs w:val="17"/>
                <w:color w:val="auto"/>
              </w:rPr>
            </w:pPr>
          </w:p>
        </w:tc>
        <w:tc>
          <w:tcPr>
            <w:tcW w:w="4040" w:type="dxa"/>
            <w:vAlign w:val="bottom"/>
            <w:shd w:val="clear" w:color="auto" w:fill="E8EDF4"/>
          </w:tcPr>
          <w:p>
            <w:pPr>
              <w:spacing w:after="0" w:line="202" w:lineRule="exact"/>
              <w:rPr>
                <w:sz w:val="20"/>
                <w:szCs w:val="20"/>
                <w:color w:val="auto"/>
              </w:rPr>
            </w:pPr>
            <w:r>
              <w:rPr>
                <w:rFonts w:ascii="Arial" w:cs="Arial" w:eastAsia="Arial" w:hAnsi="Arial"/>
                <w:sz w:val="18"/>
                <w:szCs w:val="18"/>
                <w:color w:val="auto"/>
              </w:rPr>
              <w:t>None</w:t>
            </w:r>
          </w:p>
        </w:tc>
        <w:tc>
          <w:tcPr>
            <w:tcW w:w="4320" w:type="dxa"/>
            <w:vAlign w:val="bottom"/>
            <w:tcBorders>
              <w:right w:val="single" w:sz="8" w:color="4C4C4C"/>
            </w:tcBorders>
            <w:shd w:val="clear" w:color="auto" w:fill="E8EDF4"/>
          </w:tcPr>
          <w:p>
            <w:pPr>
              <w:ind w:left="120"/>
              <w:spacing w:after="0" w:line="202" w:lineRule="exact"/>
              <w:rPr>
                <w:sz w:val="20"/>
                <w:szCs w:val="20"/>
                <w:color w:val="auto"/>
              </w:rPr>
            </w:pPr>
            <w:r>
              <w:rPr>
                <w:rFonts w:ascii="Arial" w:cs="Arial" w:eastAsia="Arial" w:hAnsi="Arial"/>
                <w:sz w:val="18"/>
                <w:szCs w:val="18"/>
                <w:color w:val="auto"/>
              </w:rPr>
              <w:t>PerkinElmer, Inc. (until 2017)</w:t>
            </w:r>
          </w:p>
        </w:tc>
        <w:tc>
          <w:tcPr>
            <w:tcW w:w="0" w:type="dxa"/>
            <w:vAlign w:val="bottom"/>
          </w:tcPr>
          <w:p>
            <w:pPr>
              <w:spacing w:after="0"/>
              <w:rPr>
                <w:sz w:val="1"/>
                <w:szCs w:val="1"/>
                <w:color w:val="auto"/>
              </w:rPr>
            </w:pPr>
          </w:p>
        </w:tc>
      </w:tr>
      <w:tr>
        <w:trPr>
          <w:trHeight w:val="217"/>
        </w:trPr>
        <w:tc>
          <w:tcPr>
            <w:tcW w:w="2600" w:type="dxa"/>
            <w:vAlign w:val="bottom"/>
            <w:tcBorders>
              <w:left w:val="single" w:sz="8" w:color="4C4C4C"/>
            </w:tcBorders>
            <w:shd w:val="clear" w:color="auto" w:fill="052B82"/>
          </w:tcPr>
          <w:p>
            <w:pPr>
              <w:spacing w:after="0"/>
              <w:rPr>
                <w:sz w:val="18"/>
                <w:szCs w:val="18"/>
                <w:color w:val="auto"/>
              </w:rPr>
            </w:pPr>
          </w:p>
        </w:tc>
        <w:tc>
          <w:tcPr>
            <w:tcW w:w="100" w:type="dxa"/>
            <w:vAlign w:val="bottom"/>
            <w:shd w:val="clear" w:color="auto" w:fill="E8EDF4"/>
          </w:tcPr>
          <w:p>
            <w:pPr>
              <w:spacing w:after="0"/>
              <w:rPr>
                <w:sz w:val="18"/>
                <w:szCs w:val="18"/>
                <w:color w:val="auto"/>
              </w:rPr>
            </w:pPr>
          </w:p>
        </w:tc>
        <w:tc>
          <w:tcPr>
            <w:tcW w:w="4040" w:type="dxa"/>
            <w:vAlign w:val="bottom"/>
            <w:shd w:val="clear" w:color="auto" w:fill="E8EDF4"/>
          </w:tcPr>
          <w:p>
            <w:pPr>
              <w:spacing w:after="0"/>
              <w:rPr>
                <w:sz w:val="18"/>
                <w:szCs w:val="18"/>
                <w:color w:val="auto"/>
              </w:rPr>
            </w:pPr>
          </w:p>
        </w:tc>
        <w:tc>
          <w:tcPr>
            <w:tcW w:w="4320" w:type="dxa"/>
            <w:vAlign w:val="bottom"/>
            <w:tcBorders>
              <w:right w:val="single" w:sz="8" w:color="4C4C4C"/>
            </w:tcBorders>
            <w:shd w:val="clear" w:color="auto" w:fill="E8EDF4"/>
          </w:tcPr>
          <w:p>
            <w:pPr>
              <w:ind w:left="120"/>
              <w:spacing w:after="0"/>
              <w:rPr>
                <w:sz w:val="20"/>
                <w:szCs w:val="20"/>
                <w:color w:val="auto"/>
              </w:rPr>
            </w:pPr>
            <w:r>
              <w:rPr>
                <w:rFonts w:ascii="Arial" w:cs="Arial" w:eastAsia="Arial" w:hAnsi="Arial"/>
                <w:sz w:val="18"/>
                <w:szCs w:val="18"/>
                <w:color w:val="auto"/>
              </w:rPr>
              <w:t>Metlife, Inc. (until 2017)</w:t>
            </w:r>
          </w:p>
        </w:tc>
        <w:tc>
          <w:tcPr>
            <w:tcW w:w="0" w:type="dxa"/>
            <w:vAlign w:val="bottom"/>
          </w:tcPr>
          <w:p>
            <w:pPr>
              <w:spacing w:after="0"/>
              <w:rPr>
                <w:sz w:val="1"/>
                <w:szCs w:val="1"/>
                <w:color w:val="auto"/>
              </w:rPr>
            </w:pPr>
          </w:p>
        </w:tc>
      </w:tr>
      <w:tr>
        <w:trPr>
          <w:trHeight w:val="81"/>
        </w:trPr>
        <w:tc>
          <w:tcPr>
            <w:tcW w:w="2600" w:type="dxa"/>
            <w:vAlign w:val="bottom"/>
            <w:tcBorders>
              <w:left w:val="single" w:sz="8" w:color="4C4C4C"/>
              <w:bottom w:val="single" w:sz="8" w:color="4C4C4C"/>
            </w:tcBorders>
            <w:shd w:val="clear" w:color="auto" w:fill="052B82"/>
          </w:tcPr>
          <w:p>
            <w:pPr>
              <w:spacing w:after="0"/>
              <w:rPr>
                <w:sz w:val="7"/>
                <w:szCs w:val="7"/>
                <w:color w:val="auto"/>
              </w:rPr>
            </w:pPr>
          </w:p>
        </w:tc>
        <w:tc>
          <w:tcPr>
            <w:tcW w:w="100" w:type="dxa"/>
            <w:vAlign w:val="bottom"/>
            <w:tcBorders>
              <w:bottom w:val="single" w:sz="8" w:color="4C4C4C"/>
            </w:tcBorders>
            <w:shd w:val="clear" w:color="auto" w:fill="E8EDF4"/>
          </w:tcPr>
          <w:p>
            <w:pPr>
              <w:spacing w:after="0"/>
              <w:rPr>
                <w:sz w:val="7"/>
                <w:szCs w:val="7"/>
                <w:color w:val="auto"/>
              </w:rPr>
            </w:pPr>
          </w:p>
        </w:tc>
        <w:tc>
          <w:tcPr>
            <w:tcW w:w="4040" w:type="dxa"/>
            <w:vAlign w:val="bottom"/>
            <w:tcBorders>
              <w:bottom w:val="single" w:sz="8" w:color="4C4C4C"/>
            </w:tcBorders>
            <w:shd w:val="clear" w:color="auto" w:fill="E8EDF4"/>
          </w:tcPr>
          <w:p>
            <w:pPr>
              <w:spacing w:after="0"/>
              <w:rPr>
                <w:sz w:val="7"/>
                <w:szCs w:val="7"/>
                <w:color w:val="auto"/>
              </w:rPr>
            </w:pPr>
          </w:p>
        </w:tc>
        <w:tc>
          <w:tcPr>
            <w:tcW w:w="4320" w:type="dxa"/>
            <w:vAlign w:val="bottom"/>
            <w:tcBorders>
              <w:bottom w:val="single" w:sz="8" w:color="4C4C4C"/>
              <w:right w:val="single" w:sz="8" w:color="4C4C4C"/>
            </w:tcBorders>
            <w:shd w:val="clear" w:color="auto" w:fill="E8EDF4"/>
          </w:tcPr>
          <w:p>
            <w:pPr>
              <w:spacing w:after="0"/>
              <w:rPr>
                <w:sz w:val="7"/>
                <w:szCs w:val="7"/>
                <w:color w:val="auto"/>
              </w:rPr>
            </w:pPr>
          </w:p>
        </w:tc>
        <w:tc>
          <w:tcPr>
            <w:tcW w:w="0" w:type="dxa"/>
            <w:vAlign w:val="bottom"/>
          </w:tcPr>
          <w:p>
            <w:pPr>
              <w:spacing w:after="0"/>
              <w:rPr>
                <w:sz w:val="1"/>
                <w:szCs w:val="1"/>
                <w:color w:val="auto"/>
              </w:rPr>
            </w:pPr>
          </w:p>
        </w:tc>
      </w:tr>
      <w:tr>
        <w:trPr>
          <w:trHeight w:val="358"/>
        </w:trPr>
        <w:tc>
          <w:tcPr>
            <w:tcW w:w="2600" w:type="dxa"/>
            <w:vAlign w:val="bottom"/>
          </w:tcPr>
          <w:p>
            <w:pPr>
              <w:spacing w:after="0"/>
              <w:rPr>
                <w:sz w:val="20"/>
                <w:szCs w:val="20"/>
                <w:color w:val="auto"/>
              </w:rPr>
            </w:pPr>
            <w:r>
              <w:rPr>
                <w:rFonts w:ascii="Arial" w:cs="Arial" w:eastAsia="Arial" w:hAnsi="Arial"/>
                <w:sz w:val="18"/>
                <w:szCs w:val="18"/>
                <w:color w:val="999999"/>
              </w:rPr>
              <w:t xml:space="preserve">22  </w:t>
            </w:r>
            <w:r>
              <w:rPr>
                <w:rFonts w:ascii="Arial" w:cs="Arial" w:eastAsia="Arial" w:hAnsi="Arial"/>
                <w:sz w:val="14"/>
                <w:szCs w:val="14"/>
                <w:b w:val="1"/>
                <w:bCs w:val="1"/>
                <w:color w:val="052B82"/>
              </w:rPr>
              <w:t>Analog Devices, Inc.</w:t>
            </w:r>
          </w:p>
        </w:tc>
        <w:tc>
          <w:tcPr>
            <w:tcW w:w="1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7" w:name="page28"/>
    <w:bookmarkEnd w:id="2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220345</wp:posOffset>
            </wp:positionV>
            <wp:extent cx="2649855"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20"/>
        <w:spacing w:after="0"/>
        <w:rPr>
          <w:sz w:val="20"/>
          <w:szCs w:val="20"/>
          <w:color w:val="auto"/>
        </w:rPr>
      </w:pPr>
      <w:r>
        <w:rPr>
          <w:rFonts w:ascii="Arial" w:cs="Arial" w:eastAsia="Arial" w:hAnsi="Arial"/>
          <w:sz w:val="22"/>
          <w:szCs w:val="22"/>
          <w:b w:val="1"/>
          <w:bCs w:val="1"/>
          <w:color w:val="FFFFFF"/>
        </w:rPr>
        <w:t>Susie Wee</w:t>
      </w:r>
    </w:p>
    <w:p>
      <w:pPr>
        <w:spacing w:after="0" w:line="162" w:lineRule="exact"/>
        <w:rPr>
          <w:sz w:val="20"/>
          <w:szCs w:val="20"/>
          <w:color w:val="auto"/>
        </w:rPr>
      </w:pPr>
    </w:p>
    <w:p>
      <w:pPr>
        <w:ind w:left="420" w:right="60"/>
        <w:spacing w:after="0" w:line="302" w:lineRule="auto"/>
        <w:rPr>
          <w:sz w:val="20"/>
          <w:szCs w:val="20"/>
          <w:color w:val="auto"/>
        </w:rPr>
      </w:pPr>
      <w:r>
        <w:rPr>
          <w:rFonts w:ascii="Arial" w:cs="Arial" w:eastAsia="Arial" w:hAnsi="Arial"/>
          <w:sz w:val="17"/>
          <w:szCs w:val="17"/>
          <w:b w:val="1"/>
          <w:bCs w:val="1"/>
          <w:color w:val="FFFFFF"/>
        </w:rPr>
        <w:t>Independent Director since: 2019</w:t>
      </w:r>
    </w:p>
    <w:p>
      <w:pPr>
        <w:spacing w:after="0" w:line="7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FFFFFF"/>
        </w:rPr>
        <w:t>Age: 49</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FFFFFF"/>
        </w:rPr>
        <w:t>Committee(s):</w:t>
      </w:r>
    </w:p>
    <w:p>
      <w:pPr>
        <w:spacing w:after="0" w:line="18"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FFFFFF"/>
        </w:rPr>
        <w:t>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Experience and 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-1706880</wp:posOffset>
            </wp:positionH>
            <wp:positionV relativeFrom="paragraph">
              <wp:posOffset>-125095</wp:posOffset>
            </wp:positionV>
            <wp:extent cx="7006590" cy="2821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06590" cy="2821305"/>
                    </a:xfrm>
                    <a:prstGeom prst="rect">
                      <a:avLst/>
                    </a:prstGeom>
                    <a:noFill/>
                  </pic:spPr>
                </pic:pic>
              </a:graphicData>
            </a:graphic>
          </wp:anchor>
        </w:drawing>
      </w:r>
    </w:p>
    <w:p>
      <w:pPr>
        <w:spacing w:after="0" w:line="65" w:lineRule="exact"/>
        <w:rPr>
          <w:sz w:val="20"/>
          <w:szCs w:val="20"/>
          <w:color w:val="auto"/>
        </w:rPr>
      </w:pPr>
    </w:p>
    <w:p>
      <w:pPr>
        <w:ind w:right="220"/>
        <w:spacing w:after="0" w:line="248" w:lineRule="auto"/>
        <w:rPr>
          <w:sz w:val="20"/>
          <w:szCs w:val="20"/>
          <w:color w:val="auto"/>
        </w:rPr>
      </w:pPr>
      <w:r>
        <w:rPr>
          <w:rFonts w:ascii="Arial" w:cs="Arial" w:eastAsia="Arial" w:hAnsi="Arial"/>
          <w:sz w:val="17"/>
          <w:szCs w:val="17"/>
          <w:color w:val="auto"/>
        </w:rPr>
        <w:t>Dr. Wee has served as the Senior Vice President and General Manager of DevNet and CX Ecosystem Success at Cisco Systems, which is building a vibrant ecosystem of customers, partners, network/IT professionals and developers who innovate with Cisco platforms, since November 2019. She leads Cisco’s professional training and certification program and developer and customer experience communities. Prior to her current role, Dr. Wee was the Senior Vice President and Chief Technology Officer of Cisco DevNet, Cisco’s developer community which she founded and grew to over 500,000 developers, from October 2018 to November 2019. Additionally, she was the Vice President &amp; Chief Technology and Experience Officer of Cisco’s Collaboration Technology Group from October 2013 to October 2018. Previously, Dr. Wee had a 15-year career at Hewlett Packard, where she was</w:t>
      </w:r>
    </w:p>
    <w:p>
      <w:pPr>
        <w:spacing w:after="0" w:line="5" w:lineRule="exact"/>
        <w:rPr>
          <w:sz w:val="20"/>
          <w:szCs w:val="20"/>
          <w:color w:val="auto"/>
        </w:rPr>
      </w:pPr>
    </w:p>
    <w:p>
      <w:pPr>
        <w:ind w:right="660"/>
        <w:spacing w:after="0" w:line="246" w:lineRule="auto"/>
        <w:rPr>
          <w:sz w:val="20"/>
          <w:szCs w:val="20"/>
          <w:color w:val="auto"/>
        </w:rPr>
      </w:pPr>
      <w:r>
        <w:rPr>
          <w:rFonts w:ascii="Arial" w:cs="Arial" w:eastAsia="Arial" w:hAnsi="Arial"/>
          <w:sz w:val="18"/>
          <w:szCs w:val="18"/>
          <w:color w:val="auto"/>
        </w:rPr>
        <w:t>the founding Vice President and General Manager of the Experience Software Business and Lab Director at HP Labs.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Qualifications and Expertise</w:t>
      </w:r>
    </w:p>
    <w:p>
      <w:pPr>
        <w:spacing w:after="0" w:line="139"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We believe Dr. Wee’s qualifications to serve on our Board of Directors include her extensive experience in information technology and application development, together with her established track record of driving software innovation at global technology companies.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Public Company Boards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4040" w:type="dxa"/>
            <w:vAlign w:val="bottom"/>
          </w:tcPr>
          <w:p>
            <w:pPr>
              <w:spacing w:after="0"/>
              <w:rPr>
                <w:sz w:val="20"/>
                <w:szCs w:val="20"/>
                <w:color w:val="auto"/>
              </w:rPr>
            </w:pPr>
            <w:r>
              <w:rPr>
                <w:rFonts w:ascii="Arial" w:cs="Arial" w:eastAsia="Arial" w:hAnsi="Arial"/>
                <w:sz w:val="18"/>
                <w:szCs w:val="18"/>
                <w:b w:val="1"/>
                <w:bCs w:val="1"/>
                <w:color w:val="auto"/>
              </w:rPr>
              <w:t>Current</w:t>
            </w:r>
          </w:p>
        </w:tc>
        <w:tc>
          <w:tcPr>
            <w:tcW w:w="4300" w:type="dxa"/>
            <w:vAlign w:val="bottom"/>
            <w:shd w:val="clear" w:color="auto" w:fill="E8EDF4"/>
          </w:tcPr>
          <w:p>
            <w:pPr>
              <w:ind w:left="120"/>
              <w:spacing w:after="0"/>
              <w:rPr>
                <w:sz w:val="20"/>
                <w:szCs w:val="20"/>
                <w:color w:val="auto"/>
              </w:rPr>
            </w:pPr>
            <w:r>
              <w:rPr>
                <w:rFonts w:ascii="Arial" w:cs="Arial" w:eastAsia="Arial" w:hAnsi="Arial"/>
                <w:sz w:val="18"/>
                <w:szCs w:val="18"/>
                <w:b w:val="1"/>
                <w:bCs w:val="1"/>
                <w:color w:val="auto"/>
              </w:rPr>
              <w:t>Past 5 Years</w:t>
            </w:r>
          </w:p>
        </w:tc>
      </w:tr>
      <w:tr>
        <w:trPr>
          <w:trHeight w:val="217"/>
        </w:trPr>
        <w:tc>
          <w:tcPr>
            <w:tcW w:w="4040" w:type="dxa"/>
            <w:vAlign w:val="bottom"/>
          </w:tcPr>
          <w:p>
            <w:pPr>
              <w:spacing w:after="0"/>
              <w:rPr>
                <w:sz w:val="20"/>
                <w:szCs w:val="20"/>
                <w:color w:val="auto"/>
              </w:rPr>
            </w:pPr>
            <w:r>
              <w:rPr>
                <w:rFonts w:ascii="Arial" w:cs="Arial" w:eastAsia="Arial" w:hAnsi="Arial"/>
                <w:sz w:val="18"/>
                <w:szCs w:val="18"/>
                <w:color w:val="auto"/>
              </w:rPr>
              <w:t>None</w:t>
            </w:r>
          </w:p>
        </w:tc>
        <w:tc>
          <w:tcPr>
            <w:tcW w:w="4300" w:type="dxa"/>
            <w:vAlign w:val="bottom"/>
            <w:shd w:val="clear" w:color="auto" w:fill="E8EDF4"/>
          </w:tcPr>
          <w:p>
            <w:pPr>
              <w:ind w:left="120"/>
              <w:spacing w:after="0"/>
              <w:rPr>
                <w:sz w:val="20"/>
                <w:szCs w:val="20"/>
                <w:color w:val="auto"/>
              </w:rPr>
            </w:pPr>
            <w:r>
              <w:rPr>
                <w:rFonts w:ascii="Arial" w:cs="Arial" w:eastAsia="Arial" w:hAnsi="Arial"/>
                <w:sz w:val="18"/>
                <w:szCs w:val="18"/>
                <w:color w:val="auto"/>
              </w:rPr>
              <w:t>None</w:t>
            </w:r>
          </w:p>
        </w:tc>
      </w:tr>
      <w:tr>
        <w:trPr>
          <w:trHeight w:val="68"/>
        </w:trPr>
        <w:tc>
          <w:tcPr>
            <w:tcW w:w="4040" w:type="dxa"/>
            <w:vAlign w:val="bottom"/>
          </w:tcPr>
          <w:p>
            <w:pPr>
              <w:spacing w:after="0"/>
              <w:rPr>
                <w:sz w:val="5"/>
                <w:szCs w:val="5"/>
                <w:color w:val="auto"/>
              </w:rPr>
            </w:pPr>
          </w:p>
        </w:tc>
        <w:tc>
          <w:tcPr>
            <w:tcW w:w="4300" w:type="dxa"/>
            <w:vAlign w:val="bottom"/>
            <w:shd w:val="clear" w:color="auto" w:fill="E8EDF4"/>
          </w:tcPr>
          <w:p>
            <w:pPr>
              <w:spacing w:after="0"/>
              <w:rPr>
                <w:sz w:val="5"/>
                <w:szCs w:val="5"/>
                <w:color w:val="auto"/>
              </w:rPr>
            </w:pPr>
          </w:p>
        </w:tc>
      </w:tr>
    </w:tbl>
    <w:p>
      <w:pPr>
        <w:spacing w:after="0" w:line="200" w:lineRule="exact"/>
        <w:rPr>
          <w:sz w:val="20"/>
          <w:szCs w:val="20"/>
          <w:color w:val="auto"/>
        </w:rPr>
      </w:pPr>
    </w:p>
    <w:p>
      <w:pPr>
        <w:sectPr>
          <w:pgSz w:w="11900" w:h="16838" w:orient="portrait"/>
          <w:cols w:equalWidth="0" w:num="2">
            <w:col w:w="2180" w:space="720"/>
            <w:col w:w="8340"/>
          </w:cols>
          <w:pgMar w:left="240" w:top="459" w:right="419" w:bottom="1440" w:gutter="0" w:footer="0" w:header="0"/>
          <w:type w:val="continuous"/>
        </w:sectPr>
      </w:pPr>
    </w:p>
    <w:p>
      <w:pPr>
        <w:spacing w:after="0" w:line="30" w:lineRule="exact"/>
        <w:rPr>
          <w:sz w:val="20"/>
          <w:szCs w:val="20"/>
          <w:color w:val="auto"/>
        </w:rPr>
      </w:pPr>
    </w:p>
    <w:p>
      <w:pPr>
        <w:ind w:left="640"/>
        <w:spacing w:after="0"/>
        <w:rPr>
          <w:sz w:val="20"/>
          <w:szCs w:val="20"/>
          <w:color w:val="auto"/>
        </w:rPr>
      </w:pPr>
      <w:r>
        <w:rPr>
          <w:sz w:val="1"/>
          <w:szCs w:val="1"/>
          <w:color w:val="auto"/>
        </w:rPr>
        <w:drawing>
          <wp:inline distT="0" distB="0" distL="0" distR="0">
            <wp:extent cx="266065" cy="27432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66065" cy="274320"/>
                    </a:xfrm>
                    <a:prstGeom prst="rect">
                      <a:avLst/>
                    </a:prstGeom>
                    <a:noFill/>
                    <a:ln>
                      <a:noFill/>
                    </a:ln>
                  </pic:spPr>
                </pic:pic>
              </a:graphicData>
            </a:graphic>
          </wp:inline>
        </w:drawing>
      </w:r>
      <w:r>
        <w:rPr>
          <w:rFonts w:ascii="Arial" w:cs="Arial" w:eastAsia="Arial" w:hAnsi="Arial"/>
          <w:sz w:val="18"/>
          <w:szCs w:val="18"/>
          <w:b w:val="1"/>
          <w:bCs w:val="1"/>
          <w:i w:val="1"/>
          <w:iCs w:val="1"/>
          <w:color w:val="052B82"/>
        </w:rPr>
        <w:t xml:space="preserve"> Our Board of Directors unanimously recommends that you vote FOR the election of each of the above nominees.</w:t>
      </w:r>
    </w:p>
    <w:p>
      <w:pPr>
        <w:spacing w:after="0" w:line="150" w:lineRule="exact"/>
        <w:rPr>
          <w:sz w:val="20"/>
          <w:szCs w:val="20"/>
          <w:color w:val="auto"/>
        </w:rPr>
      </w:pPr>
    </w:p>
    <w:p>
      <w:pPr>
        <w:jc w:val="right"/>
        <w:ind w:right="20"/>
        <w:spacing w:after="0"/>
        <w:tabs>
          <w:tab w:leader="none" w:pos="180" w:val="left"/>
        </w:tabs>
        <w:rPr>
          <w:sz w:val="20"/>
          <w:szCs w:val="20"/>
          <w:color w:val="auto"/>
        </w:rPr>
      </w:pPr>
      <w:r>
        <w:rPr>
          <w:rFonts w:ascii="Arial" w:cs="Arial" w:eastAsia="Arial" w:hAnsi="Arial"/>
          <w:sz w:val="14"/>
          <w:szCs w:val="14"/>
          <w:b w:val="1"/>
          <w:bCs w:val="1"/>
          <w:color w:val="052B82"/>
        </w:rPr>
        <w:t>2020 Proxy Statement</w:t>
      </w:r>
      <w:r>
        <w:rPr>
          <w:sz w:val="20"/>
          <w:szCs w:val="20"/>
          <w:color w:val="auto"/>
        </w:rPr>
        <w:tab/>
      </w:r>
      <w:r>
        <w:rPr>
          <w:rFonts w:ascii="Arial" w:cs="Arial" w:eastAsia="Arial" w:hAnsi="Arial"/>
          <w:sz w:val="17"/>
          <w:szCs w:val="17"/>
          <w:color w:val="999999"/>
        </w:rPr>
        <w:t>23</w:t>
      </w:r>
    </w:p>
    <w:p>
      <w:pPr>
        <w:sectPr>
          <w:pgSz w:w="11900" w:h="16838" w:orient="portrait"/>
          <w:cols w:equalWidth="0" w:num="1">
            <w:col w:w="11240"/>
          </w:cols>
          <w:pgMar w:left="240" w:top="459" w:right="41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2649855"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0"/>
        <w:spacing w:after="0"/>
        <w:rPr>
          <w:sz w:val="20"/>
          <w:szCs w:val="20"/>
          <w:color w:val="auto"/>
        </w:rPr>
      </w:pPr>
      <w:r>
        <w:rPr>
          <w:rFonts w:ascii="Arial" w:cs="Arial" w:eastAsia="Arial" w:hAnsi="Arial"/>
          <w:sz w:val="32"/>
          <w:szCs w:val="32"/>
          <w:color w:val="052B82"/>
        </w:rPr>
        <w:t>CORPORATE GOVERNANCE</w:t>
      </w:r>
    </w:p>
    <w:p>
      <w:pPr>
        <w:spacing w:after="0" w:line="20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52B82"/>
        </w:rPr>
        <w:t>GENERAL</w:t>
      </w:r>
    </w:p>
    <w:p>
      <w:pPr>
        <w:spacing w:after="0" w:line="126" w:lineRule="exact"/>
        <w:rPr>
          <w:sz w:val="20"/>
          <w:szCs w:val="20"/>
          <w:color w:val="auto"/>
        </w:rPr>
      </w:pPr>
    </w:p>
    <w:p>
      <w:pPr>
        <w:ind w:left="200" w:right="200" w:firstLine="441"/>
        <w:spacing w:after="0" w:line="238" w:lineRule="auto"/>
        <w:rPr>
          <w:sz w:val="20"/>
          <w:szCs w:val="20"/>
          <w:color w:val="auto"/>
        </w:rPr>
      </w:pPr>
      <w:r>
        <w:rPr>
          <w:rFonts w:ascii="Arial" w:cs="Arial" w:eastAsia="Arial" w:hAnsi="Arial"/>
          <w:sz w:val="18"/>
          <w:szCs w:val="18"/>
          <w:color w:val="auto"/>
        </w:rPr>
        <w:t>We have long believed that good corporate governance is important to ensure that Analog Devices is managed for the long-term benefit of our shareholders. We periodically review our corporate governance policies and practices and compare them to those suggested by various authorities in corporate governance and the practices of other public companies. As a result, we have adopted policies and procedures that we believe are in the best interests of Analog Devices and our shareholders. In particular, we have adopted the following policies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146685</wp:posOffset>
            </wp:positionV>
            <wp:extent cx="6997700" cy="47936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7700" cy="4793615"/>
                    </a:xfrm>
                    <a:prstGeom prst="rect">
                      <a:avLst/>
                    </a:prstGeom>
                    <a:noFill/>
                  </pic:spPr>
                </pic:pic>
              </a:graphicData>
            </a:graphic>
          </wp:anchor>
        </w:drawing>
      </w:r>
    </w:p>
    <w:p>
      <w:pPr>
        <w:spacing w:after="0" w:line="211" w:lineRule="exact"/>
        <w:rPr>
          <w:sz w:val="20"/>
          <w:szCs w:val="20"/>
          <w:color w:val="auto"/>
        </w:rPr>
      </w:pPr>
    </w:p>
    <w:tbl>
      <w:tblPr>
        <w:tblLayout w:type="fixed"/>
        <w:tblInd w:w="220" w:type="dxa"/>
        <w:tblCellMar>
          <w:top w:w="0" w:type="dxa"/>
          <w:left w:w="0" w:type="dxa"/>
          <w:bottom w:w="0" w:type="dxa"/>
          <w:right w:w="0" w:type="dxa"/>
        </w:tblCellMar>
      </w:tblPr>
      <w:tr>
        <w:trPr>
          <w:trHeight w:val="108"/>
        </w:trPr>
        <w:tc>
          <w:tcPr>
            <w:tcW w:w="2520" w:type="dxa"/>
            <w:vAlign w:val="bottom"/>
            <w:shd w:val="clear" w:color="auto" w:fill="052B82"/>
          </w:tcPr>
          <w:p>
            <w:pPr>
              <w:spacing w:after="0"/>
              <w:rPr>
                <w:sz w:val="9"/>
                <w:szCs w:val="9"/>
                <w:color w:val="auto"/>
              </w:rPr>
            </w:pPr>
          </w:p>
        </w:tc>
        <w:tc>
          <w:tcPr>
            <w:tcW w:w="8500" w:type="dxa"/>
            <w:vAlign w:val="bottom"/>
            <w:vMerge w:val="restart"/>
            <w:shd w:val="clear" w:color="auto" w:fill="052B82"/>
          </w:tcPr>
          <w:p>
            <w:pPr>
              <w:ind w:left="3940"/>
              <w:spacing w:after="0"/>
              <w:rPr>
                <w:sz w:val="20"/>
                <w:szCs w:val="20"/>
                <w:color w:val="auto"/>
              </w:rPr>
            </w:pPr>
            <w:r>
              <w:rPr>
                <w:rFonts w:ascii="Arial" w:cs="Arial" w:eastAsia="Arial" w:hAnsi="Arial"/>
                <w:sz w:val="18"/>
                <w:szCs w:val="18"/>
                <w:b w:val="1"/>
                <w:bCs w:val="1"/>
                <w:color w:val="FFFFFF"/>
              </w:rPr>
              <w:t>Summary</w:t>
            </w:r>
          </w:p>
        </w:tc>
        <w:tc>
          <w:tcPr>
            <w:tcW w:w="0" w:type="dxa"/>
            <w:vAlign w:val="bottom"/>
          </w:tcPr>
          <w:p>
            <w:pPr>
              <w:spacing w:after="0"/>
              <w:rPr>
                <w:sz w:val="1"/>
                <w:szCs w:val="1"/>
                <w:color w:val="auto"/>
              </w:rPr>
            </w:pPr>
          </w:p>
        </w:tc>
      </w:tr>
      <w:tr>
        <w:trPr>
          <w:trHeight w:val="239"/>
        </w:trPr>
        <w:tc>
          <w:tcPr>
            <w:tcW w:w="2520" w:type="dxa"/>
            <w:vAlign w:val="bottom"/>
          </w:tcPr>
          <w:p>
            <w:pPr>
              <w:ind w:left="680"/>
              <w:spacing w:after="0"/>
              <w:rPr>
                <w:sz w:val="20"/>
                <w:szCs w:val="20"/>
                <w:color w:val="auto"/>
              </w:rPr>
            </w:pPr>
            <w:r>
              <w:rPr>
                <w:rFonts w:ascii="Arial" w:cs="Arial" w:eastAsia="Arial" w:hAnsi="Arial"/>
                <w:sz w:val="18"/>
                <w:szCs w:val="18"/>
                <w:b w:val="1"/>
                <w:bCs w:val="1"/>
                <w:color w:val="FFFFFF"/>
              </w:rPr>
              <w:t>Policy/Practice</w:t>
            </w:r>
          </w:p>
        </w:tc>
        <w:tc>
          <w:tcPr>
            <w:tcW w:w="8500" w:type="dxa"/>
            <w:vAlign w:val="bottom"/>
            <w:vMerge w:val="continue"/>
            <w:shd w:val="clear" w:color="auto" w:fill="052B82"/>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2520" w:type="dxa"/>
            <w:vAlign w:val="bottom"/>
          </w:tcPr>
          <w:p>
            <w:pPr>
              <w:spacing w:after="0"/>
              <w:rPr>
                <w:sz w:val="13"/>
                <w:szCs w:val="13"/>
                <w:color w:val="auto"/>
              </w:rPr>
            </w:pPr>
          </w:p>
        </w:tc>
        <w:tc>
          <w:tcPr>
            <w:tcW w:w="8500" w:type="dxa"/>
            <w:vAlign w:val="bottom"/>
            <w:shd w:val="clear" w:color="auto" w:fill="052B82"/>
          </w:tcPr>
          <w:p>
            <w:pPr>
              <w:spacing w:after="0"/>
              <w:rPr>
                <w:sz w:val="13"/>
                <w:szCs w:val="13"/>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sectPr>
          <w:pgSz w:w="11900" w:h="16838" w:orient="portrait"/>
          <w:cols w:equalWidth="0" w:num="1">
            <w:col w:w="11240"/>
          </w:cols>
          <w:pgMar w:left="240" w:top="459" w:right="419" w:bottom="1440" w:gutter="0" w:footer="0" w:header="0"/>
        </w:sectPr>
      </w:pPr>
    </w:p>
    <w:p>
      <w:pPr>
        <w:spacing w:after="0" w:line="221" w:lineRule="exact"/>
        <w:rPr>
          <w:sz w:val="20"/>
          <w:szCs w:val="20"/>
          <w:color w:val="auto"/>
        </w:rPr>
      </w:pPr>
    </w:p>
    <w:p>
      <w:pPr>
        <w:ind w:left="260" w:right="40"/>
        <w:spacing w:after="0" w:line="302" w:lineRule="auto"/>
        <w:rPr>
          <w:sz w:val="20"/>
          <w:szCs w:val="20"/>
          <w:color w:val="auto"/>
        </w:rPr>
      </w:pPr>
      <w:r>
        <w:rPr>
          <w:rFonts w:ascii="Arial" w:cs="Arial" w:eastAsia="Arial" w:hAnsi="Arial"/>
          <w:sz w:val="17"/>
          <w:szCs w:val="17"/>
          <w:b w:val="1"/>
          <w:bCs w:val="1"/>
          <w:color w:val="FFFFFF"/>
        </w:rPr>
        <w:t>Corporate Governance Guidelines</w:t>
      </w:r>
    </w:p>
    <w:p>
      <w:pPr>
        <w:spacing w:after="0" w:line="200" w:lineRule="exact"/>
        <w:rPr>
          <w:sz w:val="20"/>
          <w:szCs w:val="20"/>
          <w:color w:val="auto"/>
        </w:rPr>
      </w:pPr>
    </w:p>
    <w:p>
      <w:pPr>
        <w:spacing w:after="0" w:line="213" w:lineRule="exact"/>
        <w:rPr>
          <w:sz w:val="20"/>
          <w:szCs w:val="20"/>
          <w:color w:val="auto"/>
        </w:rPr>
      </w:pPr>
    </w:p>
    <w:p>
      <w:pPr>
        <w:ind w:left="260" w:right="140"/>
        <w:spacing w:after="0" w:line="271" w:lineRule="auto"/>
        <w:rPr>
          <w:sz w:val="20"/>
          <w:szCs w:val="20"/>
          <w:color w:val="auto"/>
        </w:rPr>
      </w:pPr>
      <w:r>
        <w:rPr>
          <w:rFonts w:ascii="Arial" w:cs="Arial" w:eastAsia="Arial" w:hAnsi="Arial"/>
          <w:sz w:val="18"/>
          <w:szCs w:val="18"/>
          <w:b w:val="1"/>
          <w:bCs w:val="1"/>
          <w:color w:val="FFFFFF"/>
        </w:rPr>
        <w:t>Declassified Board of Directors</w:t>
      </w:r>
    </w:p>
    <w:p>
      <w:pPr>
        <w:spacing w:after="0" w:line="200" w:lineRule="exact"/>
        <w:rPr>
          <w:sz w:val="20"/>
          <w:szCs w:val="20"/>
          <w:color w:val="auto"/>
        </w:rPr>
      </w:pPr>
    </w:p>
    <w:p>
      <w:pPr>
        <w:spacing w:after="0" w:line="345" w:lineRule="exact"/>
        <w:rPr>
          <w:sz w:val="20"/>
          <w:szCs w:val="20"/>
          <w:color w:val="auto"/>
        </w:rPr>
      </w:pPr>
    </w:p>
    <w:p>
      <w:pPr>
        <w:ind w:left="260" w:right="220"/>
        <w:spacing w:after="0" w:line="302" w:lineRule="auto"/>
        <w:rPr>
          <w:sz w:val="20"/>
          <w:szCs w:val="20"/>
          <w:color w:val="auto"/>
        </w:rPr>
      </w:pPr>
      <w:r>
        <w:rPr>
          <w:rFonts w:ascii="Arial" w:cs="Arial" w:eastAsia="Arial" w:hAnsi="Arial"/>
          <w:sz w:val="17"/>
          <w:szCs w:val="17"/>
          <w:b w:val="1"/>
          <w:bCs w:val="1"/>
          <w:color w:val="FFFFFF"/>
        </w:rPr>
        <w:t>Majority Voting for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FFFFFF"/>
        </w:rPr>
        <w:t>Executive Sessions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FFFFFF"/>
        </w:rPr>
        <w:t>No Hedging Policy</w:t>
      </w:r>
    </w:p>
    <w:p>
      <w:pPr>
        <w:spacing w:after="0" w:line="200" w:lineRule="exact"/>
        <w:rPr>
          <w:sz w:val="20"/>
          <w:szCs w:val="20"/>
          <w:color w:val="auto"/>
        </w:rPr>
      </w:pP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FFFFFF"/>
        </w:rPr>
        <w:t>No Pledging Policy</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60" w:right="300"/>
        <w:spacing w:after="0" w:line="271" w:lineRule="auto"/>
        <w:rPr>
          <w:sz w:val="20"/>
          <w:szCs w:val="20"/>
          <w:color w:val="auto"/>
        </w:rPr>
      </w:pPr>
      <w:r>
        <w:rPr>
          <w:rFonts w:ascii="Arial" w:cs="Arial" w:eastAsia="Arial" w:hAnsi="Arial"/>
          <w:sz w:val="18"/>
          <w:szCs w:val="18"/>
          <w:b w:val="1"/>
          <w:bCs w:val="1"/>
          <w:color w:val="FFFFFF"/>
        </w:rPr>
        <w:t>Equity Award Grant Date Policy</w:t>
      </w:r>
    </w:p>
    <w:p>
      <w:pPr>
        <w:spacing w:after="0" w:line="200" w:lineRule="exact"/>
        <w:rPr>
          <w:sz w:val="20"/>
          <w:szCs w:val="20"/>
          <w:color w:val="auto"/>
        </w:rPr>
      </w:pPr>
    </w:p>
    <w:p>
      <w:pPr>
        <w:spacing w:after="0" w:line="365" w:lineRule="exact"/>
        <w:rPr>
          <w:sz w:val="20"/>
          <w:szCs w:val="20"/>
          <w:color w:val="auto"/>
        </w:rPr>
      </w:pPr>
    </w:p>
    <w:p>
      <w:pPr>
        <w:ind w:left="600" w:hanging="396"/>
        <w:spacing w:after="0"/>
        <w:tabs>
          <w:tab w:leader="none" w:pos="600" w:val="left"/>
        </w:tabs>
        <w:numPr>
          <w:ilvl w:val="0"/>
          <w:numId w:val="51"/>
        </w:numPr>
        <w:rPr>
          <w:rFonts w:ascii="Arial" w:cs="Arial" w:eastAsia="Arial" w:hAnsi="Arial"/>
          <w:sz w:val="18"/>
          <w:szCs w:val="18"/>
          <w:color w:val="999999"/>
        </w:rPr>
      </w:pPr>
      <w:r>
        <w:rPr>
          <w:rFonts w:ascii="Arial" w:cs="Arial" w:eastAsia="Arial" w:hAnsi="Arial"/>
          <w:sz w:val="14"/>
          <w:szCs w:val="14"/>
          <w:b w:val="1"/>
          <w:bCs w:val="1"/>
          <w:color w:val="052B82"/>
        </w:rPr>
        <w:t>Analog Devices, Inc.</w:t>
      </w:r>
    </w:p>
    <w:p>
      <w:pPr>
        <w:spacing w:after="0" w:line="20" w:lineRule="exact"/>
        <w:rPr>
          <w:sz w:val="20"/>
          <w:szCs w:val="20"/>
          <w:color w:val="auto"/>
        </w:rPr>
      </w:pPr>
      <w:r>
        <w:rPr>
          <w:sz w:val="20"/>
          <w:szCs w:val="20"/>
          <w:color w:val="auto"/>
        </w:rPr>
        <w:br w:type="column"/>
      </w:r>
    </w:p>
    <w:p>
      <w:pPr>
        <w:ind w:right="80"/>
        <w:spacing w:after="0" w:line="239" w:lineRule="auto"/>
        <w:rPr>
          <w:sz w:val="20"/>
          <w:szCs w:val="20"/>
          <w:color w:val="auto"/>
        </w:rPr>
      </w:pPr>
      <w:r>
        <w:rPr>
          <w:rFonts w:ascii="Arial" w:cs="Arial" w:eastAsia="Arial" w:hAnsi="Arial"/>
          <w:sz w:val="18"/>
          <w:szCs w:val="18"/>
          <w:color w:val="auto"/>
        </w:rPr>
        <w:t>Our Board of Directors has adopted Corporate Governance Guidelines for our Company that establishes a common set of expectations to assist the Board and its committees in performing their duties. The Board reviews these Guidelines at least annually, and updates them as necessary to reflect changing regulatory requirements and evolving practices.</w:t>
      </w:r>
    </w:p>
    <w:p>
      <w:pPr>
        <w:spacing w:after="0" w:line="188"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We have a declassified Board of Directors and our bylaws provide that each director will serve for a term ending on the date of the annual meeting following the one at which such director was elected. All of our directors will stand for election for terms expiring at the next annual meeting of shareholders.</w:t>
      </w:r>
    </w:p>
    <w:p>
      <w:pPr>
        <w:spacing w:after="0" w:line="189" w:lineRule="exact"/>
        <w:rPr>
          <w:sz w:val="20"/>
          <w:szCs w:val="20"/>
          <w:color w:val="auto"/>
        </w:rPr>
      </w:pPr>
    </w:p>
    <w:p>
      <w:pPr>
        <w:ind w:right="320"/>
        <w:spacing w:after="0" w:line="238" w:lineRule="auto"/>
        <w:rPr>
          <w:sz w:val="20"/>
          <w:szCs w:val="20"/>
          <w:color w:val="auto"/>
        </w:rPr>
      </w:pPr>
      <w:r>
        <w:rPr>
          <w:rFonts w:ascii="Arial" w:cs="Arial" w:eastAsia="Arial" w:hAnsi="Arial"/>
          <w:sz w:val="18"/>
          <w:szCs w:val="18"/>
          <w:color w:val="auto"/>
        </w:rPr>
        <w:t>Our bylaws provide for a majority voting standard in uncontested director elections, so a nominee is elected to the Board of Directors if the votes “for” that director exceed the votes “against” (with abstentions and broker non-votes not counted as for or against the election). If a nominee does not receive more “for” votes than “against” votes, the director must offer his or her resignation, which the Board of Directors must determine whether to accept and publicly disclose that determination.</w:t>
      </w:r>
    </w:p>
    <w:p>
      <w:pPr>
        <w:spacing w:after="0" w:line="189"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At least twice per year, our Board of Directors holds executive sessions of non-employee directors, who are all independent as defined under The Nasdaq Stock Market, Inc. Marketplace Rules, or Nasdaq Rules. Our Presiding Director, James A. Champy, presides at these executive sessions. In addition, the committees of our Board of Directors also regularly hold executive sessions with their advisors without management present.</w:t>
      </w:r>
    </w:p>
    <w:p>
      <w:pPr>
        <w:spacing w:after="0" w:line="189"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We prohibit all hedging transactions or short sales involving Company securities by our directors and employees, including our executive officers.</w:t>
      </w:r>
    </w:p>
    <w:p>
      <w:pPr>
        <w:spacing w:after="0" w:line="183" w:lineRule="exact"/>
        <w:rPr>
          <w:sz w:val="20"/>
          <w:szCs w:val="20"/>
          <w:color w:val="auto"/>
        </w:rPr>
      </w:pPr>
    </w:p>
    <w:p>
      <w:pPr>
        <w:ind w:right="40"/>
        <w:spacing w:after="0"/>
        <w:rPr>
          <w:sz w:val="20"/>
          <w:szCs w:val="20"/>
          <w:color w:val="auto"/>
        </w:rPr>
      </w:pPr>
      <w:r>
        <w:rPr>
          <w:rFonts w:ascii="Arial" w:cs="Arial" w:eastAsia="Arial" w:hAnsi="Arial"/>
          <w:sz w:val="18"/>
          <w:szCs w:val="18"/>
          <w:color w:val="auto"/>
        </w:rPr>
        <w:t>Since January 2013, we have prohibited our directors and executive officers from holding any Company securities in a margin account, and from any future pledging of their Company securities as collateral for a loan.</w:t>
      </w:r>
    </w:p>
    <w:p>
      <w:pPr>
        <w:spacing w:after="0" w:line="176"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We do not time or select the grant dates of any stock options or stock-based awards in coordination with our release of material non-public information, nor do we have any program, plan or practice to do so. In addition, the Compensation Committee has adopted specific written policies regarding the grant dates of stock option and stock-based awards made to our directors, executive officers and employees. See “— Director Compensation” and “INFORMATION ABOUT EXECUTIVE COMPENSATION — Compensation Discussion and Analysis — Equity Award Grant Date Policy” below for more information.</w:t>
      </w:r>
    </w:p>
    <w:p>
      <w:pPr>
        <w:sectPr>
          <w:pgSz w:w="11900" w:h="16838" w:orient="portrait"/>
          <w:cols w:equalWidth="0" w:num="2">
            <w:col w:w="2240" w:space="720"/>
            <w:col w:w="8280"/>
          </w:cols>
          <w:pgMar w:left="240" w:top="459" w:right="41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25984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7700" cy="2598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220" w:type="dxa"/>
        <w:tblCellMar>
          <w:top w:w="0" w:type="dxa"/>
          <w:left w:w="0" w:type="dxa"/>
          <w:bottom w:w="0" w:type="dxa"/>
          <w:right w:w="0" w:type="dxa"/>
        </w:tblCellMar>
      </w:tblPr>
      <w:tr>
        <w:trPr>
          <w:trHeight w:val="108"/>
        </w:trPr>
        <w:tc>
          <w:tcPr>
            <w:tcW w:w="2520" w:type="dxa"/>
            <w:vAlign w:val="bottom"/>
            <w:shd w:val="clear" w:color="auto" w:fill="052B82"/>
          </w:tcPr>
          <w:p>
            <w:pPr>
              <w:spacing w:after="0"/>
              <w:rPr>
                <w:sz w:val="9"/>
                <w:szCs w:val="9"/>
                <w:color w:val="auto"/>
              </w:rPr>
            </w:pPr>
          </w:p>
        </w:tc>
        <w:tc>
          <w:tcPr>
            <w:tcW w:w="8500" w:type="dxa"/>
            <w:vAlign w:val="bottom"/>
            <w:vMerge w:val="restart"/>
            <w:shd w:val="clear" w:color="auto" w:fill="052B82"/>
          </w:tcPr>
          <w:p>
            <w:pPr>
              <w:ind w:left="3940"/>
              <w:spacing w:after="0"/>
              <w:rPr>
                <w:sz w:val="20"/>
                <w:szCs w:val="20"/>
                <w:color w:val="auto"/>
              </w:rPr>
            </w:pPr>
            <w:r>
              <w:rPr>
                <w:rFonts w:ascii="Arial" w:cs="Arial" w:eastAsia="Arial" w:hAnsi="Arial"/>
                <w:sz w:val="18"/>
                <w:szCs w:val="18"/>
                <w:b w:val="1"/>
                <w:bCs w:val="1"/>
                <w:color w:val="FFFFFF"/>
              </w:rPr>
              <w:t>Summary</w:t>
            </w:r>
          </w:p>
        </w:tc>
        <w:tc>
          <w:tcPr>
            <w:tcW w:w="0" w:type="dxa"/>
            <w:vAlign w:val="bottom"/>
          </w:tcPr>
          <w:p>
            <w:pPr>
              <w:spacing w:after="0"/>
              <w:rPr>
                <w:sz w:val="1"/>
                <w:szCs w:val="1"/>
                <w:color w:val="auto"/>
              </w:rPr>
            </w:pPr>
          </w:p>
        </w:tc>
      </w:tr>
      <w:tr>
        <w:trPr>
          <w:trHeight w:val="239"/>
        </w:trPr>
        <w:tc>
          <w:tcPr>
            <w:tcW w:w="2520" w:type="dxa"/>
            <w:vAlign w:val="bottom"/>
          </w:tcPr>
          <w:p>
            <w:pPr>
              <w:ind w:left="680"/>
              <w:spacing w:after="0"/>
              <w:rPr>
                <w:sz w:val="20"/>
                <w:szCs w:val="20"/>
                <w:color w:val="auto"/>
              </w:rPr>
            </w:pPr>
            <w:r>
              <w:rPr>
                <w:rFonts w:ascii="Arial" w:cs="Arial" w:eastAsia="Arial" w:hAnsi="Arial"/>
                <w:sz w:val="18"/>
                <w:szCs w:val="18"/>
                <w:b w:val="1"/>
                <w:bCs w:val="1"/>
                <w:color w:val="FFFFFF"/>
              </w:rPr>
              <w:t>Policy/Practice</w:t>
            </w:r>
          </w:p>
        </w:tc>
        <w:tc>
          <w:tcPr>
            <w:tcW w:w="8500" w:type="dxa"/>
            <w:vAlign w:val="bottom"/>
            <w:vMerge w:val="continue"/>
            <w:shd w:val="clear" w:color="auto" w:fill="052B82"/>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2520" w:type="dxa"/>
            <w:vAlign w:val="bottom"/>
          </w:tcPr>
          <w:p>
            <w:pPr>
              <w:spacing w:after="0"/>
              <w:rPr>
                <w:sz w:val="13"/>
                <w:szCs w:val="13"/>
                <w:color w:val="auto"/>
              </w:rPr>
            </w:pPr>
          </w:p>
        </w:tc>
        <w:tc>
          <w:tcPr>
            <w:tcW w:w="8500" w:type="dxa"/>
            <w:vAlign w:val="bottom"/>
            <w:shd w:val="clear" w:color="auto" w:fill="052B82"/>
          </w:tcPr>
          <w:p>
            <w:pPr>
              <w:spacing w:after="0"/>
              <w:rPr>
                <w:sz w:val="13"/>
                <w:szCs w:val="13"/>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60" w:right="80"/>
        <w:spacing w:after="0" w:line="302" w:lineRule="auto"/>
        <w:rPr>
          <w:sz w:val="20"/>
          <w:szCs w:val="20"/>
          <w:color w:val="auto"/>
        </w:rPr>
      </w:pPr>
      <w:r>
        <w:rPr>
          <w:rFonts w:ascii="Arial" w:cs="Arial" w:eastAsia="Arial" w:hAnsi="Arial"/>
          <w:sz w:val="17"/>
          <w:szCs w:val="17"/>
          <w:b w:val="1"/>
          <w:bCs w:val="1"/>
          <w:color w:val="FFFFFF"/>
        </w:rPr>
        <w:t>Executive Stock Ownership Guidelines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60" w:right="420"/>
        <w:spacing w:after="0" w:line="302" w:lineRule="auto"/>
        <w:rPr>
          <w:sz w:val="20"/>
          <w:szCs w:val="20"/>
          <w:color w:val="auto"/>
        </w:rPr>
      </w:pPr>
      <w:r>
        <w:rPr>
          <w:rFonts w:ascii="Arial" w:cs="Arial" w:eastAsia="Arial" w:hAnsi="Arial"/>
          <w:sz w:val="17"/>
          <w:szCs w:val="17"/>
          <w:b w:val="1"/>
          <w:bCs w:val="1"/>
          <w:color w:val="FFFFFF"/>
        </w:rPr>
        <w:t>Adoption of Proxy Access Right</w:t>
      </w:r>
    </w:p>
    <w:p>
      <w:pPr>
        <w:spacing w:after="0" w:line="20" w:lineRule="exact"/>
        <w:rPr>
          <w:sz w:val="20"/>
          <w:szCs w:val="20"/>
          <w:color w:val="auto"/>
        </w:rPr>
      </w:pPr>
      <w:r>
        <w:rPr>
          <w:sz w:val="20"/>
          <w:szCs w:val="20"/>
          <w:color w:val="auto"/>
        </w:rPr>
        <w:br w:type="column"/>
      </w:r>
    </w:p>
    <w:p>
      <w:pPr>
        <w:ind w:right="100"/>
        <w:spacing w:after="0" w:line="236" w:lineRule="auto"/>
        <w:rPr>
          <w:sz w:val="20"/>
          <w:szCs w:val="20"/>
          <w:color w:val="auto"/>
        </w:rPr>
      </w:pPr>
      <w:r>
        <w:rPr>
          <w:rFonts w:ascii="Arial" w:cs="Arial" w:eastAsia="Arial" w:hAnsi="Arial"/>
          <w:sz w:val="18"/>
          <w:szCs w:val="18"/>
          <w:color w:val="auto"/>
        </w:rPr>
        <w:t>Under our guidelines, the target stock ownership levels are two times annual base salary for the Chief Executive Officer and one times annual base salary for other executive officers. The Chief Executive Officer has four years from the date of his appointment as CEO to achieve his targeted level. Executive officers other than the CEO have five years from the date he or she becomes an executive officer to achieve their targeted level. Shares subject to unexercised options, whether or not vested, and unvested performance-based RSUs whose performance has not yet been certified by the Compensation Committee will not be counted for purposes of satisfying these guidelines. RSUs and restricted stock (whether or not vested) and unvested performance-based RSUs whose performance has been certified by the Compensation Committee are counted for purposes of satisfying the guidelines. All of our executive officers were in compliance with our stock ownership guidelines as of the end of the fiscal year ended November 2, 2019, or fiscal 2019.</w:t>
      </w:r>
    </w:p>
    <w:p>
      <w:pPr>
        <w:spacing w:after="0" w:line="192" w:lineRule="exact"/>
        <w:rPr>
          <w:sz w:val="20"/>
          <w:szCs w:val="20"/>
          <w:color w:val="auto"/>
        </w:rPr>
      </w:pPr>
    </w:p>
    <w:p>
      <w:pPr>
        <w:ind w:right="80"/>
        <w:spacing w:after="0"/>
        <w:rPr>
          <w:sz w:val="20"/>
          <w:szCs w:val="20"/>
          <w:color w:val="auto"/>
        </w:rPr>
      </w:pPr>
      <w:r>
        <w:rPr>
          <w:rFonts w:ascii="Arial" w:cs="Arial" w:eastAsia="Arial" w:hAnsi="Arial"/>
          <w:sz w:val="18"/>
          <w:szCs w:val="18"/>
          <w:color w:val="auto"/>
        </w:rPr>
        <w:t>Our Board of Directors approved a bylaw amendment implementing proxy access, which allows shareholders that meet standard eligibility requirements to submit director candidates for election in the Company’s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43815</wp:posOffset>
            </wp:positionV>
            <wp:extent cx="538543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38543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40" w:space="720"/>
            <w:col w:w="8280"/>
          </w:cols>
          <w:pgMar w:left="240" w:top="459" w:right="419" w:bottom="1440" w:gutter="0" w:footer="0" w:header="0"/>
          <w:type w:val="continuous"/>
        </w:sectPr>
      </w:pPr>
    </w:p>
    <w:p>
      <w:pPr>
        <w:spacing w:after="0" w:line="97" w:lineRule="exact"/>
        <w:rPr>
          <w:sz w:val="20"/>
          <w:szCs w:val="20"/>
          <w:color w:val="auto"/>
        </w:rPr>
      </w:pPr>
    </w:p>
    <w:p>
      <w:pPr>
        <w:ind w:left="200" w:right="120" w:firstLine="441"/>
        <w:spacing w:after="0"/>
        <w:rPr>
          <w:sz w:val="20"/>
          <w:szCs w:val="20"/>
          <w:color w:val="auto"/>
        </w:rPr>
      </w:pPr>
      <w:r>
        <w:rPr>
          <w:rFonts w:ascii="Arial" w:cs="Arial" w:eastAsia="Arial" w:hAnsi="Arial"/>
          <w:sz w:val="18"/>
          <w:szCs w:val="18"/>
          <w:color w:val="auto"/>
        </w:rPr>
        <w:t>You can access our bylaws, the current charters for our Audit Committee, Compensation Committee and Nominating and Corporate Governance Committee, our Corporate Governance Guidelines, our Code of Business Conduct and Ethics, our Related Person Transaction Policy and our Equity Award Grant Date Policy at investor.analog.com/corporate-governance.cfm or by writing to:</w:t>
      </w:r>
    </w:p>
    <w:p>
      <w:pPr>
        <w:spacing w:after="0" w:line="9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Investor Relations Department</w:t>
      </w:r>
    </w:p>
    <w:p>
      <w:pPr>
        <w:ind w:left="640"/>
        <w:spacing w:after="0" w:line="234" w:lineRule="auto"/>
        <w:rPr>
          <w:sz w:val="20"/>
          <w:szCs w:val="20"/>
          <w:color w:val="auto"/>
        </w:rPr>
      </w:pPr>
      <w:r>
        <w:rPr>
          <w:rFonts w:ascii="Arial" w:cs="Arial" w:eastAsia="Arial" w:hAnsi="Arial"/>
          <w:sz w:val="18"/>
          <w:szCs w:val="18"/>
          <w:color w:val="auto"/>
        </w:rPr>
        <w:t>Analog Devices, Inc.</w:t>
      </w:r>
    </w:p>
    <w:p>
      <w:pPr>
        <w:ind w:left="640"/>
        <w:spacing w:after="0" w:line="235" w:lineRule="auto"/>
        <w:rPr>
          <w:sz w:val="20"/>
          <w:szCs w:val="20"/>
          <w:color w:val="auto"/>
        </w:rPr>
      </w:pPr>
      <w:r>
        <w:rPr>
          <w:rFonts w:ascii="Arial" w:cs="Arial" w:eastAsia="Arial" w:hAnsi="Arial"/>
          <w:sz w:val="18"/>
          <w:szCs w:val="18"/>
          <w:color w:val="auto"/>
        </w:rPr>
        <w:t>One Technology Way</w:t>
      </w:r>
    </w:p>
    <w:p>
      <w:pPr>
        <w:ind w:left="640"/>
        <w:spacing w:after="0" w:line="235" w:lineRule="auto"/>
        <w:rPr>
          <w:sz w:val="20"/>
          <w:szCs w:val="20"/>
          <w:color w:val="auto"/>
        </w:rPr>
      </w:pPr>
      <w:r>
        <w:rPr>
          <w:rFonts w:ascii="Arial" w:cs="Arial" w:eastAsia="Arial" w:hAnsi="Arial"/>
          <w:sz w:val="18"/>
          <w:szCs w:val="18"/>
          <w:color w:val="auto"/>
        </w:rPr>
        <w:t>Norwood, Massachusetts 02062</w:t>
      </w:r>
    </w:p>
    <w:p>
      <w:pPr>
        <w:ind w:left="640"/>
        <w:spacing w:after="0" w:line="235" w:lineRule="auto"/>
        <w:rPr>
          <w:sz w:val="20"/>
          <w:szCs w:val="20"/>
          <w:color w:val="auto"/>
        </w:rPr>
      </w:pPr>
      <w:r>
        <w:rPr>
          <w:rFonts w:ascii="Arial" w:cs="Arial" w:eastAsia="Arial" w:hAnsi="Arial"/>
          <w:sz w:val="18"/>
          <w:szCs w:val="18"/>
          <w:color w:val="auto"/>
        </w:rPr>
        <w:t>Phone: 781-461-3282</w:t>
      </w:r>
    </w:p>
    <w:p>
      <w:pPr>
        <w:ind w:left="640"/>
        <w:spacing w:after="0"/>
        <w:rPr>
          <w:sz w:val="20"/>
          <w:szCs w:val="20"/>
          <w:color w:val="auto"/>
        </w:rPr>
      </w:pPr>
      <w:r>
        <w:rPr>
          <w:rFonts w:ascii="Arial" w:cs="Arial" w:eastAsia="Arial" w:hAnsi="Arial"/>
          <w:sz w:val="18"/>
          <w:szCs w:val="18"/>
          <w:color w:val="auto"/>
        </w:rPr>
        <w:t>Email: investor.relations@analog.com</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52B82"/>
        </w:rPr>
        <w:t>ENGAGEMENT WITH OUR SHAREHOLDERS</w:t>
      </w:r>
    </w:p>
    <w:p>
      <w:pPr>
        <w:spacing w:after="0" w:line="126" w:lineRule="exact"/>
        <w:rPr>
          <w:sz w:val="20"/>
          <w:szCs w:val="20"/>
          <w:color w:val="auto"/>
        </w:rPr>
      </w:pPr>
    </w:p>
    <w:p>
      <w:pPr>
        <w:ind w:left="200" w:right="220" w:firstLine="441"/>
        <w:spacing w:after="0" w:line="237" w:lineRule="auto"/>
        <w:rPr>
          <w:sz w:val="20"/>
          <w:szCs w:val="20"/>
          <w:color w:val="auto"/>
        </w:rPr>
      </w:pPr>
      <w:r>
        <w:rPr>
          <w:rFonts w:ascii="Arial" w:cs="Arial" w:eastAsia="Arial" w:hAnsi="Arial"/>
          <w:sz w:val="18"/>
          <w:szCs w:val="18"/>
          <w:color w:val="auto"/>
        </w:rPr>
        <w:t>Since our inception as a public company, we have maintained an active engagement program with our shareholders, meeting with them extensively throughout the year as part of our investor outreach efforts. In fiscal 2019, we held more than 430 meetings with our shareholders, including the majority of our top 25 shareholders, to discuss the Company’s performance and prospects, as well as trends affecting the semiconductor industry. We also continued our specific outreach effort with our institutional investors to discuss corporate governance issues affecting the Company. During fiscal 2019, we reached out to our top 25 shareholders, representing approximately 55% of our outstanding shares with an invitation to have discussions with their corporate governance teams. Of the shareholders who accepted our engagement invitation, topics covered in these meetings included:</w:t>
      </w:r>
    </w:p>
    <w:p>
      <w:pPr>
        <w:spacing w:after="0" w:line="109" w:lineRule="exact"/>
        <w:rPr>
          <w:sz w:val="20"/>
          <w:szCs w:val="20"/>
          <w:color w:val="auto"/>
        </w:rPr>
      </w:pPr>
    </w:p>
    <w:p>
      <w:pPr>
        <w:ind w:left="1180" w:hanging="436"/>
        <w:spacing w:after="0"/>
        <w:tabs>
          <w:tab w:leader="none" w:pos="1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Board composition and risk oversight</w:t>
      </w:r>
    </w:p>
    <w:p>
      <w:pPr>
        <w:spacing w:after="0" w:line="117" w:lineRule="exact"/>
        <w:rPr>
          <w:rFonts w:ascii="Arial" w:cs="Arial" w:eastAsia="Arial" w:hAnsi="Arial"/>
          <w:sz w:val="18"/>
          <w:szCs w:val="18"/>
          <w:color w:val="auto"/>
        </w:rPr>
      </w:pPr>
    </w:p>
    <w:p>
      <w:pPr>
        <w:ind w:left="1180" w:hanging="436"/>
        <w:spacing w:after="0"/>
        <w:tabs>
          <w:tab w:leader="none" w:pos="1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Board evaluations and refreshment</w:t>
      </w:r>
    </w:p>
    <w:p>
      <w:pPr>
        <w:spacing w:after="0" w:line="117" w:lineRule="exact"/>
        <w:rPr>
          <w:rFonts w:ascii="Arial" w:cs="Arial" w:eastAsia="Arial" w:hAnsi="Arial"/>
          <w:sz w:val="18"/>
          <w:szCs w:val="18"/>
          <w:color w:val="auto"/>
        </w:rPr>
      </w:pPr>
    </w:p>
    <w:p>
      <w:pPr>
        <w:ind w:left="1180" w:hanging="436"/>
        <w:spacing w:after="0"/>
        <w:tabs>
          <w:tab w:leader="none" w:pos="1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Corporate governance trends</w:t>
      </w:r>
    </w:p>
    <w:p>
      <w:pPr>
        <w:spacing w:after="0" w:line="117" w:lineRule="exact"/>
        <w:rPr>
          <w:rFonts w:ascii="Arial" w:cs="Arial" w:eastAsia="Arial" w:hAnsi="Arial"/>
          <w:sz w:val="18"/>
          <w:szCs w:val="18"/>
          <w:color w:val="auto"/>
        </w:rPr>
      </w:pPr>
    </w:p>
    <w:p>
      <w:pPr>
        <w:ind w:left="1180" w:hanging="436"/>
        <w:spacing w:after="0"/>
        <w:tabs>
          <w:tab w:leader="none" w:pos="1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Environmental, social and governance considerations, including diversity and inclusion and human capital management</w:t>
      </w:r>
    </w:p>
    <w:p>
      <w:pPr>
        <w:spacing w:after="0" w:line="117" w:lineRule="exact"/>
        <w:rPr>
          <w:rFonts w:ascii="Arial" w:cs="Arial" w:eastAsia="Arial" w:hAnsi="Arial"/>
          <w:sz w:val="18"/>
          <w:szCs w:val="18"/>
          <w:color w:val="auto"/>
        </w:rPr>
      </w:pPr>
    </w:p>
    <w:p>
      <w:pPr>
        <w:ind w:left="1180" w:hanging="436"/>
        <w:spacing w:after="0"/>
        <w:tabs>
          <w:tab w:leader="none" w:pos="1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Executive compensation practices and design</w:t>
      </w:r>
    </w:p>
    <w:p>
      <w:pPr>
        <w:spacing w:after="0" w:line="212" w:lineRule="exact"/>
        <w:rPr>
          <w:sz w:val="20"/>
          <w:szCs w:val="20"/>
          <w:color w:val="auto"/>
        </w:rPr>
      </w:pPr>
    </w:p>
    <w:p>
      <w:pPr>
        <w:ind w:left="200" w:right="200" w:firstLine="441"/>
        <w:spacing w:after="0" w:line="246" w:lineRule="auto"/>
        <w:rPr>
          <w:sz w:val="20"/>
          <w:szCs w:val="20"/>
          <w:color w:val="auto"/>
        </w:rPr>
      </w:pPr>
      <w:r>
        <w:rPr>
          <w:rFonts w:ascii="Arial" w:cs="Arial" w:eastAsia="Arial" w:hAnsi="Arial"/>
          <w:sz w:val="18"/>
          <w:szCs w:val="18"/>
          <w:color w:val="auto"/>
        </w:rPr>
        <w:t>In the spirit of continuous improvement, we have reviewed with our Board of Directors the key takeaways from these meetings with the goal of continuing to evolve our corporate governance practices to</w:t>
      </w:r>
    </w:p>
    <w:p>
      <w:pPr>
        <w:spacing w:after="0" w:line="129" w:lineRule="exact"/>
        <w:rPr>
          <w:sz w:val="20"/>
          <w:szCs w:val="20"/>
          <w:color w:val="auto"/>
        </w:rPr>
      </w:pPr>
    </w:p>
    <w:p>
      <w:pPr>
        <w:jc w:val="right"/>
        <w:ind w:right="20"/>
        <w:spacing w:after="0"/>
        <w:tabs>
          <w:tab w:leader="none" w:pos="180" w:val="left"/>
        </w:tabs>
        <w:rPr>
          <w:sz w:val="20"/>
          <w:szCs w:val="20"/>
          <w:color w:val="auto"/>
        </w:rPr>
      </w:pPr>
      <w:r>
        <w:rPr>
          <w:rFonts w:ascii="Arial" w:cs="Arial" w:eastAsia="Arial" w:hAnsi="Arial"/>
          <w:sz w:val="14"/>
          <w:szCs w:val="14"/>
          <w:b w:val="1"/>
          <w:bCs w:val="1"/>
          <w:color w:val="052B82"/>
        </w:rPr>
        <w:t>2020 Proxy Statement</w:t>
      </w:r>
      <w:r>
        <w:rPr>
          <w:sz w:val="20"/>
          <w:szCs w:val="20"/>
          <w:color w:val="auto"/>
        </w:rPr>
        <w:tab/>
      </w:r>
      <w:r>
        <w:rPr>
          <w:rFonts w:ascii="Arial" w:cs="Arial" w:eastAsia="Arial" w:hAnsi="Arial"/>
          <w:sz w:val="17"/>
          <w:szCs w:val="17"/>
          <w:color w:val="999999"/>
        </w:rPr>
        <w:t>25</w:t>
      </w:r>
    </w:p>
    <w:p>
      <w:pPr>
        <w:sectPr>
          <w:pgSz w:w="11900" w:h="16838" w:orient="portrait"/>
          <w:cols w:equalWidth="0" w:num="1">
            <w:col w:w="11240"/>
          </w:cols>
          <w:pgMar w:left="240" w:top="459" w:right="41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2649855"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0" w:right="60"/>
        <w:spacing w:after="0" w:line="246" w:lineRule="auto"/>
        <w:rPr>
          <w:sz w:val="20"/>
          <w:szCs w:val="20"/>
          <w:color w:val="auto"/>
        </w:rPr>
      </w:pPr>
      <w:r>
        <w:rPr>
          <w:rFonts w:ascii="Arial" w:cs="Arial" w:eastAsia="Arial" w:hAnsi="Arial"/>
          <w:sz w:val="18"/>
          <w:szCs w:val="18"/>
          <w:color w:val="auto"/>
        </w:rPr>
        <w:t>best meet the needs of the Company and our shareholders. Our dialogue has led to enhancements to our practices and disclosure, which our Board believes is in the best interests of our company and our shareholders. For example we:</w:t>
      </w:r>
    </w:p>
    <w:p>
      <w:pPr>
        <w:spacing w:after="0" w:line="80" w:lineRule="exact"/>
        <w:rPr>
          <w:sz w:val="20"/>
          <w:szCs w:val="20"/>
          <w:color w:val="auto"/>
        </w:rPr>
      </w:pPr>
    </w:p>
    <w:p>
      <w:pPr>
        <w:ind w:left="1180" w:right="1060" w:hanging="436"/>
        <w:spacing w:after="0" w:line="271" w:lineRule="auto"/>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 xml:space="preserve">Enhanced our disclosure </w:t>
      </w:r>
      <w:r>
        <w:rPr>
          <w:rFonts w:ascii="Arial" w:cs="Arial" w:eastAsia="Arial" w:hAnsi="Arial"/>
          <w:sz w:val="18"/>
          <w:szCs w:val="18"/>
          <w:color w:val="auto"/>
        </w:rPr>
        <w:t>through publishing our first Diversity &amp; Inclusion report, which can be found within our</w:t>
      </w:r>
      <w:r>
        <w:rPr>
          <w:rFonts w:ascii="Arial" w:cs="Arial" w:eastAsia="Arial" w:hAnsi="Arial"/>
          <w:sz w:val="18"/>
          <w:szCs w:val="18"/>
          <w:b w:val="1"/>
          <w:bCs w:val="1"/>
          <w:color w:val="auto"/>
        </w:rPr>
        <w:t xml:space="preserve"> </w:t>
      </w:r>
      <w:r>
        <w:rPr>
          <w:rFonts w:ascii="Arial" w:cs="Arial" w:eastAsia="Arial" w:hAnsi="Arial"/>
          <w:sz w:val="18"/>
          <w:szCs w:val="18"/>
          <w:color w:val="auto"/>
        </w:rPr>
        <w:t>Sustainability Report on our website</w:t>
      </w:r>
    </w:p>
    <w:p>
      <w:pPr>
        <w:spacing w:after="0" w:line="59" w:lineRule="exact"/>
        <w:rPr>
          <w:rFonts w:ascii="Arial" w:cs="Arial" w:eastAsia="Arial" w:hAnsi="Arial"/>
          <w:sz w:val="18"/>
          <w:szCs w:val="18"/>
          <w:color w:val="auto"/>
        </w:rPr>
      </w:pPr>
    </w:p>
    <w:p>
      <w:pPr>
        <w:ind w:left="1180" w:right="260" w:hanging="436"/>
        <w:spacing w:after="0" w:line="271" w:lineRule="auto"/>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 xml:space="preserve">Continued to refine our shareholder engagement process </w:t>
      </w:r>
      <w:r>
        <w:rPr>
          <w:rFonts w:ascii="Arial" w:cs="Arial" w:eastAsia="Arial" w:hAnsi="Arial"/>
          <w:sz w:val="18"/>
          <w:szCs w:val="18"/>
          <w:color w:val="auto"/>
        </w:rPr>
        <w:t>to connect our shareholders with key stakeholders within our</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around topics of interest, including sustainability reporting and human capital management</w:t>
      </w:r>
    </w:p>
    <w:p>
      <w:pPr>
        <w:spacing w:after="0" w:line="59" w:lineRule="exact"/>
        <w:rPr>
          <w:rFonts w:ascii="Arial" w:cs="Arial" w:eastAsia="Arial" w:hAnsi="Arial"/>
          <w:sz w:val="18"/>
          <w:szCs w:val="18"/>
          <w:color w:val="auto"/>
        </w:rPr>
      </w:pPr>
    </w:p>
    <w:p>
      <w:pPr>
        <w:ind w:left="1180" w:right="180" w:hanging="436"/>
        <w:spacing w:after="0" w:line="271" w:lineRule="auto"/>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 xml:space="preserve">Updated our corporate governance disclosure </w:t>
      </w:r>
      <w:r>
        <w:rPr>
          <w:rFonts w:ascii="Arial" w:cs="Arial" w:eastAsia="Arial" w:hAnsi="Arial"/>
          <w:sz w:val="18"/>
          <w:szCs w:val="18"/>
          <w:color w:val="auto"/>
        </w:rPr>
        <w:t>regarding our Board and its practices, including director qualifications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skills, the Board self-evaluation process and the Board’s oversight of risk</w:t>
      </w:r>
    </w:p>
    <w:p>
      <w:pPr>
        <w:spacing w:after="0" w:line="59" w:lineRule="exact"/>
        <w:rPr>
          <w:rFonts w:ascii="Arial" w:cs="Arial" w:eastAsia="Arial" w:hAnsi="Arial"/>
          <w:sz w:val="18"/>
          <w:szCs w:val="18"/>
          <w:color w:val="auto"/>
        </w:rPr>
      </w:pPr>
    </w:p>
    <w:p>
      <w:pPr>
        <w:ind w:left="1180" w:hanging="436"/>
        <w:spacing w:after="0"/>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 xml:space="preserve">Expanded our CD&amp;A disclosure </w:t>
      </w:r>
      <w:r>
        <w:rPr>
          <w:rFonts w:ascii="Arial" w:cs="Arial" w:eastAsia="Arial" w:hAnsi="Arial"/>
          <w:sz w:val="18"/>
          <w:szCs w:val="18"/>
          <w:color w:val="auto"/>
        </w:rPr>
        <w:t>relating to incentive performance targets</w:t>
      </w:r>
    </w:p>
    <w:p>
      <w:pPr>
        <w:spacing w:after="0" w:line="234" w:lineRule="exact"/>
        <w:rPr>
          <w:sz w:val="20"/>
          <w:szCs w:val="20"/>
          <w:color w:val="auto"/>
        </w:rPr>
      </w:pPr>
    </w:p>
    <w:p>
      <w:pPr>
        <w:ind w:left="200" w:right="520" w:firstLine="441"/>
        <w:spacing w:after="0" w:line="246" w:lineRule="auto"/>
        <w:rPr>
          <w:sz w:val="20"/>
          <w:szCs w:val="20"/>
          <w:color w:val="auto"/>
        </w:rPr>
      </w:pPr>
      <w:r>
        <w:rPr>
          <w:rFonts w:ascii="Arial" w:cs="Arial" w:eastAsia="Arial" w:hAnsi="Arial"/>
          <w:sz w:val="18"/>
          <w:szCs w:val="18"/>
          <w:color w:val="auto"/>
        </w:rPr>
        <w:t>We intend to continue our shareholder outreach efforts on an on-going basis and look forward to continuing to engage with our valued shareholders.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52B82"/>
        </w:rPr>
        <w:t>SUSTAINABILITY</w:t>
      </w:r>
    </w:p>
    <w:p>
      <w:pPr>
        <w:spacing w:after="0" w:line="126" w:lineRule="exact"/>
        <w:rPr>
          <w:sz w:val="20"/>
          <w:szCs w:val="20"/>
          <w:color w:val="auto"/>
        </w:rPr>
      </w:pPr>
    </w:p>
    <w:p>
      <w:pPr>
        <w:ind w:left="200" w:right="120" w:firstLine="441"/>
        <w:spacing w:after="0" w:line="239" w:lineRule="auto"/>
        <w:rPr>
          <w:sz w:val="20"/>
          <w:szCs w:val="20"/>
          <w:color w:val="auto"/>
        </w:rPr>
      </w:pPr>
      <w:r>
        <w:rPr>
          <w:rFonts w:ascii="Arial" w:cs="Arial" w:eastAsia="Arial" w:hAnsi="Arial"/>
          <w:sz w:val="18"/>
          <w:szCs w:val="18"/>
          <w:color w:val="auto"/>
        </w:rPr>
        <w:t>We believe that in order to deliver solid financial results for ADI, we must, among other things, create a rewarding workplace and be a trusted partner, leading corporate citizen, environmental steward and contributor to our communities. We have a long history of leadership in corporate responsibility, and pursue corporate social responsibility and sustainability along four axes—economic, environmental, social and governance and ethics.</w:t>
      </w:r>
    </w:p>
    <w:p>
      <w:pPr>
        <w:spacing w:after="0" w:line="180" w:lineRule="exact"/>
        <w:rPr>
          <w:sz w:val="20"/>
          <w:szCs w:val="20"/>
          <w:color w:val="auto"/>
        </w:rPr>
      </w:pPr>
    </w:p>
    <w:p>
      <w:pPr>
        <w:ind w:left="200" w:right="400" w:firstLine="441"/>
        <w:spacing w:after="0" w:line="247" w:lineRule="auto"/>
        <w:rPr>
          <w:sz w:val="20"/>
          <w:szCs w:val="20"/>
          <w:color w:val="auto"/>
        </w:rPr>
      </w:pPr>
      <w:r>
        <w:rPr>
          <w:rFonts w:ascii="Arial" w:cs="Arial" w:eastAsia="Arial" w:hAnsi="Arial"/>
          <w:sz w:val="18"/>
          <w:szCs w:val="18"/>
          <w:b w:val="1"/>
          <w:bCs w:val="1"/>
          <w:i w:val="1"/>
          <w:iCs w:val="1"/>
          <w:color w:val="auto"/>
        </w:rPr>
        <w:t xml:space="preserve">Economic Sustainability. </w:t>
      </w:r>
      <w:r>
        <w:rPr>
          <w:rFonts w:ascii="Arial" w:cs="Arial" w:eastAsia="Arial" w:hAnsi="Arial"/>
          <w:sz w:val="18"/>
          <w:szCs w:val="18"/>
          <w:color w:val="auto"/>
        </w:rPr>
        <w:t>ADI works to ensure that our technological innovations continue to have impact and our employees,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partners and investors continue to share in the success of ADI. This is executed through our best-in-class financial model, global operations and smart supply chain management. Economic sustainability considers the economic conditions of all of our stakeholders: employees, their families and communities; the communities where we operate; and world we all live in.</w:t>
      </w:r>
    </w:p>
    <w:p>
      <w:pPr>
        <w:spacing w:after="0" w:line="174" w:lineRule="exact"/>
        <w:rPr>
          <w:sz w:val="20"/>
          <w:szCs w:val="20"/>
          <w:color w:val="auto"/>
        </w:rPr>
      </w:pPr>
    </w:p>
    <w:p>
      <w:pPr>
        <w:ind w:left="200" w:firstLine="441"/>
        <w:spacing w:after="0" w:line="244" w:lineRule="auto"/>
        <w:rPr>
          <w:sz w:val="20"/>
          <w:szCs w:val="20"/>
          <w:color w:val="auto"/>
        </w:rPr>
      </w:pPr>
      <w:r>
        <w:rPr>
          <w:rFonts w:ascii="Arial" w:cs="Arial" w:eastAsia="Arial" w:hAnsi="Arial"/>
          <w:sz w:val="18"/>
          <w:szCs w:val="18"/>
          <w:b w:val="1"/>
          <w:bCs w:val="1"/>
          <w:i w:val="1"/>
          <w:iCs w:val="1"/>
          <w:color w:val="auto"/>
        </w:rPr>
        <w:t xml:space="preserve">Environmental Sustainability. </w:t>
      </w:r>
      <w:r>
        <w:rPr>
          <w:rFonts w:ascii="Arial" w:cs="Arial" w:eastAsia="Arial" w:hAnsi="Arial"/>
          <w:sz w:val="18"/>
          <w:szCs w:val="18"/>
          <w:color w:val="auto"/>
        </w:rPr>
        <w:t>At ADI, we are passionate about our responsibility to engineer a more sustainable future. For us,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means more than simply environmental sustainability—it extends to regenerating our environment. We continue to work on developing new solutions and applications which can help restore and replenish our natural resources and ecosystems, reduce our carbon footprint and minimize the impacts of our operations to the environment. We also seek to partner with our customers and suppliers to reduce the impact they have on our shared planet.</w:t>
      </w:r>
    </w:p>
    <w:p>
      <w:pPr>
        <w:spacing w:after="0" w:line="199"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7"/>
          <w:szCs w:val="17"/>
          <w:color w:val="auto"/>
        </w:rPr>
        <w:t>We establish environmental performance objectives using a five-year planning horizon, and make annual updates to our objectives, targets, and programs. For example, a key operational goal for ADI is to achieve a 50% greenhouse gas emission reduction target by 2025 over our 2015 baseline, a significant step up from our previous emission reduction goals. Progress is reviewed quarterly at the corporate level and monthly at the site level and senior management allocates resources appropriately to help keep programs on plan.</w:t>
      </w:r>
    </w:p>
    <w:p>
      <w:pPr>
        <w:spacing w:after="0" w:line="167" w:lineRule="exact"/>
        <w:rPr>
          <w:sz w:val="20"/>
          <w:szCs w:val="20"/>
          <w:color w:val="auto"/>
        </w:rPr>
      </w:pPr>
    </w:p>
    <w:p>
      <w:pPr>
        <w:ind w:left="200" w:right="140" w:firstLine="441"/>
        <w:spacing w:after="0" w:line="241" w:lineRule="auto"/>
        <w:rPr>
          <w:sz w:val="20"/>
          <w:szCs w:val="20"/>
          <w:color w:val="auto"/>
        </w:rPr>
      </w:pPr>
      <w:r>
        <w:rPr>
          <w:rFonts w:ascii="Arial" w:cs="Arial" w:eastAsia="Arial" w:hAnsi="Arial"/>
          <w:sz w:val="18"/>
          <w:szCs w:val="18"/>
          <w:b w:val="1"/>
          <w:bCs w:val="1"/>
          <w:i w:val="1"/>
          <w:iCs w:val="1"/>
          <w:color w:val="auto"/>
        </w:rPr>
        <w:t xml:space="preserve">Social Sustainability. </w:t>
      </w:r>
      <w:r>
        <w:rPr>
          <w:rFonts w:ascii="Arial" w:cs="Arial" w:eastAsia="Arial" w:hAnsi="Arial"/>
          <w:sz w:val="18"/>
          <w:szCs w:val="18"/>
          <w:color w:val="auto"/>
        </w:rPr>
        <w:t>ADI is committed to a work environment where employees are treated with respect and fairness.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understand that our people are the driving force of our company and keep us at the leading edge. The mission of our diversity and inclusion program is to drive a culture that values and leverages the uniqueness of each employee so that they may develop and grow at ADI. In fiscal 2019, we published our first Diversity and Inclusion report, providing a look at the state of our organization and an overview of some of the initiatives we launched over the past year to drive continued improvement across diversity and inclusion at ADI. Our focus on being a great place to work and for providing industry-leading benefits and a work culture that has led to strong employee satisfaction and pride has been recognized across the globe, including most recently the awards listed below.</w:t>
      </w:r>
    </w:p>
    <w:p>
      <w:pPr>
        <w:spacing w:after="0" w:line="201" w:lineRule="exact"/>
        <w:rPr>
          <w:sz w:val="20"/>
          <w:szCs w:val="20"/>
          <w:color w:val="auto"/>
        </w:rPr>
      </w:pPr>
    </w:p>
    <w:p>
      <w:pPr>
        <w:ind w:left="200" w:right="820" w:firstLine="441"/>
        <w:spacing w:after="0" w:line="246" w:lineRule="auto"/>
        <w:rPr>
          <w:sz w:val="20"/>
          <w:szCs w:val="20"/>
          <w:color w:val="auto"/>
        </w:rPr>
      </w:pPr>
      <w:r>
        <w:rPr>
          <w:rFonts w:ascii="Arial" w:cs="Arial" w:eastAsia="Arial" w:hAnsi="Arial"/>
          <w:sz w:val="18"/>
          <w:szCs w:val="18"/>
          <w:color w:val="auto"/>
        </w:rPr>
        <w:t>Additionally, ADI’s stakeholder ecosystem extends beyond the typical focus on investors, employees, and customers to the communities and world in which we operate. We strive to be a positive influence in our</w:t>
      </w:r>
    </w:p>
    <w:p>
      <w:pPr>
        <w:spacing w:after="0" w:line="127" w:lineRule="exact"/>
        <w:rPr>
          <w:sz w:val="20"/>
          <w:szCs w:val="20"/>
          <w:color w:val="auto"/>
        </w:rPr>
      </w:pPr>
    </w:p>
    <w:p>
      <w:pPr>
        <w:ind w:left="600" w:hanging="396"/>
        <w:spacing w:after="0"/>
        <w:tabs>
          <w:tab w:leader="none" w:pos="600" w:val="left"/>
        </w:tabs>
        <w:numPr>
          <w:ilvl w:val="0"/>
          <w:numId w:val="54"/>
        </w:numPr>
        <w:rPr>
          <w:rFonts w:ascii="Arial" w:cs="Arial" w:eastAsia="Arial" w:hAnsi="Arial"/>
          <w:sz w:val="18"/>
          <w:szCs w:val="18"/>
          <w:color w:val="999999"/>
        </w:rPr>
      </w:pPr>
      <w:r>
        <w:rPr>
          <w:rFonts w:ascii="Arial" w:cs="Arial" w:eastAsia="Arial" w:hAnsi="Arial"/>
          <w:sz w:val="14"/>
          <w:szCs w:val="14"/>
          <w:b w:val="1"/>
          <w:bCs w:val="1"/>
          <w:color w:val="052B82"/>
        </w:rPr>
        <w:t>Analog Devices, Inc.</w:t>
      </w:r>
    </w:p>
    <w:p>
      <w:pPr>
        <w:sectPr>
          <w:pgSz w:w="11900" w:h="16838" w:orient="portrait"/>
          <w:cols w:equalWidth="0" w:num="1">
            <w:col w:w="1122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205740</wp:posOffset>
            </wp:positionV>
            <wp:extent cx="2649855"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0" w:right="340"/>
        <w:spacing w:after="0" w:line="246" w:lineRule="auto"/>
        <w:rPr>
          <w:sz w:val="20"/>
          <w:szCs w:val="20"/>
          <w:color w:val="auto"/>
        </w:rPr>
      </w:pPr>
      <w:r>
        <w:rPr>
          <w:rFonts w:ascii="Arial" w:cs="Arial" w:eastAsia="Arial" w:hAnsi="Arial"/>
          <w:sz w:val="18"/>
          <w:szCs w:val="18"/>
          <w:color w:val="auto"/>
        </w:rPr>
        <w:t>communities by living up to the highest ethical standards, pursuing socially minded business practices, providing rewarding career and employment opportunities and giving back to our communities in concert with our employees’ individual efforts.</w:t>
      </w:r>
    </w:p>
    <w:p>
      <w:pPr>
        <w:spacing w:after="0" w:line="175" w:lineRule="exact"/>
        <w:rPr>
          <w:sz w:val="20"/>
          <w:szCs w:val="20"/>
          <w:color w:val="auto"/>
        </w:rPr>
      </w:pPr>
    </w:p>
    <w:p>
      <w:pPr>
        <w:ind w:left="200" w:right="180" w:firstLine="441"/>
        <w:spacing w:after="0" w:line="244" w:lineRule="auto"/>
        <w:rPr>
          <w:sz w:val="20"/>
          <w:szCs w:val="20"/>
          <w:color w:val="auto"/>
        </w:rPr>
      </w:pPr>
      <w:r>
        <w:rPr>
          <w:rFonts w:ascii="Arial" w:cs="Arial" w:eastAsia="Arial" w:hAnsi="Arial"/>
          <w:sz w:val="18"/>
          <w:szCs w:val="18"/>
          <w:b w:val="1"/>
          <w:bCs w:val="1"/>
          <w:i w:val="1"/>
          <w:iCs w:val="1"/>
          <w:color w:val="auto"/>
        </w:rPr>
        <w:t xml:space="preserve">Governance and Ethical Sustainability. </w:t>
      </w:r>
      <w:r>
        <w:rPr>
          <w:rFonts w:ascii="Arial" w:cs="Arial" w:eastAsia="Arial" w:hAnsi="Arial"/>
          <w:sz w:val="18"/>
          <w:szCs w:val="18"/>
          <w:color w:val="auto"/>
        </w:rPr>
        <w:t>Ethical behavior has been a core tenet of our Company’s values since our earliest days.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employees, across all locations and job functions, have internalized the value of ethical behavior, routinely going beyond mere compliance with applicable laws and regulations. Our long history of leadership in the area of governance and ethics has resulted in a trusted reputation among our customers, investors and employees, as well as the communities where we operate. That is a trust that we have worked hard to earn and one we don’t take lightly.</w:t>
      </w:r>
    </w:p>
    <w:p>
      <w:pPr>
        <w:spacing w:after="0" w:line="199" w:lineRule="exact"/>
        <w:rPr>
          <w:sz w:val="20"/>
          <w:szCs w:val="20"/>
          <w:color w:val="auto"/>
        </w:rPr>
      </w:pPr>
    </w:p>
    <w:p>
      <w:pPr>
        <w:ind w:left="200" w:right="420" w:firstLine="441"/>
        <w:spacing w:after="0" w:line="246" w:lineRule="auto"/>
        <w:rPr>
          <w:sz w:val="20"/>
          <w:szCs w:val="20"/>
          <w:color w:val="auto"/>
        </w:rPr>
      </w:pPr>
      <w:r>
        <w:rPr>
          <w:rFonts w:ascii="Arial" w:cs="Arial" w:eastAsia="Arial" w:hAnsi="Arial"/>
          <w:sz w:val="18"/>
          <w:szCs w:val="18"/>
          <w:color w:val="auto"/>
        </w:rPr>
        <w:t>Sustainability is infused into all aspects of how we do business, and we are proud that our sustainability commitment is routinely recognized around the globe, including most recently with the following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142875</wp:posOffset>
            </wp:positionV>
            <wp:extent cx="5145405" cy="24872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5405" cy="248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0" w:right="100" w:firstLine="441"/>
        <w:spacing w:after="0" w:line="246" w:lineRule="auto"/>
        <w:rPr>
          <w:sz w:val="20"/>
          <w:szCs w:val="20"/>
          <w:color w:val="auto"/>
        </w:rPr>
      </w:pPr>
      <w:r>
        <w:rPr>
          <w:rFonts w:ascii="Arial" w:cs="Arial" w:eastAsia="Arial" w:hAnsi="Arial"/>
          <w:sz w:val="18"/>
          <w:szCs w:val="18"/>
          <w:color w:val="auto"/>
        </w:rPr>
        <w:t>For more information about our corporate responsibility efforts, please refer to our Sustainability and Diversity and Inclusion Reports available on the Analog Devices web site.</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52B82"/>
        </w:rPr>
        <w:t>DETERMINATION OF INDEPENDENCE</w:t>
      </w:r>
    </w:p>
    <w:p>
      <w:pPr>
        <w:spacing w:after="0" w:line="126" w:lineRule="exact"/>
        <w:rPr>
          <w:sz w:val="20"/>
          <w:szCs w:val="20"/>
          <w:color w:val="auto"/>
        </w:rPr>
      </w:pPr>
    </w:p>
    <w:p>
      <w:pPr>
        <w:ind w:left="200" w:firstLine="441"/>
        <w:spacing w:after="0" w:line="235" w:lineRule="auto"/>
        <w:rPr>
          <w:sz w:val="20"/>
          <w:szCs w:val="20"/>
          <w:color w:val="auto"/>
        </w:rPr>
      </w:pPr>
      <w:r>
        <w:rPr>
          <w:rFonts w:ascii="Arial" w:cs="Arial" w:eastAsia="Arial" w:hAnsi="Arial"/>
          <w:sz w:val="18"/>
          <w:szCs w:val="18"/>
          <w:color w:val="auto"/>
        </w:rPr>
        <w:t>Under applicable Nasdaq Rules, a director of Analog Devices will only qualify as an “independent director” if, in the opinion of our Board of Directors, that person does not have a relationship which would interfere with the exercise of independent judgment in carrying out the responsibilities of a director. Our Board of Directors has established guidelines (within our Corporate Governance Guidelines) to assist it in determining whether a director has a relationship with Analog Devices that would interfere with the exercise of independent judgment in carrying out the responsibilities of a director. These guidelines are posted on our website under investor.analog.com/corporate-governance.cfm. For relationships not covered by the guidelines, the determination of whether such a relationship exists is made by the members of our Board of Directors who are independent (as defined above). Our Board of Directors has determined that none of Messrs. Champy, Evans, Novich and Sicchitano, Ms. Golz and Drs. Chandrakasan, Frank, Little, Su and Wee has a relationship which would interfere with the exercise of independent judgment in carrying out the responsibilities of a director and that each of these directors is an “independent director” as defined under Rule 5605(a)(2) of the Nasdaq Rules. The Board of Directors has determined that Mr. Roche, our President and Chief Executive Officer, and Mr. Stata, our Chairman and founder, are not “independent” under the Nasdaq Rules because Mr. Roche is a current employee and Mr. Stata is our founder. The Board of Directors considered the Company’s annual laboratory membership and sponsorship of university research projects with MIT (of which Anantha P. Chandrakasan is the Dean of the School of Engineering and James A. Champy is a board member) and Karen Golz’s former affiliation with Ernst &amp; Young and determined that those relationships would not interfere with the exercise of independent judgment in carrying out the responsibilities of a director.</w:t>
      </w:r>
    </w:p>
    <w:p>
      <w:pPr>
        <w:spacing w:after="0" w:line="14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4"/>
          <w:szCs w:val="14"/>
          <w:b w:val="1"/>
          <w:bCs w:val="1"/>
          <w:color w:val="052B82"/>
        </w:rPr>
        <w:t>2020 Proxy Statement</w:t>
      </w:r>
      <w:r>
        <w:rPr>
          <w:sz w:val="20"/>
          <w:szCs w:val="20"/>
          <w:color w:val="auto"/>
        </w:rPr>
        <w:tab/>
      </w:r>
      <w:r>
        <w:rPr>
          <w:rFonts w:ascii="Arial" w:cs="Arial" w:eastAsia="Arial" w:hAnsi="Arial"/>
          <w:sz w:val="17"/>
          <w:szCs w:val="17"/>
          <w:color w:val="999999"/>
        </w:rPr>
        <w:t>27</w:t>
      </w:r>
    </w:p>
    <w:p>
      <w:pPr>
        <w:sectPr>
          <w:pgSz w:w="11900" w:h="16838" w:orient="portrait"/>
          <w:cols w:equalWidth="0" w:num="1">
            <w:col w:w="11220"/>
          </w:cols>
          <w:pgMar w:left="24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2649855"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52B82"/>
        </w:rPr>
        <w:t>DIRECTOR CANDIDATES</w:t>
      </w:r>
    </w:p>
    <w:p>
      <w:pPr>
        <w:spacing w:after="0" w:line="126" w:lineRule="exact"/>
        <w:rPr>
          <w:sz w:val="20"/>
          <w:szCs w:val="20"/>
          <w:color w:val="auto"/>
        </w:rPr>
      </w:pPr>
    </w:p>
    <w:p>
      <w:pPr>
        <w:ind w:left="200" w:right="100" w:firstLine="441"/>
        <w:spacing w:after="0" w:line="238" w:lineRule="auto"/>
        <w:rPr>
          <w:sz w:val="20"/>
          <w:szCs w:val="20"/>
          <w:color w:val="auto"/>
        </w:rPr>
      </w:pPr>
      <w:r>
        <w:rPr>
          <w:rFonts w:ascii="Arial" w:cs="Arial" w:eastAsia="Arial" w:hAnsi="Arial"/>
          <w:sz w:val="18"/>
          <w:szCs w:val="18"/>
          <w:color w:val="auto"/>
        </w:rPr>
        <w:t>Shareholders of record of Analog Devices may recommend director candidates for inclusion by the Board of Directors in the slate of nominees that the Board of Directors recommends to our shareholders for election. The qualifications of recommended candidates will be reviewed by the Nominating and Corporate Governance Committee. If the Board of Directors determines to nominate a shareholder-recommended candidate and recommends his or her election as a director by the shareholders, the name will be included in Analog Devices’ proxy card for the shareholders’ meeting at which his or her election is recommended.</w:t>
      </w:r>
    </w:p>
    <w:p>
      <w:pPr>
        <w:spacing w:after="0" w:line="203" w:lineRule="exact"/>
        <w:rPr>
          <w:sz w:val="20"/>
          <w:szCs w:val="20"/>
          <w:color w:val="auto"/>
        </w:rPr>
      </w:pPr>
    </w:p>
    <w:p>
      <w:pPr>
        <w:ind w:left="200" w:firstLine="441"/>
        <w:spacing w:after="0" w:line="237" w:lineRule="auto"/>
        <w:rPr>
          <w:sz w:val="20"/>
          <w:szCs w:val="20"/>
          <w:color w:val="auto"/>
        </w:rPr>
      </w:pPr>
      <w:r>
        <w:rPr>
          <w:rFonts w:ascii="Arial" w:cs="Arial" w:eastAsia="Arial" w:hAnsi="Arial"/>
          <w:sz w:val="18"/>
          <w:szCs w:val="18"/>
          <w:color w:val="auto"/>
        </w:rPr>
        <w:t>Shareholders may recommend individuals for the Nominating and Corporate Governance Committee to consider as potential director candidates by submitting their names and background and a statement as to whether the shareholder or group of shareholders making the recommendation has beneficially owned more than 5% of Analog Devices’ common stock for at least one year as of the date the recommendation is made, to the “Analog Devices Nominating and Corporate Governance Committee,” c/o Larry Weiss, Secretary, Analog Devices, Inc., One Technology Way, Norwood, Massachusetts 02062. The Nominating and Corporate Governance Committee will consider a recommendation only if appropriate biographical information and background material is provided on a timely basis.</w:t>
      </w:r>
    </w:p>
    <w:p>
      <w:pPr>
        <w:spacing w:after="0" w:line="205" w:lineRule="exact"/>
        <w:rPr>
          <w:sz w:val="20"/>
          <w:szCs w:val="20"/>
          <w:color w:val="auto"/>
        </w:rPr>
      </w:pPr>
    </w:p>
    <w:p>
      <w:pPr>
        <w:ind w:left="200" w:right="80" w:firstLine="441"/>
        <w:spacing w:after="0" w:line="236" w:lineRule="auto"/>
        <w:rPr>
          <w:sz w:val="20"/>
          <w:szCs w:val="20"/>
          <w:color w:val="auto"/>
        </w:rPr>
      </w:pPr>
      <w:r>
        <w:rPr>
          <w:rFonts w:ascii="Arial" w:cs="Arial" w:eastAsia="Arial" w:hAnsi="Arial"/>
          <w:sz w:val="18"/>
          <w:szCs w:val="18"/>
          <w:color w:val="auto"/>
        </w:rPr>
        <w:t>The process followed by the Nominating and Corporate Governance Committee to identify and evaluate candidates includes requests to Board members and others for recommendations, meetings from time to time to evaluate biographical information and background material relating to potential candidates and interviews of selected candidates by members of the Nominating and Corporate Governance Committee and the Board of Directors. From time to time, the Nominating and Corporate Governance Committee may also seek input from director search firms for identification and evaluation of candidates. Assuming that appropriate biographical and background material is provided for candidates recommended by shareholders on a timely basis, the Nominating and Corporate Governance Committee will evaluate director candidates recommended by shareholders by following substantially the same process, and applying substantially the same criteria, as it follows for director candidates submitted by Board members.</w:t>
      </w:r>
    </w:p>
    <w:p>
      <w:pPr>
        <w:spacing w:after="0" w:line="208" w:lineRule="exact"/>
        <w:rPr>
          <w:sz w:val="20"/>
          <w:szCs w:val="20"/>
          <w:color w:val="auto"/>
        </w:rPr>
      </w:pPr>
    </w:p>
    <w:p>
      <w:pPr>
        <w:ind w:left="200" w:right="240" w:firstLine="441"/>
        <w:spacing w:after="0" w:line="239" w:lineRule="auto"/>
        <w:rPr>
          <w:sz w:val="20"/>
          <w:szCs w:val="20"/>
          <w:color w:val="auto"/>
        </w:rPr>
      </w:pPr>
      <w:r>
        <w:rPr>
          <w:rFonts w:ascii="Arial" w:cs="Arial" w:eastAsia="Arial" w:hAnsi="Arial"/>
          <w:sz w:val="18"/>
          <w:szCs w:val="18"/>
          <w:color w:val="auto"/>
        </w:rPr>
        <w:t xml:space="preserve">Shareholders also have the right to directly nominate director candidates, without any action or recommendation on the part of the Nominating and Corporate Governance Committee or the Board of Directors, by following the procedures set forth in our bylaws and described in the response to the question </w:t>
      </w:r>
      <w:r>
        <w:rPr>
          <w:rFonts w:ascii="Arial" w:cs="Arial" w:eastAsia="Arial" w:hAnsi="Arial"/>
          <w:sz w:val="18"/>
          <w:szCs w:val="18"/>
          <w:b w:val="1"/>
          <w:bCs w:val="1"/>
          <w:color w:val="auto"/>
        </w:rPr>
        <w:t>“How and when may I submit a shareholder proposal, including a shareholder</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nomination for director, for the 2021 annual meeting of shareholders?” </w:t>
      </w:r>
      <w:r>
        <w:rPr>
          <w:rFonts w:ascii="Arial" w:cs="Arial" w:eastAsia="Arial" w:hAnsi="Arial"/>
          <w:sz w:val="18"/>
          <w:szCs w:val="18"/>
          <w:color w:val="auto"/>
        </w:rPr>
        <w:t>above.</w:t>
      </w:r>
    </w:p>
    <w:p>
      <w:pPr>
        <w:spacing w:after="0" w:line="202" w:lineRule="exact"/>
        <w:rPr>
          <w:sz w:val="20"/>
          <w:szCs w:val="20"/>
          <w:color w:val="auto"/>
        </w:rPr>
      </w:pPr>
    </w:p>
    <w:p>
      <w:pPr>
        <w:ind w:left="200" w:right="120" w:firstLine="441"/>
        <w:spacing w:after="0" w:line="236" w:lineRule="auto"/>
        <w:rPr>
          <w:sz w:val="20"/>
          <w:szCs w:val="20"/>
          <w:color w:val="auto"/>
        </w:rPr>
      </w:pPr>
      <w:r>
        <w:rPr>
          <w:rFonts w:ascii="Arial" w:cs="Arial" w:eastAsia="Arial" w:hAnsi="Arial"/>
          <w:sz w:val="18"/>
          <w:szCs w:val="18"/>
          <w:color w:val="auto"/>
        </w:rPr>
        <w:t>In considering whether to recommend any candidate for inclusion in the Board of Directors’ slate of recommended director nominees, including candidates recommended by shareholders, the Nominating and Corporate Governance Committee will apply the criteria set forth in our Corporate Governance Guidelines. These criteria include the candidate’s integrity, business acumen, experience, commitment, and diligence; the presence of any conflicts of interest and the ability of the candidate to act in the interests of all shareholders. The Nominating and Corporate Governance Committee seeks nominees with a broad diversity of experience, professions, skills, geographic representation and backgrounds. The Nominating and Corporate Governance Committee does not assign specific weights to particular criteria and no particular criterion is necessarily applicable to all prospective nominees. Analog Devices believes that the backgrounds and qualifications of the directors, considered as a group, should provide a significant composite mix of experience, knowledge and abilities that will allow the Board of Directors to fulfill its responsibilities. While we do not have a policy regarding Board diversity, the Nominating and Corporate Governance Committee includes gender, racial and ethnic diversity as part of its search criteria, consistent with the requirement for relevant and diverse experience, skills and industry familiarity.</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52B82"/>
        </w:rPr>
        <w:t>COMMUNICATIONS FROM SHAREHOLDERS AND OTHER INTERESTED PARTIES</w:t>
      </w:r>
    </w:p>
    <w:p>
      <w:pPr>
        <w:spacing w:after="0" w:line="126" w:lineRule="exact"/>
        <w:rPr>
          <w:sz w:val="20"/>
          <w:szCs w:val="20"/>
          <w:color w:val="auto"/>
        </w:rPr>
      </w:pPr>
    </w:p>
    <w:p>
      <w:pPr>
        <w:ind w:left="200" w:right="100" w:firstLine="441"/>
        <w:spacing w:after="0" w:line="239" w:lineRule="auto"/>
        <w:rPr>
          <w:sz w:val="20"/>
          <w:szCs w:val="20"/>
          <w:color w:val="auto"/>
        </w:rPr>
      </w:pPr>
      <w:r>
        <w:rPr>
          <w:rFonts w:ascii="Arial" w:cs="Arial" w:eastAsia="Arial" w:hAnsi="Arial"/>
          <w:sz w:val="18"/>
          <w:szCs w:val="18"/>
          <w:color w:val="auto"/>
        </w:rPr>
        <w:t>The Board of Directors will give appropriate attention to written communications on issues that are submitted by shareholders and other interested parties, and will respond if and as appropriate. Absent unusual circumstances or as contemplated by committee charters, the Chairman of the Nominating and Corporate Governance Committee will, with the assistance of Analog Devices’ General Counsel, (1) be</w:t>
      </w:r>
    </w:p>
    <w:p>
      <w:pPr>
        <w:spacing w:after="0" w:line="132" w:lineRule="exact"/>
        <w:rPr>
          <w:sz w:val="20"/>
          <w:szCs w:val="20"/>
          <w:color w:val="auto"/>
        </w:rPr>
      </w:pPr>
    </w:p>
    <w:p>
      <w:pPr>
        <w:ind w:left="600" w:hanging="396"/>
        <w:spacing w:after="0"/>
        <w:tabs>
          <w:tab w:leader="none" w:pos="600" w:val="left"/>
        </w:tabs>
        <w:numPr>
          <w:ilvl w:val="0"/>
          <w:numId w:val="55"/>
        </w:numPr>
        <w:rPr>
          <w:rFonts w:ascii="Arial" w:cs="Arial" w:eastAsia="Arial" w:hAnsi="Arial"/>
          <w:sz w:val="18"/>
          <w:szCs w:val="18"/>
          <w:color w:val="999999"/>
        </w:rPr>
      </w:pPr>
      <w:r>
        <w:rPr>
          <w:rFonts w:ascii="Arial" w:cs="Arial" w:eastAsia="Arial" w:hAnsi="Arial"/>
          <w:sz w:val="14"/>
          <w:szCs w:val="14"/>
          <w:b w:val="1"/>
          <w:bCs w:val="1"/>
          <w:color w:val="052B82"/>
        </w:rPr>
        <w:t>Analog Devices, Inc.</w:t>
      </w:r>
    </w:p>
    <w:p>
      <w:pPr>
        <w:sectPr>
          <w:pgSz w:w="11900" w:h="16838" w:orient="portrait"/>
          <w:cols w:equalWidth="0" w:num="1">
            <w:col w:w="11220"/>
          </w:cols>
          <w:pgMar w:left="24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205740</wp:posOffset>
            </wp:positionV>
            <wp:extent cx="2649855"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0" w:right="160"/>
        <w:spacing w:after="0" w:line="246" w:lineRule="auto"/>
        <w:rPr>
          <w:sz w:val="20"/>
          <w:szCs w:val="20"/>
          <w:color w:val="auto"/>
        </w:rPr>
      </w:pPr>
      <w:r>
        <w:rPr>
          <w:rFonts w:ascii="Arial" w:cs="Arial" w:eastAsia="Arial" w:hAnsi="Arial"/>
          <w:sz w:val="18"/>
          <w:szCs w:val="18"/>
          <w:color w:val="auto"/>
        </w:rPr>
        <w:t>primarily responsible for monitoring communications from shareholders and other interested parties and (2) provide copies or summaries of such communications to the other directors as he considers appropriate.</w:t>
      </w:r>
    </w:p>
    <w:p>
      <w:pPr>
        <w:spacing w:after="0" w:line="197" w:lineRule="exact"/>
        <w:rPr>
          <w:sz w:val="20"/>
          <w:szCs w:val="20"/>
          <w:color w:val="auto"/>
        </w:rPr>
      </w:pPr>
    </w:p>
    <w:p>
      <w:pPr>
        <w:ind w:left="200" w:right="100" w:firstLine="441"/>
        <w:spacing w:after="0" w:line="238" w:lineRule="auto"/>
        <w:rPr>
          <w:sz w:val="20"/>
          <w:szCs w:val="20"/>
          <w:color w:val="auto"/>
        </w:rPr>
      </w:pPr>
      <w:r>
        <w:rPr>
          <w:rFonts w:ascii="Arial" w:cs="Arial" w:eastAsia="Arial" w:hAnsi="Arial"/>
          <w:sz w:val="18"/>
          <w:szCs w:val="18"/>
          <w:color w:val="auto"/>
        </w:rPr>
        <w:t>Communications will be forwarded to all directors if they relate to substantive matters and include suggestions or comments that the Chairman of the Nominating and Corporate Governance Committee considers to be important for the directors to review. In general, communications relating to corporate governance and long-term corporate strategy are more likely to be forwarded than communications relating to personal grievances, commercial solicitations and matters as to which Analog Devices tends to receive repetitive or duplicative communications.</w:t>
      </w:r>
    </w:p>
    <w:p>
      <w:pPr>
        <w:spacing w:after="0" w:line="203" w:lineRule="exact"/>
        <w:rPr>
          <w:sz w:val="20"/>
          <w:szCs w:val="20"/>
          <w:color w:val="auto"/>
        </w:rPr>
      </w:pPr>
    </w:p>
    <w:p>
      <w:pPr>
        <w:ind w:left="200" w:firstLine="441"/>
        <w:spacing w:after="0"/>
        <w:rPr>
          <w:sz w:val="20"/>
          <w:szCs w:val="20"/>
          <w:color w:val="auto"/>
        </w:rPr>
      </w:pPr>
      <w:r>
        <w:rPr>
          <w:rFonts w:ascii="Arial" w:cs="Arial" w:eastAsia="Arial" w:hAnsi="Arial"/>
          <w:sz w:val="18"/>
          <w:szCs w:val="18"/>
          <w:color w:val="auto"/>
        </w:rPr>
        <w:t>Shareholders and other interested parties who wish to send communications on any topic to the Board of Directors (including the Presiding Director or the independent directors as a group) should address such communications to James A. Champy, Presiding Director, c/o Secretary, Analog Devices, Inc., One Technology Way, Norwood, Massachusetts 02062.</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52B82"/>
        </w:rPr>
        <w:t>BOARD OF DIRECTORS LEADERSHIP STRUCTURE</w:t>
      </w:r>
    </w:p>
    <w:p>
      <w:pPr>
        <w:spacing w:after="0" w:line="126" w:lineRule="exact"/>
        <w:rPr>
          <w:sz w:val="20"/>
          <w:szCs w:val="20"/>
          <w:color w:val="auto"/>
        </w:rPr>
      </w:pPr>
    </w:p>
    <w:p>
      <w:pPr>
        <w:ind w:left="200" w:right="60" w:firstLine="441"/>
        <w:spacing w:after="0" w:line="236" w:lineRule="auto"/>
        <w:rPr>
          <w:sz w:val="20"/>
          <w:szCs w:val="20"/>
          <w:color w:val="auto"/>
        </w:rPr>
      </w:pPr>
      <w:r>
        <w:rPr>
          <w:rFonts w:ascii="Arial" w:cs="Arial" w:eastAsia="Arial" w:hAnsi="Arial"/>
          <w:sz w:val="18"/>
          <w:szCs w:val="18"/>
          <w:color w:val="auto"/>
        </w:rPr>
        <w:t>Our Corporate Governance Guidelines provide that the roles of Chief Executive Officer and Chairman of the Board of Directors should be separate, unless otherwise determined by a majority of the Board of Directors, and we currently separate these roles. Our Chief Executive Officer is responsible for setting the strategic direction for the Company and the day-to-day leadership and performance of the Company, while our Chairman of the Board of Directors provides guidance to the Chief Executive Officer, sets the agenda for Board meetings and presides over meetings of the full Board of Directors. Because our Board of Directors has determined that Mr. Stata, our Chairman and founder, is not an independent director under the Nasdaq Rules, our Board of Directors has appointed James A. Champy as Presiding Director to preside at all executive sessions of directors without management present. The Board of Directors meets in executive session at each regular meeting.</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52B82"/>
        </w:rPr>
        <w:t>BOARD OF DIRECTORS MEETINGS AND COMMITTEES</w:t>
      </w:r>
    </w:p>
    <w:p>
      <w:pPr>
        <w:spacing w:after="0" w:line="126" w:lineRule="exact"/>
        <w:rPr>
          <w:sz w:val="20"/>
          <w:szCs w:val="20"/>
          <w:color w:val="auto"/>
        </w:rPr>
      </w:pPr>
    </w:p>
    <w:p>
      <w:pPr>
        <w:ind w:left="200" w:right="120" w:firstLine="441"/>
        <w:spacing w:after="0" w:line="236" w:lineRule="auto"/>
        <w:rPr>
          <w:sz w:val="20"/>
          <w:szCs w:val="20"/>
          <w:color w:val="auto"/>
        </w:rPr>
      </w:pPr>
      <w:r>
        <w:rPr>
          <w:rFonts w:ascii="Arial" w:cs="Arial" w:eastAsia="Arial" w:hAnsi="Arial"/>
          <w:sz w:val="18"/>
          <w:szCs w:val="18"/>
          <w:color w:val="auto"/>
        </w:rPr>
        <w:t>The Board of Directors has responsibility for reviewing our overall performance, rather than day-to-day operations. The Board of Directors’ primary responsibility is to oversee the management of the Company and, in so doing, serve the best interests of the Company and its shareholders. The Board of Directors provides for the succession of the Chief Executive Officer, nominates for election at annual shareholder meetings individuals to serve as directors of Analog Devices, and elects individuals to fill any vacancies on the Board of Directors. It reviews corporate objectives and strategies, and evaluates and approves significant policies and proposed major commitments of corporate resources. It participates in decisions that have a potential major economic impact on Analog Devices. Management keeps the directors informed of Company activity through regular written reports and presentations at Board and committee meetings.</w:t>
      </w:r>
    </w:p>
    <w:p>
      <w:pPr>
        <w:spacing w:after="0" w:line="208" w:lineRule="exact"/>
        <w:rPr>
          <w:sz w:val="20"/>
          <w:szCs w:val="20"/>
          <w:color w:val="auto"/>
        </w:rPr>
      </w:pPr>
    </w:p>
    <w:p>
      <w:pPr>
        <w:ind w:left="200" w:right="40" w:firstLine="441"/>
        <w:spacing w:after="0" w:line="236" w:lineRule="auto"/>
        <w:rPr>
          <w:sz w:val="20"/>
          <w:szCs w:val="20"/>
          <w:color w:val="auto"/>
        </w:rPr>
      </w:pPr>
      <w:r>
        <w:rPr>
          <w:rFonts w:ascii="Arial" w:cs="Arial" w:eastAsia="Arial" w:hAnsi="Arial"/>
          <w:sz w:val="18"/>
          <w:szCs w:val="18"/>
          <w:color w:val="auto"/>
        </w:rPr>
        <w:t>The Board of Directors met nine times in fiscal 2019 (including by telephone conference). During fiscal 2019, each of our directors attended 75% or more of the total number of meetings of the Board of Directors and the committees on which he or she served. The Board of Directors has standing Audit, Compensation, and Nominating and Corporate Governance Committees. All members of all three committees are independent, non-employee directors. Each committee has a charter that has been approved by the Board of Directors and is reviewed annually. In addition, each Committee conducts an annual self-evaluation of its own performance and the performance of its members in accordance with its respective Committee charter. Each director also undertakes an evaluation of the Board more generally. Our Lead Director, who is also currently the Chair of our Nominating and Corporate Governance Committee, working with outside counsel, also has conversations with each Board member designed to assess the competencies and skills each director brings to the Board. Summaries of the evaluations are presented to the Board. Mr. Roche is the only current director who is, or has been in the past three years, an employee of Analog Devices. Messrs. Roche and Stata do not serve on any standing Board committee and do not participate in the portion of any Board or committee meeting during which their compensation is evaluated. The independent directors met in executive session without Messrs. Stata or Roche at each in-person Board meeting in fiscal 2019.</w:t>
      </w:r>
    </w:p>
    <w:p>
      <w:pPr>
        <w:spacing w:after="0" w:line="13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4"/>
          <w:szCs w:val="14"/>
          <w:b w:val="1"/>
          <w:bCs w:val="1"/>
          <w:color w:val="052B82"/>
        </w:rPr>
        <w:t>2020 Proxy Statement</w:t>
      </w:r>
      <w:r>
        <w:rPr>
          <w:sz w:val="20"/>
          <w:szCs w:val="20"/>
          <w:color w:val="auto"/>
        </w:rPr>
        <w:tab/>
      </w:r>
      <w:r>
        <w:rPr>
          <w:rFonts w:ascii="Arial" w:cs="Arial" w:eastAsia="Arial" w:hAnsi="Arial"/>
          <w:sz w:val="17"/>
          <w:szCs w:val="17"/>
          <w:color w:val="999999"/>
        </w:rPr>
        <w:t>29</w:t>
      </w:r>
    </w:p>
    <w:p>
      <w:pPr>
        <w:sectPr>
          <w:pgSz w:w="11900" w:h="16838" w:orient="portrait"/>
          <w:cols w:equalWidth="0" w:num="1">
            <w:col w:w="11220"/>
          </w:cols>
          <w:pgMar w:left="24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2649855"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0" w:right="80" w:firstLine="441"/>
        <w:spacing w:after="0" w:line="246" w:lineRule="auto"/>
        <w:rPr>
          <w:sz w:val="20"/>
          <w:szCs w:val="20"/>
          <w:color w:val="auto"/>
        </w:rPr>
      </w:pPr>
      <w:r>
        <w:rPr>
          <w:rFonts w:ascii="Arial" w:cs="Arial" w:eastAsia="Arial" w:hAnsi="Arial"/>
          <w:sz w:val="18"/>
          <w:szCs w:val="18"/>
          <w:color w:val="auto"/>
        </w:rPr>
        <w:t>Our Corporate Governance Guidelines set forth our policy that directors are expected to attend annual meetings of shareholders. All of our then-serving directors attended the 2019 Annual Meeting of Shareholders.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Audit Committee</w:t>
      </w:r>
    </w:p>
    <w:p>
      <w:pPr>
        <w:spacing w:after="0" w:line="126" w:lineRule="exact"/>
        <w:rPr>
          <w:sz w:val="20"/>
          <w:szCs w:val="20"/>
          <w:color w:val="auto"/>
        </w:rPr>
      </w:pPr>
    </w:p>
    <w:p>
      <w:pPr>
        <w:ind w:left="200" w:right="20" w:firstLine="441"/>
        <w:spacing w:after="0" w:line="236" w:lineRule="auto"/>
        <w:rPr>
          <w:sz w:val="20"/>
          <w:szCs w:val="20"/>
          <w:color w:val="auto"/>
        </w:rPr>
      </w:pPr>
      <w:r>
        <w:rPr>
          <w:rFonts w:ascii="Arial" w:cs="Arial" w:eastAsia="Arial" w:hAnsi="Arial"/>
          <w:sz w:val="18"/>
          <w:szCs w:val="18"/>
          <w:color w:val="auto"/>
        </w:rPr>
        <w:t>The current members of our Audit Committee are Messrs. Sicchitano (Chair), Evans and Novich and Ms. Golz. Dr. Little also served on the Audit Committee during fiscal 2019. The Board of Directors has determined that each of Messrs. Sicchitano, Evans and Novich and Ms. Golz qualifies as an “audit committee financial expert” under the rules of the SEC and is independent as defined under the Nasdaq Rules and the independence requirements under Rule 10A-3(b)(1) of the Exchange Act. In addition, our Board of Directors has determined that each member of the Audit Committee is able to read and understand financial statements, including the Company’s consolidated balance sheet and its consolidated statements of income, comprehensive income, shareholders’ equity and cash flows and related notes as required under the Nasdaq Rules. The Board of Directors has certified that it has at least one member of the Audit Committee who has past employment experience in finance or accounting as required by the Nasdaq Rules. None of Messrs. Sicchitano, Evans and Novich or Ms. Golz serves on the audit committees of more than two other public companies.</w:t>
      </w:r>
    </w:p>
    <w:p>
      <w:pPr>
        <w:spacing w:after="0" w:line="207"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The primary purpose of the Audit Committee is to assist the Board of Directors’ oversight of (i) the integrity of our financial statements and the Company’s systems of internal control over financial reporting and disclosure controls and procedures, (ii) the qualifications and independence of our independent registered public accounting firm, and (iii) the performance of our internal audit function and independent registered public accounting firm. The Audit Committee has the authority to engage any independent legal, accounting and other advisors that it deems necessary or appropriate to carry out its responsibilities. These independent advisors may be the regular advisors to the Company. The Audit Committee is empowered, without further action by the Board of Directors, to cause the Company to pay the compensation of those advisors as established by the Audit Committee. The Audit Committee selected and appointed Ernst &amp; Young LLP, our independent registered public accounting firm, and did not retain any other advisors during fiscal 2019. The Audit Committee met ten times during fiscal 2019 (including by telephone conference). The responsibilities of our Audit Committee and its activities during fiscal 2019 are described in the Report of the Audit Committee below.</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Committee</w:t>
      </w:r>
    </w:p>
    <w:p>
      <w:pPr>
        <w:spacing w:after="0" w:line="126"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The current members of our Compensation Committee are Drs. Frank (Chair), Little, Su and Wee. Mr. Novich also served on the Compensation Committee during fiscal 2019. The Board of Directors has determined that each of Drs. Frank, Little, Su and Wee is independent as defined under the Nasdaq Rules and the independence requirements under Rule 10C-1 of the Exchange Act. The Compensation Committee evaluates and sets the compensation of our Chief Executive Officer and our other executive officers, and makes recommendations to our Board of Directors regarding the compensation of our directors. The Compensation Committee oversees the evaluation of senior management. In connection with its oversight and administration of ADI’s cash and equity incentive plans, the Compensation Committee authorizes the granting of stock options, RSUs and other stock incentives (within guidelines established by our Board of Directors and in accordance with our Stock Option and Stock-Based Award Grant Date Policies) to our officers. In accordance with the terms of our Amended and Restated 2006 Stock Incentive Plan, which we refer to as the 2006 Stock Incentive Plan, the Amended and Restated 2005 Equity Incentive Plan, which we refer to as the 2005 Plan, and the Amended and Restated 2010 Equity Incentive Plan, which we refer to as the 2010 Plan (the latter two of which were assumed by us in the Linear Technology acquisition), the Compensation Committee has delegated to our Chief Executive Officer the power to grant and modify options, RSUs and other stock awards to employees who are not executive officers, other senior vice presidents who report to the Chief Executive Officer or directors, subject to specified thresholds, parameters and applicable law. Our Compensation Committee held ten meetings (including by telephone conference) during fiscal 2019.</w:t>
      </w:r>
    </w:p>
    <w:p>
      <w:pPr>
        <w:spacing w:after="0" w:line="184" w:lineRule="exact"/>
        <w:rPr>
          <w:sz w:val="20"/>
          <w:szCs w:val="20"/>
          <w:color w:val="auto"/>
        </w:rPr>
      </w:pPr>
    </w:p>
    <w:p>
      <w:pPr>
        <w:ind w:left="200" w:right="120" w:firstLine="441"/>
        <w:spacing w:after="0" w:line="267" w:lineRule="auto"/>
        <w:rPr>
          <w:sz w:val="20"/>
          <w:szCs w:val="20"/>
          <w:color w:val="auto"/>
        </w:rPr>
      </w:pPr>
      <w:r>
        <w:rPr>
          <w:rFonts w:ascii="Arial" w:cs="Arial" w:eastAsia="Arial" w:hAnsi="Arial"/>
          <w:sz w:val="18"/>
          <w:szCs w:val="18"/>
          <w:i w:val="1"/>
          <w:iCs w:val="1"/>
          <w:color w:val="auto"/>
        </w:rPr>
        <w:t xml:space="preserve">Compensation Committee Consultants. </w:t>
      </w:r>
      <w:r>
        <w:rPr>
          <w:rFonts w:ascii="Arial" w:cs="Arial" w:eastAsia="Arial" w:hAnsi="Arial"/>
          <w:sz w:val="18"/>
          <w:szCs w:val="18"/>
          <w:color w:val="auto"/>
        </w:rPr>
        <w:t>The Compensation Committee has the authority, in its sole discretion, to retain or obtain the</w:t>
      </w:r>
      <w:r>
        <w:rPr>
          <w:rFonts w:ascii="Arial" w:cs="Arial" w:eastAsia="Arial" w:hAnsi="Arial"/>
          <w:sz w:val="18"/>
          <w:szCs w:val="18"/>
          <w:i w:val="1"/>
          <w:iCs w:val="1"/>
          <w:color w:val="auto"/>
        </w:rPr>
        <w:t xml:space="preserve"> </w:t>
      </w:r>
      <w:r>
        <w:rPr>
          <w:rFonts w:ascii="Arial" w:cs="Arial" w:eastAsia="Arial" w:hAnsi="Arial"/>
          <w:sz w:val="18"/>
          <w:szCs w:val="18"/>
          <w:color w:val="auto"/>
        </w:rPr>
        <w:t>advice of any independent legal, accounting or other advisors it deems</w:t>
      </w:r>
    </w:p>
    <w:p>
      <w:pPr>
        <w:spacing w:after="0" w:line="109" w:lineRule="exact"/>
        <w:rPr>
          <w:sz w:val="20"/>
          <w:szCs w:val="20"/>
          <w:color w:val="auto"/>
        </w:rPr>
      </w:pPr>
    </w:p>
    <w:p>
      <w:pPr>
        <w:ind w:left="600" w:hanging="396"/>
        <w:spacing w:after="0"/>
        <w:tabs>
          <w:tab w:leader="none" w:pos="600" w:val="left"/>
        </w:tabs>
        <w:numPr>
          <w:ilvl w:val="0"/>
          <w:numId w:val="56"/>
        </w:numPr>
        <w:rPr>
          <w:rFonts w:ascii="Arial" w:cs="Arial" w:eastAsia="Arial" w:hAnsi="Arial"/>
          <w:sz w:val="18"/>
          <w:szCs w:val="18"/>
          <w:color w:val="999999"/>
        </w:rPr>
      </w:pPr>
      <w:r>
        <w:rPr>
          <w:rFonts w:ascii="Arial" w:cs="Arial" w:eastAsia="Arial" w:hAnsi="Arial"/>
          <w:sz w:val="14"/>
          <w:szCs w:val="14"/>
          <w:b w:val="1"/>
          <w:bCs w:val="1"/>
          <w:color w:val="052B82"/>
        </w:rPr>
        <w:t>Analog Devices, Inc.</w:t>
      </w:r>
    </w:p>
    <w:p>
      <w:pPr>
        <w:sectPr>
          <w:pgSz w:w="11900" w:h="16838" w:orient="portrait"/>
          <w:cols w:equalWidth="0" w:num="1">
            <w:col w:w="11220"/>
          </w:cols>
          <w:pgMar w:left="24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205740</wp:posOffset>
            </wp:positionV>
            <wp:extent cx="2649855"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0" w:right="60"/>
        <w:spacing w:after="0" w:line="237" w:lineRule="auto"/>
        <w:rPr>
          <w:sz w:val="20"/>
          <w:szCs w:val="20"/>
          <w:color w:val="auto"/>
        </w:rPr>
      </w:pPr>
      <w:r>
        <w:rPr>
          <w:rFonts w:ascii="Arial" w:cs="Arial" w:eastAsia="Arial" w:hAnsi="Arial"/>
          <w:sz w:val="18"/>
          <w:szCs w:val="18"/>
          <w:color w:val="auto"/>
        </w:rPr>
        <w:t>necessary or appropriate to carry out its responsibilities. The Compensation Committee is empowered, without further action by the Board of Directors, to cause the Company to pay the compensation of these advisors as established by the Compensation Committee. The Compensation Committee retained Pearl Meyer and Partners, or Pearl Meyer, an independent compensation consultant, during fiscal 2019. Pearl Meyer reports directly to the Compensation Committee and assists the Compensation Committee in evaluating and designing our executive and director compensation program and policies. For fiscal 2019, the Compensation Committee instructed Pearl Meyer to assist in the following matters:</w:t>
      </w:r>
    </w:p>
    <w:p>
      <w:pPr>
        <w:spacing w:after="0" w:line="111" w:lineRule="exact"/>
        <w:rPr>
          <w:sz w:val="20"/>
          <w:szCs w:val="20"/>
          <w:color w:val="auto"/>
        </w:rPr>
      </w:pPr>
    </w:p>
    <w:p>
      <w:pPr>
        <w:ind w:left="1180" w:hanging="436"/>
        <w:spacing w:after="0"/>
        <w:tabs>
          <w:tab w:leader="none" w:pos="11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defining a peer group of companies;</w:t>
      </w:r>
    </w:p>
    <w:p>
      <w:pPr>
        <w:spacing w:after="0" w:line="117" w:lineRule="exact"/>
        <w:rPr>
          <w:rFonts w:ascii="Arial" w:cs="Arial" w:eastAsia="Arial" w:hAnsi="Arial"/>
          <w:sz w:val="18"/>
          <w:szCs w:val="18"/>
          <w:color w:val="auto"/>
        </w:rPr>
      </w:pPr>
    </w:p>
    <w:p>
      <w:pPr>
        <w:ind w:left="1180" w:hanging="436"/>
        <w:spacing w:after="0"/>
        <w:tabs>
          <w:tab w:leader="none" w:pos="11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reviewing and validating the appropriateness of executive incentive plan goals;</w:t>
      </w:r>
    </w:p>
    <w:p>
      <w:pPr>
        <w:spacing w:after="0" w:line="117" w:lineRule="exact"/>
        <w:rPr>
          <w:rFonts w:ascii="Arial" w:cs="Arial" w:eastAsia="Arial" w:hAnsi="Arial"/>
          <w:sz w:val="18"/>
          <w:szCs w:val="18"/>
          <w:color w:val="auto"/>
        </w:rPr>
      </w:pPr>
    </w:p>
    <w:p>
      <w:pPr>
        <w:ind w:left="1180" w:right="260" w:hanging="436"/>
        <w:spacing w:after="0" w:line="246" w:lineRule="auto"/>
        <w:tabs>
          <w:tab w:leader="none" w:pos="11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assisting the Compensation Committee in defining a comparator group of companies for the 2019 relative total shareholder return performance-based RSUs;</w:t>
      </w:r>
    </w:p>
    <w:p>
      <w:pPr>
        <w:spacing w:after="0" w:line="102" w:lineRule="exact"/>
        <w:rPr>
          <w:rFonts w:ascii="Arial" w:cs="Arial" w:eastAsia="Arial" w:hAnsi="Arial"/>
          <w:sz w:val="18"/>
          <w:szCs w:val="18"/>
          <w:color w:val="auto"/>
        </w:rPr>
      </w:pPr>
    </w:p>
    <w:p>
      <w:pPr>
        <w:ind w:left="1180" w:right="680" w:hanging="436"/>
        <w:spacing w:after="0" w:line="246" w:lineRule="auto"/>
        <w:tabs>
          <w:tab w:leader="none" w:pos="11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providing market data and advice regarding executive and director compensation plan design, design of the executive performance incentive plan and equity incentive mix and design;</w:t>
      </w:r>
    </w:p>
    <w:p>
      <w:pPr>
        <w:spacing w:after="0" w:line="102" w:lineRule="exact"/>
        <w:rPr>
          <w:rFonts w:ascii="Arial" w:cs="Arial" w:eastAsia="Arial" w:hAnsi="Arial"/>
          <w:sz w:val="18"/>
          <w:szCs w:val="18"/>
          <w:color w:val="auto"/>
        </w:rPr>
      </w:pPr>
    </w:p>
    <w:p>
      <w:pPr>
        <w:ind w:left="1180" w:right="300" w:hanging="436"/>
        <w:spacing w:after="0" w:line="246" w:lineRule="auto"/>
        <w:tabs>
          <w:tab w:leader="none" w:pos="11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conducting a detailed analysis of the competitiveness and appropriateness of the Company’s total executive compensation opportunity and total director compensation opportunity in comparison to our defined peer group; and</w:t>
      </w:r>
    </w:p>
    <w:p>
      <w:pPr>
        <w:spacing w:after="0" w:line="102" w:lineRule="exact"/>
        <w:rPr>
          <w:rFonts w:ascii="Arial" w:cs="Arial" w:eastAsia="Arial" w:hAnsi="Arial"/>
          <w:sz w:val="18"/>
          <w:szCs w:val="18"/>
          <w:color w:val="auto"/>
        </w:rPr>
      </w:pPr>
    </w:p>
    <w:p>
      <w:pPr>
        <w:ind w:left="1180" w:hanging="436"/>
        <w:spacing w:after="0"/>
        <w:tabs>
          <w:tab w:leader="none" w:pos="11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conducting a risk assessment of our executive compensation program.</w:t>
      </w:r>
    </w:p>
    <w:p>
      <w:pPr>
        <w:spacing w:after="0" w:line="212" w:lineRule="exact"/>
        <w:rPr>
          <w:sz w:val="20"/>
          <w:szCs w:val="20"/>
          <w:color w:val="auto"/>
        </w:rPr>
      </w:pPr>
    </w:p>
    <w:p>
      <w:pPr>
        <w:ind w:left="200" w:right="20" w:firstLine="441"/>
        <w:spacing w:after="0" w:line="236" w:lineRule="auto"/>
        <w:rPr>
          <w:sz w:val="20"/>
          <w:szCs w:val="20"/>
          <w:color w:val="auto"/>
        </w:rPr>
      </w:pPr>
      <w:r>
        <w:rPr>
          <w:rFonts w:ascii="Arial" w:cs="Arial" w:eastAsia="Arial" w:hAnsi="Arial"/>
          <w:sz w:val="18"/>
          <w:szCs w:val="18"/>
          <w:color w:val="auto"/>
        </w:rPr>
        <w:t>In connection with its work for the Compensation Committee, Pearl Meyer is invited to attend the Compensation Committee’s meetings and, upon request of the Compensation Committee, attends executive sessions of the Compensation Committee. Pearl Meyer is retained only by the Compensation Committee and does not provide any other consulting services to Analog Devices. The Compensation Committee also solicits advice from time to time from our outside counsel, WilmerHale. The Compensation Committee assesses the independence of its advisors on an annual basis. The Compensation Committee requested and received an independence letter from each of Pearl Meyer and WilmerHale providing information to assist the Compensation Committee in selecting and receiving advice from such advisor after considering the independence factors that are identified in the Nasdaq rules. The Compensation Committee determined that the engagement of these advisors did not raise any conflicts of interest for all work performed for the Compensation Committee during fiscal 2019. The activities of our Compensation Committee and the services Pearl Meyer performed for the Compensation Committee during fiscal 2019 are further described in “INFORMATION ABOUT EXECUTIVE COMPENSATION—Compensation Discussion and Analysis” below.</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126" w:lineRule="exact"/>
        <w:rPr>
          <w:sz w:val="20"/>
          <w:szCs w:val="20"/>
          <w:color w:val="auto"/>
        </w:rPr>
      </w:pPr>
    </w:p>
    <w:p>
      <w:pPr>
        <w:ind w:left="200" w:right="40" w:firstLine="441"/>
        <w:spacing w:after="0" w:line="236" w:lineRule="auto"/>
        <w:rPr>
          <w:sz w:val="20"/>
          <w:szCs w:val="20"/>
          <w:color w:val="auto"/>
        </w:rPr>
      </w:pPr>
      <w:r>
        <w:rPr>
          <w:rFonts w:ascii="Arial" w:cs="Arial" w:eastAsia="Arial" w:hAnsi="Arial"/>
          <w:sz w:val="18"/>
          <w:szCs w:val="18"/>
          <w:color w:val="auto"/>
        </w:rPr>
        <w:t>The current members of our Nominating and Corporate Governance Committee are Mr. Champy (Chair) and Dr. Chandrakasan. The Board of Directors has determined that each of Mr. Champy and Dr. Chandrakasan is independent as defined under the Nasdaq Rules. The primary responsibility of the Nominating and Corporate Governance Committee is to identify individuals qualified to become Board members consistent with criteria approved by the Board of Directors, recommend to the Board of Directors the persons to be nominated by the Board of Directors for election as directors at any meeting of shareholders and the persons to be elected by the Board to fill any vacancies on the Board, recommend to the Board of Directors the directors to be appointed to each committee of the Board of Directors, develop and recommend to the Board of Directors a set of corporate governance principles and oversee the evaluation of the Board of Directors. The Nominating and Corporate Governance Committee also leads the Board of Directors’ succession planning efforts with respect to senior executives and oversight of our Code of Business Conduct and Ethics. The Nominating and Corporate Governance Committee has the authority to engage any independent legal and other advisors it deems necessary or appropriate to carry out its responsibilities. These independent advisors may be the regular advisors to the Company. The Nominating and Corporate Governance Committee is empowered, without further action by the Board of Directors, to cause the Company to pay the compensation of these advisors as established by the Nominating and Corporate Governance Committee. For information relating to nominations of directors by our shareholders, see “— Director Candidates” above. Our Nominating and Corporate Governance Committee held five meetings during fiscal 2019 (including by telephone conference).</w:t>
      </w:r>
    </w:p>
    <w:p>
      <w:pPr>
        <w:spacing w:after="0" w:line="13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4"/>
          <w:szCs w:val="14"/>
          <w:b w:val="1"/>
          <w:bCs w:val="1"/>
          <w:color w:val="052B82"/>
        </w:rPr>
        <w:t>2020 Proxy Statement</w:t>
      </w:r>
      <w:r>
        <w:rPr>
          <w:sz w:val="20"/>
          <w:szCs w:val="20"/>
          <w:color w:val="auto"/>
        </w:rPr>
        <w:tab/>
      </w:r>
      <w:r>
        <w:rPr>
          <w:rFonts w:ascii="Arial" w:cs="Arial" w:eastAsia="Arial" w:hAnsi="Arial"/>
          <w:sz w:val="17"/>
          <w:szCs w:val="17"/>
          <w:color w:val="999999"/>
        </w:rPr>
        <w:t>31</w:t>
      </w:r>
    </w:p>
    <w:p>
      <w:pPr>
        <w:sectPr>
          <w:pgSz w:w="11900" w:h="16838" w:orient="portrait"/>
          <w:cols w:equalWidth="0" w:num="1">
            <w:col w:w="11220"/>
          </w:cols>
          <w:pgMar w:left="24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2649855"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52B82"/>
        </w:rPr>
        <w:t>THE BOARD OF DIRECTORS’ ROLE IN RISK OVERSIGHT</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management’s and the Board of Directors’ role in risk management and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152400</wp:posOffset>
            </wp:positionV>
            <wp:extent cx="6997700" cy="3439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7700" cy="3439160"/>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FFFFFF"/>
        </w:rPr>
        <w:t>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FFFFFF"/>
        </w:rPr>
        <w:t>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FFFFFF"/>
        </w:rPr>
        <w:t>Audit Committee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FFFFFF"/>
        </w:rPr>
        <w:t>Compensation</w:t>
      </w:r>
    </w:p>
    <w:p>
      <w:pPr>
        <w:spacing w:after="0" w:line="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FFFFFF"/>
        </w:rPr>
        <w:t>Committee</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FFFFFF"/>
        </w:rPr>
        <w:t>Nominating and</w:t>
      </w:r>
    </w:p>
    <w:p>
      <w:pPr>
        <w:spacing w:after="0" w:line="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FFFFFF"/>
        </w:rPr>
        <w:t>Corporate</w:t>
      </w:r>
    </w:p>
    <w:p>
      <w:pPr>
        <w:ind w:left="460"/>
        <w:spacing w:after="0" w:line="234" w:lineRule="auto"/>
        <w:rPr>
          <w:sz w:val="20"/>
          <w:szCs w:val="20"/>
          <w:color w:val="auto"/>
        </w:rPr>
      </w:pPr>
      <w:r>
        <w:rPr>
          <w:rFonts w:ascii="Arial" w:cs="Arial" w:eastAsia="Arial" w:hAnsi="Arial"/>
          <w:sz w:val="18"/>
          <w:szCs w:val="18"/>
          <w:b w:val="1"/>
          <w:bCs w:val="1"/>
          <w:color w:val="FFFFFF"/>
        </w:rPr>
        <w:t>Governance</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FFFFFF"/>
        </w:rPr>
        <w:t>Committee</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Our management team is responsible for day-to-day risk management activities. Members of management report to the Board of Directors (or the appropriate committee in the case of risks that are under the purview of a particular committee) regarding risk identification, risk management and risk mitigation strategies.</w:t>
      </w:r>
    </w:p>
    <w:p>
      <w:pPr>
        <w:spacing w:after="0" w:line="18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Board of Directors’ role in the Company’s risk oversight process includes receiving regular reports from members of senior management on areas of material risk to the Company, including operational, financial, legal and regulatory, culture and human capital management and strategic and reputational risks. The Board receives regular updates from our Audit Committee, Compensation Committee and Nominating and Corporate Governance Committee, which provide our Board with thorough insight about how ADI manages risk.</w:t>
      </w:r>
    </w:p>
    <w:p>
      <w:pPr>
        <w:spacing w:after="0" w:line="192"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Audit Committee discusses ADI’s policies with respect to risk assessment and risk management as they apply to ADI’s financial statement integrity and reporting and internal controls. The Audit Committee also receives regular reports from our Director of Internal Audit on internal audit matters and receives reports at least annually from our Chief Information Officer on information security, technology and data privacy and protection. The Chief Information Officer also provides an annual report to the full Board of Directors regarding cybersecurity risk.</w:t>
      </w:r>
    </w:p>
    <w:p>
      <w:pPr>
        <w:spacing w:after="0" w:line="192"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The Compensation Committee considers whether ADI’s executive compensation program and non-executive director compensation practices encourage excessive or inappropriate risk taking.</w:t>
      </w:r>
    </w:p>
    <w:p>
      <w:pPr>
        <w:spacing w:after="0" w:line="251"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The Nominating and Corporate Governance Committee leads the Board with respect to the adequacy of the Company’s governance structure and process and of succession planning for the Company’s Board of Directors, Chief Executive Officer and other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95250</wp:posOffset>
            </wp:positionV>
            <wp:extent cx="531685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316855" cy="8890"/>
                    </a:xfrm>
                    <a:prstGeom prst="rect">
                      <a:avLst/>
                    </a:prstGeom>
                    <a:noFill/>
                  </pic:spPr>
                </pic:pic>
              </a:graphicData>
            </a:graphic>
          </wp:anchor>
        </w:drawing>
      </w:r>
    </w:p>
    <w:p>
      <w:pPr>
        <w:spacing w:after="0" w:line="326" w:lineRule="exact"/>
        <w:rPr>
          <w:sz w:val="20"/>
          <w:szCs w:val="20"/>
          <w:color w:val="auto"/>
        </w:rPr>
      </w:pPr>
    </w:p>
    <w:p>
      <w:pPr>
        <w:sectPr>
          <w:pgSz w:w="11900" w:h="16838" w:orient="portrait"/>
          <w:cols w:equalWidth="0" w:num="2">
            <w:col w:w="2460" w:space="720"/>
            <w:col w:w="8020"/>
          </w:cols>
          <w:pgMar w:left="240" w:top="459" w:right="459" w:bottom="1440" w:gutter="0" w:footer="0" w:header="0"/>
          <w:type w:val="continuous"/>
        </w:sectPr>
      </w:pPr>
    </w:p>
    <w:p>
      <w:pPr>
        <w:spacing w:after="0" w:line="13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52B82"/>
        </w:rPr>
        <w:t>REPORT OF THE AUDIT COMMITTEE</w:t>
      </w:r>
    </w:p>
    <w:p>
      <w:pPr>
        <w:spacing w:after="0" w:line="126"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The Audit Committee of the Board of Directors assisted the Board of Directors’ oversight of (i) the integrity of our financial statements and the Company’s systems of internal control over financial reporting and disclosure controls and procedures, (ii) the qualifications and independence of our independent registered public accounting firm, and (iii) the performance of our internal audit function and independent registered public accounting firm. The Audit Committee also met privately with our independent registered public accounting firm and our Director of Internal Audit to discuss our financial statements and disclosures, accounting policies and their application, internal control over financial reporting, and other matters of importance to the Audit Committee, the independent registered public accounting firm and the internal auditors. Management has the primary responsibility for the financial statements and the reporting process, including the system of internal control over financial reporting. In fulfilling its oversight responsibilities, the Audit Committee reviewed and discussed with management the audited financial statements contained in our Annual Report on Form 10-K and the quarterly financial statements during fiscal 2019, including the specific disclosures in the section titled “Management’s Discussion and Analysis of Financial Condition and Results of Operations.” These discussions also addressed the quality, not just the acceptability, of the accounting principles, the reasonableness of significant judgments, and the clarity of disclosures in the financial statements. The Audit Committee reported on these meetings to our Board of Directors. The Audit Committee also selected and appointed our independent registered public accounting firm, reviewed the performance of the independent registered public accounting firm during the annual audit and on</w:t>
      </w:r>
    </w:p>
    <w:p>
      <w:pPr>
        <w:spacing w:after="0" w:line="132" w:lineRule="exact"/>
        <w:rPr>
          <w:sz w:val="20"/>
          <w:szCs w:val="20"/>
          <w:color w:val="auto"/>
        </w:rPr>
      </w:pPr>
    </w:p>
    <w:p>
      <w:pPr>
        <w:ind w:left="600" w:hanging="396"/>
        <w:spacing w:after="0"/>
        <w:tabs>
          <w:tab w:leader="none" w:pos="600" w:val="left"/>
        </w:tabs>
        <w:numPr>
          <w:ilvl w:val="0"/>
          <w:numId w:val="58"/>
        </w:numPr>
        <w:rPr>
          <w:rFonts w:ascii="Arial" w:cs="Arial" w:eastAsia="Arial" w:hAnsi="Arial"/>
          <w:sz w:val="18"/>
          <w:szCs w:val="18"/>
          <w:color w:val="999999"/>
        </w:rPr>
      </w:pPr>
      <w:r>
        <w:rPr>
          <w:rFonts w:ascii="Arial" w:cs="Arial" w:eastAsia="Arial" w:hAnsi="Arial"/>
          <w:sz w:val="14"/>
          <w:szCs w:val="14"/>
          <w:b w:val="1"/>
          <w:bCs w:val="1"/>
          <w:color w:val="052B82"/>
        </w:rPr>
        <w:t>Analog Devices, Inc.</w:t>
      </w:r>
    </w:p>
    <w:p>
      <w:pPr>
        <w:sectPr>
          <w:pgSz w:w="11900" w:h="16838" w:orient="portrait"/>
          <w:cols w:equalWidth="0" w:num="1">
            <w:col w:w="11200"/>
          </w:cols>
          <w:pgMar w:left="240" w:top="459" w:right="45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205740</wp:posOffset>
            </wp:positionV>
            <wp:extent cx="2649855"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0" w:right="40"/>
        <w:spacing w:after="0" w:line="239" w:lineRule="auto"/>
        <w:rPr>
          <w:sz w:val="20"/>
          <w:szCs w:val="20"/>
          <w:color w:val="auto"/>
        </w:rPr>
      </w:pPr>
      <w:r>
        <w:rPr>
          <w:rFonts w:ascii="Arial" w:cs="Arial" w:eastAsia="Arial" w:hAnsi="Arial"/>
          <w:sz w:val="18"/>
          <w:szCs w:val="18"/>
          <w:color w:val="auto"/>
        </w:rPr>
        <w:t>assignments unrelated to the audit, assessed the independence of the independent registered public accounting firm and reviewed and approved the independent registered public accounting firm’s fees. The Audit Committee also has adopted policies and procedures for the pre-approval of audit and non-audit services for the purpose of maintaining the independence of our independent registered public accounting firm. The Audit Committee operates under a written charter adopted by our Board of Directors.</w:t>
      </w:r>
    </w:p>
    <w:p>
      <w:pPr>
        <w:spacing w:after="0" w:line="202" w:lineRule="exact"/>
        <w:rPr>
          <w:sz w:val="20"/>
          <w:szCs w:val="20"/>
          <w:color w:val="auto"/>
        </w:rPr>
      </w:pPr>
    </w:p>
    <w:p>
      <w:pPr>
        <w:ind w:left="200" w:right="140" w:firstLine="441"/>
        <w:spacing w:after="0" w:line="236" w:lineRule="auto"/>
        <w:rPr>
          <w:sz w:val="20"/>
          <w:szCs w:val="20"/>
          <w:color w:val="auto"/>
        </w:rPr>
      </w:pPr>
      <w:r>
        <w:rPr>
          <w:rFonts w:ascii="Arial" w:cs="Arial" w:eastAsia="Arial" w:hAnsi="Arial"/>
          <w:sz w:val="18"/>
          <w:szCs w:val="18"/>
          <w:color w:val="auto"/>
        </w:rPr>
        <w:t>The Audit Committee reviewed with our independent registered public accounting firm, who are responsible for expressing an opinion on the conformity of the audited financial statements with generally accepted accounting principles, their judgments as to the quality, not just the acceptability, of our accounting principles and such other matters as are required to be discussed with the Audit Committee under generally accepted auditing standards. In addition, the Audit Committee has discussed with the independent registered public accounting firm (i) the matters required to be discussed by the applicable requirements of the Public Company Accounting Oversight Board (PCAOB) and the SEC and (ii) the independent registered public accounting firm’s independence from Analog Devices and its management, including the matters in the written disclosures and the letter we received from the independent registered public accounting firm required by applicable requirements of the PCAOB regarding the independent registered public accounting firm’s communications with the Audit Committee concerning independence. The Audit Committee considered the appropriateness of the provision of non-audit services by the independent registered public accounting firm relative to their independence.</w:t>
      </w:r>
    </w:p>
    <w:p>
      <w:pPr>
        <w:spacing w:after="0" w:line="207" w:lineRule="exact"/>
        <w:rPr>
          <w:sz w:val="20"/>
          <w:szCs w:val="20"/>
          <w:color w:val="auto"/>
        </w:rPr>
      </w:pPr>
    </w:p>
    <w:p>
      <w:pPr>
        <w:ind w:left="200" w:right="80" w:firstLine="441"/>
        <w:spacing w:after="0" w:line="239" w:lineRule="auto"/>
        <w:rPr>
          <w:sz w:val="20"/>
          <w:szCs w:val="20"/>
          <w:color w:val="auto"/>
        </w:rPr>
      </w:pPr>
      <w:r>
        <w:rPr>
          <w:rFonts w:ascii="Arial" w:cs="Arial" w:eastAsia="Arial" w:hAnsi="Arial"/>
          <w:sz w:val="18"/>
          <w:szCs w:val="18"/>
          <w:color w:val="auto"/>
        </w:rPr>
        <w:t>Based on its review and discussions referred to above, the Audit Committee recommended to our Board of Directors (and the Board of Directors approved) that our audited financial statements be included in our Annual Report on Form 10-K for the fiscal year ended November 2, 2019. The Audit Committee also selected Ernst &amp; Young LLP as our independent registered public accounting firm for the fiscal year ending October 31, 2020.</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Audit Committee</w:t>
      </w:r>
    </w:p>
    <w:p>
      <w:pPr>
        <w:spacing w:after="0" w:line="1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Kenton J. Sicchitano, </w:t>
      </w:r>
      <w:r>
        <w:rPr>
          <w:rFonts w:ascii="Arial" w:cs="Arial" w:eastAsia="Arial" w:hAnsi="Arial"/>
          <w:sz w:val="18"/>
          <w:szCs w:val="18"/>
          <w:i w:val="1"/>
          <w:iCs w:val="1"/>
          <w:color w:val="auto"/>
        </w:rPr>
        <w:t>Chairman</w:t>
      </w:r>
    </w:p>
    <w:p>
      <w:pPr>
        <w:ind w:left="640"/>
        <w:spacing w:after="0" w:line="234" w:lineRule="auto"/>
        <w:rPr>
          <w:sz w:val="20"/>
          <w:szCs w:val="20"/>
          <w:color w:val="auto"/>
        </w:rPr>
      </w:pPr>
      <w:r>
        <w:rPr>
          <w:rFonts w:ascii="Arial" w:cs="Arial" w:eastAsia="Arial" w:hAnsi="Arial"/>
          <w:sz w:val="18"/>
          <w:szCs w:val="18"/>
          <w:color w:val="auto"/>
        </w:rPr>
        <w:t>Bruce R. Evans</w:t>
      </w:r>
    </w:p>
    <w:p>
      <w:pPr>
        <w:ind w:left="640"/>
        <w:spacing w:after="0" w:line="235" w:lineRule="auto"/>
        <w:rPr>
          <w:sz w:val="20"/>
          <w:szCs w:val="20"/>
          <w:color w:val="auto"/>
        </w:rPr>
      </w:pPr>
      <w:r>
        <w:rPr>
          <w:rFonts w:ascii="Arial" w:cs="Arial" w:eastAsia="Arial" w:hAnsi="Arial"/>
          <w:sz w:val="18"/>
          <w:szCs w:val="18"/>
          <w:color w:val="auto"/>
        </w:rPr>
        <w:t>Karen M. Golz</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Neil Novich</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52B82"/>
        </w:rPr>
        <w:t>INDEPENDENT REGISTERED PUBLIC ACCOUNTING FIRM FEES AND OTHER MATTERS</w:t>
      </w:r>
    </w:p>
    <w:p>
      <w:pPr>
        <w:spacing w:after="0" w:line="126" w:lineRule="exact"/>
        <w:rPr>
          <w:sz w:val="20"/>
          <w:szCs w:val="20"/>
          <w:color w:val="auto"/>
        </w:rPr>
      </w:pPr>
    </w:p>
    <w:p>
      <w:pPr>
        <w:ind w:left="200" w:right="20" w:firstLine="441"/>
        <w:spacing w:after="0" w:line="246" w:lineRule="auto"/>
        <w:rPr>
          <w:sz w:val="20"/>
          <w:szCs w:val="20"/>
          <w:color w:val="auto"/>
        </w:rPr>
      </w:pPr>
      <w:r>
        <w:rPr>
          <w:rFonts w:ascii="Arial" w:cs="Arial" w:eastAsia="Arial" w:hAnsi="Arial"/>
          <w:sz w:val="18"/>
          <w:szCs w:val="18"/>
          <w:color w:val="auto"/>
        </w:rPr>
        <w:t>The following table presents the aggregate fees billed for services rendered by Ernst &amp; Young LLP, our independent registered public accounting firm, for fiscal 2019 and the fiscal year ended November 3, 2018, or fiscal 2018.</w:t>
      </w:r>
    </w:p>
    <w:p>
      <w:pPr>
        <w:spacing w:after="0" w:line="225" w:lineRule="exact"/>
        <w:rPr>
          <w:sz w:val="20"/>
          <w:szCs w:val="20"/>
          <w:color w:val="auto"/>
        </w:rPr>
      </w:pPr>
    </w:p>
    <w:tbl>
      <w:tblPr>
        <w:tblLayout w:type="fixed"/>
        <w:tblInd w:w="1540" w:type="dxa"/>
        <w:tblCellMar>
          <w:top w:w="0" w:type="dxa"/>
          <w:left w:w="0" w:type="dxa"/>
          <w:bottom w:w="0" w:type="dxa"/>
          <w:right w:w="0" w:type="dxa"/>
        </w:tblCellMar>
      </w:tblPr>
      <w:tr>
        <w:trPr>
          <w:trHeight w:val="162"/>
        </w:trPr>
        <w:tc>
          <w:tcPr>
            <w:tcW w:w="5440" w:type="dxa"/>
            <w:vAlign w:val="bottom"/>
            <w:shd w:val="clear" w:color="auto" w:fill="052B82"/>
          </w:tcPr>
          <w:p>
            <w:pPr>
              <w:spacing w:after="0"/>
              <w:rPr>
                <w:sz w:val="14"/>
                <w:szCs w:val="14"/>
                <w:color w:val="auto"/>
              </w:rPr>
            </w:pPr>
          </w:p>
        </w:tc>
        <w:tc>
          <w:tcPr>
            <w:tcW w:w="420" w:type="dxa"/>
            <w:vAlign w:val="bottom"/>
            <w:shd w:val="clear" w:color="auto" w:fill="052B82"/>
          </w:tcPr>
          <w:p>
            <w:pPr>
              <w:spacing w:after="0"/>
              <w:rPr>
                <w:sz w:val="14"/>
                <w:szCs w:val="14"/>
                <w:color w:val="auto"/>
              </w:rPr>
            </w:pPr>
          </w:p>
        </w:tc>
        <w:tc>
          <w:tcPr>
            <w:tcW w:w="920" w:type="dxa"/>
            <w:vAlign w:val="bottom"/>
            <w:shd w:val="clear" w:color="auto" w:fill="052B82"/>
          </w:tcPr>
          <w:p>
            <w:pPr>
              <w:jc w:val="right"/>
              <w:spacing w:after="0"/>
              <w:rPr>
                <w:sz w:val="20"/>
                <w:szCs w:val="20"/>
                <w:color w:val="auto"/>
              </w:rPr>
            </w:pPr>
            <w:r>
              <w:rPr>
                <w:rFonts w:ascii="Arial" w:cs="Arial" w:eastAsia="Arial" w:hAnsi="Arial"/>
                <w:sz w:val="14"/>
                <w:szCs w:val="14"/>
                <w:b w:val="1"/>
                <w:bCs w:val="1"/>
                <w:color w:val="FFFFFF"/>
              </w:rPr>
              <w:t>Fiscal 2019</w:t>
            </w:r>
          </w:p>
        </w:tc>
        <w:tc>
          <w:tcPr>
            <w:tcW w:w="480" w:type="dxa"/>
            <w:vAlign w:val="bottom"/>
            <w:shd w:val="clear" w:color="auto" w:fill="052B82"/>
          </w:tcPr>
          <w:p>
            <w:pPr>
              <w:spacing w:after="0"/>
              <w:rPr>
                <w:sz w:val="14"/>
                <w:szCs w:val="14"/>
                <w:color w:val="auto"/>
              </w:rPr>
            </w:pPr>
          </w:p>
        </w:tc>
        <w:tc>
          <w:tcPr>
            <w:tcW w:w="120" w:type="dxa"/>
            <w:vAlign w:val="bottom"/>
            <w:shd w:val="clear" w:color="auto" w:fill="052B82"/>
          </w:tcPr>
          <w:p>
            <w:pPr>
              <w:spacing w:after="0"/>
              <w:rPr>
                <w:sz w:val="14"/>
                <w:szCs w:val="14"/>
                <w:color w:val="auto"/>
              </w:rPr>
            </w:pPr>
          </w:p>
        </w:tc>
        <w:tc>
          <w:tcPr>
            <w:tcW w:w="980" w:type="dxa"/>
            <w:vAlign w:val="bottom"/>
            <w:tcBorders>
              <w:right w:val="single" w:sz="8" w:color="052B82"/>
            </w:tcBorders>
            <w:shd w:val="clear" w:color="auto" w:fill="052B82"/>
          </w:tcPr>
          <w:p>
            <w:pPr>
              <w:jc w:val="right"/>
              <w:ind w:right="114"/>
              <w:spacing w:after="0"/>
              <w:rPr>
                <w:sz w:val="20"/>
                <w:szCs w:val="20"/>
                <w:color w:val="auto"/>
              </w:rPr>
            </w:pPr>
            <w:r>
              <w:rPr>
                <w:rFonts w:ascii="Arial" w:cs="Arial" w:eastAsia="Arial" w:hAnsi="Arial"/>
                <w:sz w:val="14"/>
                <w:szCs w:val="14"/>
                <w:b w:val="1"/>
                <w:bCs w:val="1"/>
                <w:color w:val="FFFFFF"/>
              </w:rPr>
              <w:t>Fiscal 2018</w:t>
            </w:r>
          </w:p>
        </w:tc>
      </w:tr>
      <w:tr>
        <w:trPr>
          <w:trHeight w:val="203"/>
        </w:trPr>
        <w:tc>
          <w:tcPr>
            <w:tcW w:w="5440" w:type="dxa"/>
            <w:vAlign w:val="bottom"/>
          </w:tcPr>
          <w:p>
            <w:pPr>
              <w:ind w:left="40"/>
              <w:spacing w:after="0" w:line="202" w:lineRule="exact"/>
              <w:rPr>
                <w:sz w:val="20"/>
                <w:szCs w:val="20"/>
                <w:color w:val="auto"/>
              </w:rPr>
            </w:pPr>
            <w:r>
              <w:rPr>
                <w:rFonts w:ascii="Arial" w:cs="Arial" w:eastAsia="Arial" w:hAnsi="Arial"/>
                <w:sz w:val="18"/>
                <w:szCs w:val="18"/>
                <w:color w:val="auto"/>
              </w:rPr>
              <w:t>Audit Fees</w:t>
            </w: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$ 4,772,000</w:t>
            </w:r>
          </w:p>
        </w:tc>
        <w:tc>
          <w:tcPr>
            <w:tcW w:w="6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5,132,000</w:t>
            </w:r>
          </w:p>
        </w:tc>
      </w:tr>
      <w:tr>
        <w:trPr>
          <w:trHeight w:val="203"/>
        </w:trPr>
        <w:tc>
          <w:tcPr>
            <w:tcW w:w="5440" w:type="dxa"/>
            <w:vAlign w:val="bottom"/>
            <w:shd w:val="clear" w:color="auto" w:fill="E8EDF4"/>
          </w:tcPr>
          <w:p>
            <w:pPr>
              <w:ind w:left="40"/>
              <w:spacing w:after="0" w:line="202" w:lineRule="exact"/>
              <w:rPr>
                <w:sz w:val="20"/>
                <w:szCs w:val="20"/>
                <w:color w:val="auto"/>
              </w:rPr>
            </w:pPr>
            <w:r>
              <w:rPr>
                <w:rFonts w:ascii="Arial" w:cs="Arial" w:eastAsia="Arial" w:hAnsi="Arial"/>
                <w:sz w:val="18"/>
                <w:szCs w:val="18"/>
                <w:color w:val="auto"/>
              </w:rPr>
              <w:t>Audit-Related Fees</w:t>
            </w:r>
          </w:p>
        </w:tc>
        <w:tc>
          <w:tcPr>
            <w:tcW w:w="1340" w:type="dxa"/>
            <w:vAlign w:val="bottom"/>
            <w:gridSpan w:val="2"/>
            <w:shd w:val="clear" w:color="auto" w:fill="E8EDF4"/>
          </w:tcPr>
          <w:p>
            <w:pPr>
              <w:jc w:val="right"/>
              <w:spacing w:after="0" w:line="202" w:lineRule="exact"/>
              <w:rPr>
                <w:sz w:val="20"/>
                <w:szCs w:val="20"/>
                <w:color w:val="auto"/>
              </w:rPr>
            </w:pPr>
            <w:r>
              <w:rPr>
                <w:rFonts w:ascii="Arial" w:cs="Arial" w:eastAsia="Arial" w:hAnsi="Arial"/>
                <w:sz w:val="18"/>
                <w:szCs w:val="18"/>
                <w:color w:val="auto"/>
              </w:rPr>
              <w:t>116,000</w:t>
            </w:r>
          </w:p>
        </w:tc>
        <w:tc>
          <w:tcPr>
            <w:tcW w:w="480" w:type="dxa"/>
            <w:vAlign w:val="bottom"/>
            <w:shd w:val="clear" w:color="auto" w:fill="E8EDF4"/>
          </w:tcPr>
          <w:p>
            <w:pPr>
              <w:spacing w:after="0"/>
              <w:rPr>
                <w:sz w:val="17"/>
                <w:szCs w:val="17"/>
                <w:color w:val="auto"/>
              </w:rPr>
            </w:pPr>
          </w:p>
        </w:tc>
        <w:tc>
          <w:tcPr>
            <w:tcW w:w="120" w:type="dxa"/>
            <w:vAlign w:val="bottom"/>
            <w:shd w:val="clear" w:color="auto" w:fill="E8EDF4"/>
          </w:tcPr>
          <w:p>
            <w:pPr>
              <w:spacing w:after="0"/>
              <w:rPr>
                <w:sz w:val="17"/>
                <w:szCs w:val="17"/>
                <w:color w:val="auto"/>
              </w:rPr>
            </w:pPr>
          </w:p>
        </w:tc>
        <w:tc>
          <w:tcPr>
            <w:tcW w:w="980" w:type="dxa"/>
            <w:vAlign w:val="bottom"/>
            <w:tcBorders>
              <w:right w:val="single" w:sz="8" w:color="E8EDF4"/>
            </w:tcBorders>
            <w:shd w:val="clear" w:color="auto" w:fill="E8EDF4"/>
          </w:tcPr>
          <w:p>
            <w:pPr>
              <w:jc w:val="right"/>
              <w:spacing w:after="0" w:line="202" w:lineRule="exact"/>
              <w:rPr>
                <w:sz w:val="20"/>
                <w:szCs w:val="20"/>
                <w:color w:val="auto"/>
              </w:rPr>
            </w:pPr>
            <w:r>
              <w:rPr>
                <w:rFonts w:ascii="Arial" w:cs="Arial" w:eastAsia="Arial" w:hAnsi="Arial"/>
                <w:sz w:val="18"/>
                <w:szCs w:val="18"/>
                <w:color w:val="auto"/>
              </w:rPr>
              <w:t>95,000</w:t>
            </w:r>
          </w:p>
        </w:tc>
      </w:tr>
      <w:tr>
        <w:trPr>
          <w:trHeight w:val="210"/>
        </w:trPr>
        <w:tc>
          <w:tcPr>
            <w:tcW w:w="5440" w:type="dxa"/>
            <w:vAlign w:val="bottom"/>
          </w:tcPr>
          <w:p>
            <w:pPr>
              <w:ind w:left="40"/>
              <w:spacing w:after="0" w:line="202" w:lineRule="exact"/>
              <w:rPr>
                <w:sz w:val="20"/>
                <w:szCs w:val="20"/>
                <w:color w:val="auto"/>
              </w:rPr>
            </w:pPr>
            <w:r>
              <w:rPr>
                <w:rFonts w:ascii="Arial" w:cs="Arial" w:eastAsia="Arial" w:hAnsi="Arial"/>
                <w:sz w:val="18"/>
                <w:szCs w:val="18"/>
                <w:color w:val="auto"/>
              </w:rPr>
              <w:t>Tax Fees</w:t>
            </w:r>
          </w:p>
        </w:tc>
        <w:tc>
          <w:tcPr>
            <w:tcW w:w="420" w:type="dxa"/>
            <w:vAlign w:val="bottom"/>
          </w:tcPr>
          <w:p>
            <w:pPr>
              <w:spacing w:after="0"/>
              <w:rPr>
                <w:sz w:val="18"/>
                <w:szCs w:val="18"/>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1,263,000</w:t>
            </w:r>
          </w:p>
        </w:tc>
        <w:tc>
          <w:tcPr>
            <w:tcW w:w="4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5,465,000</w:t>
            </w:r>
          </w:p>
        </w:tc>
      </w:tr>
      <w:tr>
        <w:trPr>
          <w:trHeight w:val="223"/>
        </w:trPr>
        <w:tc>
          <w:tcPr>
            <w:tcW w:w="5440" w:type="dxa"/>
            <w:vAlign w:val="bottom"/>
            <w:shd w:val="clear" w:color="auto" w:fill="E8EDF4"/>
          </w:tcPr>
          <w:p>
            <w:pPr>
              <w:ind w:left="40"/>
              <w:spacing w:after="0" w:line="202" w:lineRule="exact"/>
              <w:rPr>
                <w:sz w:val="20"/>
                <w:szCs w:val="20"/>
                <w:color w:val="auto"/>
              </w:rPr>
            </w:pPr>
            <w:r>
              <w:rPr>
                <w:rFonts w:ascii="Arial" w:cs="Arial" w:eastAsia="Arial" w:hAnsi="Arial"/>
                <w:sz w:val="18"/>
                <w:szCs w:val="18"/>
                <w:color w:val="auto"/>
              </w:rPr>
              <w:t>Total Fees</w:t>
            </w:r>
          </w:p>
        </w:tc>
        <w:tc>
          <w:tcPr>
            <w:tcW w:w="1340" w:type="dxa"/>
            <w:vAlign w:val="bottom"/>
            <w:gridSpan w:val="2"/>
            <w:shd w:val="clear" w:color="auto" w:fill="E8EDF4"/>
          </w:tcPr>
          <w:p>
            <w:pPr>
              <w:jc w:val="right"/>
              <w:spacing w:after="0" w:line="202" w:lineRule="exact"/>
              <w:rPr>
                <w:sz w:val="20"/>
                <w:szCs w:val="20"/>
                <w:color w:val="auto"/>
              </w:rPr>
            </w:pPr>
            <w:r>
              <w:rPr>
                <w:rFonts w:ascii="Arial" w:cs="Arial" w:eastAsia="Arial" w:hAnsi="Arial"/>
                <w:sz w:val="18"/>
                <w:szCs w:val="18"/>
                <w:color w:val="auto"/>
              </w:rPr>
              <w:t>$ 6,151,000</w:t>
            </w:r>
          </w:p>
        </w:tc>
        <w:tc>
          <w:tcPr>
            <w:tcW w:w="600" w:type="dxa"/>
            <w:vAlign w:val="bottom"/>
            <w:gridSpan w:val="2"/>
            <w:shd w:val="clear" w:color="auto" w:fill="E8EDF4"/>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80" w:type="dxa"/>
            <w:vAlign w:val="bottom"/>
            <w:tcBorders>
              <w:right w:val="single" w:sz="8" w:color="E8EDF4"/>
            </w:tcBorders>
            <w:shd w:val="clear" w:color="auto" w:fill="E8EDF4"/>
          </w:tcPr>
          <w:p>
            <w:pPr>
              <w:jc w:val="right"/>
              <w:spacing w:after="0" w:line="202" w:lineRule="exact"/>
              <w:rPr>
                <w:sz w:val="20"/>
                <w:szCs w:val="20"/>
                <w:color w:val="auto"/>
              </w:rPr>
            </w:pPr>
            <w:r>
              <w:rPr>
                <w:rFonts w:ascii="Arial" w:cs="Arial" w:eastAsia="Arial" w:hAnsi="Arial"/>
                <w:sz w:val="18"/>
                <w:szCs w:val="18"/>
                <w:color w:val="auto"/>
                <w:w w:val="99"/>
              </w:rPr>
              <w:t>10,692,000</w:t>
            </w:r>
          </w:p>
        </w:tc>
      </w:tr>
      <w:tr>
        <w:trPr>
          <w:trHeight w:val="20"/>
        </w:trPr>
        <w:tc>
          <w:tcPr>
            <w:tcW w:w="5440" w:type="dxa"/>
            <w:vAlign w:val="bottom"/>
            <w:tcBorders>
              <w:top w:val="single" w:sz="8" w:color="E8EDF4"/>
            </w:tcBorders>
            <w:shd w:val="clear" w:color="auto" w:fill="E8EDF4"/>
          </w:tcPr>
          <w:p>
            <w:pPr>
              <w:spacing w:after="0" w:line="20" w:lineRule="exact"/>
              <w:rPr>
                <w:sz w:val="1"/>
                <w:szCs w:val="1"/>
                <w:color w:val="auto"/>
              </w:rPr>
            </w:pPr>
          </w:p>
        </w:tc>
        <w:tc>
          <w:tcPr>
            <w:tcW w:w="420" w:type="dxa"/>
            <w:vAlign w:val="bottom"/>
            <w:tcBorders>
              <w:top w:val="single" w:sz="8" w:color="E8EDF4"/>
            </w:tcBorders>
            <w:shd w:val="clear" w:color="auto" w:fill="E8EDF4"/>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E8EDF4"/>
            </w:tcBorders>
            <w:shd w:val="clear" w:color="auto" w:fill="E8EDF4"/>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right w:val="single" w:sz="8" w:color="E8EDF4"/>
            </w:tcBorders>
            <w:shd w:val="clear" w:color="auto" w:fill="000000"/>
          </w:tcPr>
          <w:p>
            <w:pPr>
              <w:spacing w:after="0" w:line="20" w:lineRule="exact"/>
              <w:rPr>
                <w:sz w:val="1"/>
                <w:szCs w:val="1"/>
                <w:color w:val="auto"/>
              </w:rPr>
            </w:pPr>
          </w:p>
        </w:tc>
      </w:tr>
    </w:tbl>
    <w:p>
      <w:pPr>
        <w:spacing w:after="0" w:line="197" w:lineRule="exact"/>
        <w:rPr>
          <w:sz w:val="20"/>
          <w:szCs w:val="20"/>
          <w:color w:val="auto"/>
        </w:rPr>
      </w:pPr>
    </w:p>
    <w:p>
      <w:pPr>
        <w:ind w:left="200" w:right="220" w:firstLine="441"/>
        <w:spacing w:after="0" w:line="242"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These are fees related to professional services rendered in connection with the audit of our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the audit of the effectiveness of our internal control over financial reporting, the reviews of our interim financial statements included in each of our Quarterly Reports on Form 10-Q, international statutory audits, assistance with registration statements and other periodic filings, and accounting consultations that relate to the audited financial statements and are necessary to comply with U.S. generally accepted accounting principles.</w:t>
      </w:r>
    </w:p>
    <w:p>
      <w:pPr>
        <w:spacing w:after="0" w:line="185" w:lineRule="exact"/>
        <w:rPr>
          <w:sz w:val="20"/>
          <w:szCs w:val="20"/>
          <w:color w:val="auto"/>
        </w:rPr>
      </w:pPr>
    </w:p>
    <w:p>
      <w:pPr>
        <w:ind w:left="200" w:right="160" w:firstLine="441"/>
        <w:spacing w:after="0" w:line="267"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These are fees for assurance and related services and consisted primarily of audits of employee benefit plans,</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matters not related to the annual audit, and attestation services that are not required by statute or regulation.</w:t>
      </w:r>
    </w:p>
    <w:p>
      <w:pPr>
        <w:spacing w:after="0" w:line="11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4"/>
          <w:szCs w:val="14"/>
          <w:b w:val="1"/>
          <w:bCs w:val="1"/>
          <w:color w:val="052B82"/>
        </w:rPr>
        <w:t>2020 Proxy Statement</w:t>
      </w:r>
      <w:r>
        <w:rPr>
          <w:sz w:val="20"/>
          <w:szCs w:val="20"/>
          <w:color w:val="auto"/>
        </w:rPr>
        <w:tab/>
      </w:r>
      <w:r>
        <w:rPr>
          <w:rFonts w:ascii="Arial" w:cs="Arial" w:eastAsia="Arial" w:hAnsi="Arial"/>
          <w:sz w:val="17"/>
          <w:szCs w:val="17"/>
          <w:color w:val="999999"/>
        </w:rPr>
        <w:t>33</w:t>
      </w:r>
    </w:p>
    <w:p>
      <w:pPr>
        <w:sectPr>
          <w:pgSz w:w="11900" w:h="16838" w:orient="portrait"/>
          <w:cols w:equalWidth="0" w:num="1">
            <w:col w:w="11220"/>
          </w:cols>
          <w:pgMar w:left="24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2649855"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0" w:firstLine="441"/>
        <w:spacing w:after="0" w:line="242" w:lineRule="auto"/>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These are fees for tax advice and services, including services relating to the acquisition of Linear Technology, professional</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related to tax return preparation services for our expatriates, international tax returns, tax advice and planning and assistance with international tax audits. Included in this amount are fees of $439,000 in fiscal 2019, and $376,000 in fiscal 2018, for tax compliance services for our international affiliates and tax return preparation services for our expatriate employees on international assignments. Ernst &amp; Young LLP does not provide tax services to any person in a financial reporting oversight role at Analog Devices.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Audit Committee’s Pre-Approval Policy and Procedures</w:t>
      </w:r>
    </w:p>
    <w:p>
      <w:pPr>
        <w:spacing w:after="0" w:line="126" w:lineRule="exact"/>
        <w:rPr>
          <w:sz w:val="20"/>
          <w:szCs w:val="20"/>
          <w:color w:val="auto"/>
        </w:rPr>
      </w:pPr>
    </w:p>
    <w:p>
      <w:pPr>
        <w:ind w:left="200" w:right="40" w:firstLine="441"/>
        <w:spacing w:after="0" w:line="236" w:lineRule="auto"/>
        <w:rPr>
          <w:sz w:val="20"/>
          <w:szCs w:val="20"/>
          <w:color w:val="auto"/>
        </w:rPr>
      </w:pPr>
      <w:r>
        <w:rPr>
          <w:rFonts w:ascii="Arial" w:cs="Arial" w:eastAsia="Arial" w:hAnsi="Arial"/>
          <w:sz w:val="18"/>
          <w:szCs w:val="18"/>
          <w:color w:val="auto"/>
        </w:rPr>
        <w:t>The Audit Committee of our Board of Directors has adopted policies and procedures for the pre-approval of audit and non-audit services for the purpose of maintaining the independence of our independent registered public accounting firm. We may not engage our independent registered public accounting firm to render any audit or non-audit service unless either the service is approved in advance by the Audit Committee or the engagement to render the service is entered into pursuant to the Audit Committee’s pre-approval policies and procedures. On an annual basis, the Audit Committee may pre-approve services that are expected to be provided to Analog Devices by the independent registered public accounting firm during the following 12 months. At the time the pre-approval is granted, the Audit Committee must (1) identify the particular pre-approved services in a sufficient level of detail so that management will not be called upon to make a judgment as to whether a proposed service fits within the pre-approved services and (2) establish a monetary limit with respect to each particular pre-approved service, which limit may not be exceeded without obtaining further pre-approval under the policy. At regularly scheduled meetings of the Audit Committee, management or the independent registered public accounting firm must report to the Audit Committee regarding each service actually provided to Analog Devices.</w:t>
      </w:r>
    </w:p>
    <w:p>
      <w:pPr>
        <w:spacing w:after="0" w:line="206" w:lineRule="exact"/>
        <w:rPr>
          <w:sz w:val="20"/>
          <w:szCs w:val="20"/>
          <w:color w:val="auto"/>
        </w:rPr>
      </w:pPr>
    </w:p>
    <w:p>
      <w:pPr>
        <w:ind w:left="200" w:right="100" w:firstLine="441"/>
        <w:spacing w:after="0" w:line="237" w:lineRule="auto"/>
        <w:rPr>
          <w:sz w:val="20"/>
          <w:szCs w:val="20"/>
          <w:color w:val="auto"/>
        </w:rPr>
      </w:pPr>
      <w:r>
        <w:rPr>
          <w:rFonts w:ascii="Arial" w:cs="Arial" w:eastAsia="Arial" w:hAnsi="Arial"/>
          <w:sz w:val="18"/>
          <w:szCs w:val="18"/>
          <w:color w:val="auto"/>
        </w:rPr>
        <w:t>If the cost of any service exceeds the pre-approved monetary limit, that service must be approved (1) by the entire Audit Committee if the cost of the service exceeds $100,000 or (2) by the Chairman of the Audit Committee if the cost of the service is less than $100,000 but greater than $10,000. If the cost of any service exceeds the pre-approved monetary limit, individual items with a cost of less than $10,000 each do not require further pre-approval, provided that the total cost of all individual items does not exceed $ 40,000 and an update of all items in this category is provided to the Audit Committee at each quarterly scheduled meeting. However, if the cost of all the individual items will exceed $40,000, the Chairman of the Audit Committee must receive a summary of those items with a request for approval of any amounts to be incurred in excess of $40,000.</w:t>
      </w:r>
    </w:p>
    <w:p>
      <w:pPr>
        <w:spacing w:after="0" w:line="203" w:lineRule="exact"/>
        <w:rPr>
          <w:sz w:val="20"/>
          <w:szCs w:val="20"/>
          <w:color w:val="auto"/>
        </w:rPr>
      </w:pPr>
    </w:p>
    <w:p>
      <w:pPr>
        <w:ind w:left="200" w:right="20" w:firstLine="441"/>
        <w:spacing w:after="0" w:line="239" w:lineRule="auto"/>
        <w:rPr>
          <w:sz w:val="20"/>
          <w:szCs w:val="20"/>
          <w:color w:val="auto"/>
        </w:rPr>
      </w:pPr>
      <w:r>
        <w:rPr>
          <w:rFonts w:ascii="Arial" w:cs="Arial" w:eastAsia="Arial" w:hAnsi="Arial"/>
          <w:sz w:val="18"/>
          <w:szCs w:val="18"/>
          <w:color w:val="auto"/>
        </w:rPr>
        <w:t>The Audit Committee has delegated authority to the Chairman of the Audit Committee to pre-approve any audit or non-audit services to be provided to Analog Devices by the independent registered public accounting firm for which the cost is less than $100,000. During fiscal 2019 and fiscal 2018, all services provided to Analog Devices by Ernst &amp; Young LLP were pre-approved in accordance with the pre-approval policies and procedures described above.</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52B82"/>
        </w:rPr>
        <w:t>DIRECTOR COMPENSATION</w:t>
      </w:r>
    </w:p>
    <w:p>
      <w:pPr>
        <w:spacing w:after="0" w:line="126" w:lineRule="exact"/>
        <w:rPr>
          <w:sz w:val="20"/>
          <w:szCs w:val="20"/>
          <w:color w:val="auto"/>
        </w:rPr>
      </w:pPr>
    </w:p>
    <w:p>
      <w:pPr>
        <w:ind w:left="200" w:right="40" w:firstLine="441"/>
        <w:spacing w:after="0" w:line="238" w:lineRule="auto"/>
        <w:rPr>
          <w:sz w:val="20"/>
          <w:szCs w:val="20"/>
          <w:color w:val="auto"/>
        </w:rPr>
      </w:pPr>
      <w:r>
        <w:rPr>
          <w:rFonts w:ascii="Arial" w:cs="Arial" w:eastAsia="Arial" w:hAnsi="Arial"/>
          <w:sz w:val="18"/>
          <w:szCs w:val="18"/>
          <w:color w:val="auto"/>
        </w:rPr>
        <w:t>Our non-employee director compensation program is designed to attract and retain experienced and knowledgeable directors and to provide equity-based compensation to align the interests of our directors with those of our shareholders. Each non-employee director receives an annual cash retainer and an annual equity award in the form of RSUs. To reflect their additional responsibilities, the Chairs and members of all committees receive an additional cash retainer. The Presiding Director also receives an additional cash retainer. Mr. Roche, as an employee director, does not receive any additional compensation for his services as director.</w:t>
      </w:r>
    </w:p>
    <w:p>
      <w:pPr>
        <w:spacing w:after="0" w:line="203" w:lineRule="exact"/>
        <w:rPr>
          <w:sz w:val="20"/>
          <w:szCs w:val="20"/>
          <w:color w:val="auto"/>
        </w:rPr>
      </w:pPr>
    </w:p>
    <w:p>
      <w:pPr>
        <w:ind w:left="200" w:right="180" w:firstLine="441"/>
        <w:spacing w:after="0" w:line="239" w:lineRule="auto"/>
        <w:rPr>
          <w:sz w:val="20"/>
          <w:szCs w:val="20"/>
          <w:color w:val="auto"/>
        </w:rPr>
      </w:pPr>
      <w:r>
        <w:rPr>
          <w:rFonts w:ascii="Arial" w:cs="Arial" w:eastAsia="Arial" w:hAnsi="Arial"/>
          <w:sz w:val="18"/>
          <w:szCs w:val="18"/>
          <w:color w:val="auto"/>
        </w:rPr>
        <w:t>The Board of Directors has delegated to the Compensation Committee the responsibility to review and recommend to the Board of Directors any proposed changes to non-employee director compensation. Annually, the Compensation Committee reviews with Pearl Meyer, the Compensation Committee’s independent compensation consultant, non-employee director compensation information for our peer group to check the alignment of our non-employee director compensation package with market practice and</w:t>
      </w:r>
    </w:p>
    <w:p>
      <w:pPr>
        <w:spacing w:after="0" w:line="132" w:lineRule="exact"/>
        <w:rPr>
          <w:sz w:val="20"/>
          <w:szCs w:val="20"/>
          <w:color w:val="auto"/>
        </w:rPr>
      </w:pPr>
    </w:p>
    <w:p>
      <w:pPr>
        <w:ind w:left="600" w:hanging="396"/>
        <w:spacing w:after="0"/>
        <w:tabs>
          <w:tab w:leader="none" w:pos="600" w:val="left"/>
        </w:tabs>
        <w:numPr>
          <w:ilvl w:val="0"/>
          <w:numId w:val="59"/>
        </w:numPr>
        <w:rPr>
          <w:rFonts w:ascii="Arial" w:cs="Arial" w:eastAsia="Arial" w:hAnsi="Arial"/>
          <w:sz w:val="18"/>
          <w:szCs w:val="18"/>
          <w:color w:val="999999"/>
        </w:rPr>
      </w:pPr>
      <w:r>
        <w:rPr>
          <w:rFonts w:ascii="Arial" w:cs="Arial" w:eastAsia="Arial" w:hAnsi="Arial"/>
          <w:sz w:val="14"/>
          <w:szCs w:val="14"/>
          <w:b w:val="1"/>
          <w:bCs w:val="1"/>
          <w:color w:val="052B82"/>
        </w:rPr>
        <w:t>Analog Devices, Inc.</w:t>
      </w:r>
    </w:p>
    <w:p>
      <w:pPr>
        <w:sectPr>
          <w:pgSz w:w="11900" w:h="16838" w:orient="portrait"/>
          <w:cols w:equalWidth="0" w:num="1">
            <w:col w:w="11200"/>
          </w:cols>
          <w:pgMar w:left="24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205740</wp:posOffset>
            </wp:positionV>
            <wp:extent cx="2649855"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0" w:right="720"/>
        <w:spacing w:after="0" w:line="246" w:lineRule="auto"/>
        <w:rPr>
          <w:sz w:val="20"/>
          <w:szCs w:val="20"/>
          <w:color w:val="auto"/>
        </w:rPr>
      </w:pPr>
      <w:r>
        <w:rPr>
          <w:rFonts w:ascii="Arial" w:cs="Arial" w:eastAsia="Arial" w:hAnsi="Arial"/>
          <w:sz w:val="18"/>
          <w:szCs w:val="18"/>
          <w:color w:val="auto"/>
        </w:rPr>
        <w:t>current trends. The Compensation Committee then makes recommendations to the full Board with respect to compensation of our non-employee directors, and the full Board reviews these recommendations and makes a final determination.</w:t>
      </w:r>
    </w:p>
    <w:p>
      <w:pPr>
        <w:spacing w:after="0" w:line="197" w:lineRule="exact"/>
        <w:rPr>
          <w:sz w:val="20"/>
          <w:szCs w:val="20"/>
          <w:color w:val="auto"/>
        </w:rPr>
      </w:pPr>
    </w:p>
    <w:p>
      <w:pPr>
        <w:ind w:left="200" w:right="240" w:firstLine="441"/>
        <w:spacing w:after="0" w:line="238" w:lineRule="auto"/>
        <w:rPr>
          <w:sz w:val="20"/>
          <w:szCs w:val="20"/>
          <w:color w:val="auto"/>
        </w:rPr>
      </w:pPr>
      <w:r>
        <w:rPr>
          <w:rFonts w:ascii="Arial" w:cs="Arial" w:eastAsia="Arial" w:hAnsi="Arial"/>
          <w:sz w:val="18"/>
          <w:szCs w:val="18"/>
          <w:color w:val="auto"/>
        </w:rPr>
        <w:t>In fiscal 2019 we granted 100% of the value of the annual equity award to each of our non-employee directors in the form of time-based RSUs. These RSUs vest in full on the earlier of the first anniversary of the date of grant or the date of the Company’s next annual meeting. On March 13, 2019, we granted each non-employee director 2,035 RSUs for services to be provided during fiscal 2019. In addition, on February 15, 2019, Dr. Chandrakasan, who joined the Board in January 2019, was granted 450 RSUs for services to be provided during fiscal 2019.</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details the total compensation earned by our non-employee directors in fiscal 2019.</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52B82"/>
        </w:rPr>
        <w:t>2019 DIRECTOR COMPENSATION</w:t>
      </w:r>
    </w:p>
    <w:p>
      <w:pPr>
        <w:spacing w:after="0" w:line="249"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3540" w:type="dxa"/>
            <w:vAlign w:val="bottom"/>
            <w:shd w:val="clear" w:color="auto" w:fill="052B82"/>
          </w:tcPr>
          <w:p>
            <w:pPr>
              <w:spacing w:after="0"/>
              <w:rPr>
                <w:sz w:val="14"/>
                <w:szCs w:val="14"/>
                <w:color w:val="auto"/>
              </w:rPr>
            </w:pPr>
          </w:p>
        </w:tc>
        <w:tc>
          <w:tcPr>
            <w:tcW w:w="2740" w:type="dxa"/>
            <w:vAlign w:val="bottom"/>
            <w:shd w:val="clear" w:color="auto" w:fill="052B82"/>
          </w:tcPr>
          <w:p>
            <w:pPr>
              <w:jc w:val="center"/>
              <w:ind w:left="654"/>
              <w:spacing w:after="0"/>
              <w:rPr>
                <w:sz w:val="20"/>
                <w:szCs w:val="20"/>
                <w:color w:val="auto"/>
              </w:rPr>
            </w:pPr>
            <w:r>
              <w:rPr>
                <w:rFonts w:ascii="Arial" w:cs="Arial" w:eastAsia="Arial" w:hAnsi="Arial"/>
                <w:sz w:val="14"/>
                <w:szCs w:val="14"/>
                <w:b w:val="1"/>
                <w:bCs w:val="1"/>
                <w:color w:val="FFFFFF"/>
              </w:rPr>
              <w:t>Fees Earned or</w:t>
            </w:r>
          </w:p>
        </w:tc>
        <w:tc>
          <w:tcPr>
            <w:tcW w:w="1900" w:type="dxa"/>
            <w:vAlign w:val="bottom"/>
            <w:shd w:val="clear" w:color="auto" w:fill="052B82"/>
          </w:tcPr>
          <w:p>
            <w:pPr>
              <w:spacing w:after="0"/>
              <w:rPr>
                <w:sz w:val="14"/>
                <w:szCs w:val="14"/>
                <w:color w:val="auto"/>
              </w:rPr>
            </w:pPr>
          </w:p>
        </w:tc>
        <w:tc>
          <w:tcPr>
            <w:tcW w:w="1820" w:type="dxa"/>
            <w:vAlign w:val="bottom"/>
            <w:shd w:val="clear" w:color="auto" w:fill="052B82"/>
          </w:tcPr>
          <w:p>
            <w:pPr>
              <w:jc w:val="center"/>
              <w:ind w:left="34"/>
              <w:spacing w:after="0"/>
              <w:rPr>
                <w:sz w:val="20"/>
                <w:szCs w:val="20"/>
                <w:color w:val="auto"/>
              </w:rPr>
            </w:pPr>
            <w:r>
              <w:rPr>
                <w:rFonts w:ascii="Arial" w:cs="Arial" w:eastAsia="Arial" w:hAnsi="Arial"/>
                <w:sz w:val="14"/>
                <w:szCs w:val="14"/>
                <w:b w:val="1"/>
                <w:bCs w:val="1"/>
                <w:color w:val="FFFFFF"/>
              </w:rPr>
              <w:t>All Other</w:t>
            </w:r>
          </w:p>
        </w:tc>
        <w:tc>
          <w:tcPr>
            <w:tcW w:w="1020" w:type="dxa"/>
            <w:vAlign w:val="bottom"/>
            <w:shd w:val="clear" w:color="auto" w:fill="052B82"/>
          </w:tcPr>
          <w:p>
            <w:pPr>
              <w:spacing w:after="0"/>
              <w:rPr>
                <w:sz w:val="14"/>
                <w:szCs w:val="14"/>
                <w:color w:val="auto"/>
              </w:rPr>
            </w:pPr>
          </w:p>
        </w:tc>
      </w:tr>
      <w:tr>
        <w:trPr>
          <w:trHeight w:val="162"/>
        </w:trPr>
        <w:tc>
          <w:tcPr>
            <w:tcW w:w="3540" w:type="dxa"/>
            <w:vAlign w:val="bottom"/>
            <w:shd w:val="clear" w:color="auto" w:fill="052B82"/>
          </w:tcPr>
          <w:p>
            <w:pPr>
              <w:spacing w:after="0"/>
              <w:rPr>
                <w:sz w:val="14"/>
                <w:szCs w:val="14"/>
                <w:color w:val="auto"/>
              </w:rPr>
            </w:pPr>
          </w:p>
        </w:tc>
        <w:tc>
          <w:tcPr>
            <w:tcW w:w="2740" w:type="dxa"/>
            <w:vAlign w:val="bottom"/>
            <w:shd w:val="clear" w:color="auto" w:fill="052B82"/>
          </w:tcPr>
          <w:p>
            <w:pPr>
              <w:jc w:val="center"/>
              <w:ind w:left="634"/>
              <w:spacing w:after="0"/>
              <w:rPr>
                <w:sz w:val="20"/>
                <w:szCs w:val="20"/>
                <w:color w:val="auto"/>
              </w:rPr>
            </w:pPr>
            <w:r>
              <w:rPr>
                <w:rFonts w:ascii="Arial" w:cs="Arial" w:eastAsia="Arial" w:hAnsi="Arial"/>
                <w:sz w:val="14"/>
                <w:szCs w:val="14"/>
                <w:b w:val="1"/>
                <w:bCs w:val="1"/>
                <w:color w:val="FFFFFF"/>
              </w:rPr>
              <w:t>Paid in Cash</w:t>
            </w:r>
          </w:p>
        </w:tc>
        <w:tc>
          <w:tcPr>
            <w:tcW w:w="1900" w:type="dxa"/>
            <w:vAlign w:val="bottom"/>
            <w:shd w:val="clear" w:color="auto" w:fill="052B82"/>
          </w:tcPr>
          <w:p>
            <w:pPr>
              <w:jc w:val="right"/>
              <w:ind w:right="373"/>
              <w:spacing w:after="0"/>
              <w:rPr>
                <w:sz w:val="20"/>
                <w:szCs w:val="20"/>
                <w:color w:val="auto"/>
              </w:rPr>
            </w:pPr>
            <w:r>
              <w:rPr>
                <w:rFonts w:ascii="Arial" w:cs="Arial" w:eastAsia="Arial" w:hAnsi="Arial"/>
                <w:sz w:val="14"/>
                <w:szCs w:val="14"/>
                <w:b w:val="1"/>
                <w:bCs w:val="1"/>
                <w:color w:val="FFFFFF"/>
              </w:rPr>
              <w:t>Stock Awards</w:t>
            </w:r>
          </w:p>
        </w:tc>
        <w:tc>
          <w:tcPr>
            <w:tcW w:w="1820" w:type="dxa"/>
            <w:vAlign w:val="bottom"/>
            <w:shd w:val="clear" w:color="auto" w:fill="052B82"/>
          </w:tcPr>
          <w:p>
            <w:pPr>
              <w:jc w:val="center"/>
              <w:ind w:left="14"/>
              <w:spacing w:after="0"/>
              <w:rPr>
                <w:sz w:val="20"/>
                <w:szCs w:val="20"/>
                <w:color w:val="auto"/>
              </w:rPr>
            </w:pPr>
            <w:r>
              <w:rPr>
                <w:rFonts w:ascii="Arial" w:cs="Arial" w:eastAsia="Arial" w:hAnsi="Arial"/>
                <w:sz w:val="14"/>
                <w:szCs w:val="14"/>
                <w:b w:val="1"/>
                <w:bCs w:val="1"/>
                <w:color w:val="FFFFFF"/>
              </w:rPr>
              <w:t>Compensation</w:t>
            </w:r>
          </w:p>
        </w:tc>
        <w:tc>
          <w:tcPr>
            <w:tcW w:w="1020" w:type="dxa"/>
            <w:vAlign w:val="bottom"/>
            <w:shd w:val="clear" w:color="auto" w:fill="052B82"/>
          </w:tcPr>
          <w:p>
            <w:pPr>
              <w:jc w:val="right"/>
              <w:ind w:right="153"/>
              <w:spacing w:after="0"/>
              <w:rPr>
                <w:sz w:val="20"/>
                <w:szCs w:val="20"/>
                <w:color w:val="auto"/>
              </w:rPr>
            </w:pPr>
            <w:r>
              <w:rPr>
                <w:rFonts w:ascii="Arial" w:cs="Arial" w:eastAsia="Arial" w:hAnsi="Arial"/>
                <w:sz w:val="14"/>
                <w:szCs w:val="14"/>
                <w:b w:val="1"/>
                <w:bCs w:val="1"/>
                <w:color w:val="FFFFFF"/>
              </w:rPr>
              <w:t>Total</w:t>
            </w:r>
          </w:p>
        </w:tc>
      </w:tr>
      <w:tr>
        <w:trPr>
          <w:trHeight w:val="189"/>
        </w:trPr>
        <w:tc>
          <w:tcPr>
            <w:tcW w:w="3540" w:type="dxa"/>
            <w:vAlign w:val="bottom"/>
            <w:shd w:val="clear" w:color="auto" w:fill="052B82"/>
          </w:tcPr>
          <w:p>
            <w:pPr>
              <w:ind w:left="40"/>
              <w:spacing w:after="0"/>
              <w:rPr>
                <w:sz w:val="20"/>
                <w:szCs w:val="20"/>
                <w:color w:val="auto"/>
              </w:rPr>
            </w:pPr>
            <w:r>
              <w:rPr>
                <w:rFonts w:ascii="Arial" w:cs="Arial" w:eastAsia="Arial" w:hAnsi="Arial"/>
                <w:sz w:val="14"/>
                <w:szCs w:val="14"/>
                <w:b w:val="1"/>
                <w:bCs w:val="1"/>
                <w:color w:val="FFFFFF"/>
              </w:rPr>
              <w:t>Name</w:t>
            </w:r>
          </w:p>
        </w:tc>
        <w:tc>
          <w:tcPr>
            <w:tcW w:w="2740" w:type="dxa"/>
            <w:vAlign w:val="bottom"/>
            <w:shd w:val="clear" w:color="auto" w:fill="052B82"/>
          </w:tcPr>
          <w:p>
            <w:pPr>
              <w:jc w:val="center"/>
              <w:ind w:left="634"/>
              <w:spacing w:after="0"/>
              <w:rPr>
                <w:sz w:val="20"/>
                <w:szCs w:val="20"/>
                <w:color w:val="auto"/>
              </w:rPr>
            </w:pPr>
            <w:r>
              <w:rPr>
                <w:rFonts w:ascii="Arial" w:cs="Arial" w:eastAsia="Arial" w:hAnsi="Arial"/>
                <w:sz w:val="14"/>
                <w:szCs w:val="14"/>
                <w:b w:val="1"/>
                <w:bCs w:val="1"/>
                <w:color w:val="FFFFFF"/>
                <w:w w:val="99"/>
              </w:rPr>
              <w:t>($)(1)</w:t>
            </w:r>
          </w:p>
        </w:tc>
        <w:tc>
          <w:tcPr>
            <w:tcW w:w="1900" w:type="dxa"/>
            <w:vAlign w:val="bottom"/>
            <w:shd w:val="clear" w:color="auto" w:fill="052B82"/>
          </w:tcPr>
          <w:p>
            <w:pPr>
              <w:jc w:val="right"/>
              <w:ind w:right="593"/>
              <w:spacing w:after="0"/>
              <w:rPr>
                <w:sz w:val="20"/>
                <w:szCs w:val="20"/>
                <w:color w:val="auto"/>
              </w:rPr>
            </w:pPr>
            <w:r>
              <w:rPr>
                <w:rFonts w:ascii="Arial" w:cs="Arial" w:eastAsia="Arial" w:hAnsi="Arial"/>
                <w:sz w:val="14"/>
                <w:szCs w:val="14"/>
                <w:b w:val="1"/>
                <w:bCs w:val="1"/>
                <w:color w:val="FFFFFF"/>
              </w:rPr>
              <w:t>($)(2)(3)</w:t>
            </w:r>
          </w:p>
        </w:tc>
        <w:tc>
          <w:tcPr>
            <w:tcW w:w="1820" w:type="dxa"/>
            <w:vAlign w:val="bottom"/>
            <w:shd w:val="clear" w:color="auto" w:fill="052B82"/>
          </w:tcPr>
          <w:p>
            <w:pPr>
              <w:jc w:val="center"/>
              <w:ind w:left="34"/>
              <w:spacing w:after="0"/>
              <w:rPr>
                <w:sz w:val="20"/>
                <w:szCs w:val="20"/>
                <w:color w:val="auto"/>
              </w:rPr>
            </w:pPr>
            <w:r>
              <w:rPr>
                <w:rFonts w:ascii="Arial" w:cs="Arial" w:eastAsia="Arial" w:hAnsi="Arial"/>
                <w:sz w:val="14"/>
                <w:szCs w:val="14"/>
                <w:b w:val="1"/>
                <w:bCs w:val="1"/>
                <w:color w:val="FFFFFF"/>
                <w:w w:val="99"/>
              </w:rPr>
              <w:t>($)(4)</w:t>
            </w:r>
          </w:p>
        </w:tc>
        <w:tc>
          <w:tcPr>
            <w:tcW w:w="1020" w:type="dxa"/>
            <w:vAlign w:val="bottom"/>
            <w:shd w:val="clear" w:color="auto" w:fill="052B82"/>
          </w:tcPr>
          <w:p>
            <w:pPr>
              <w:jc w:val="right"/>
              <w:ind w:right="233"/>
              <w:spacing w:after="0"/>
              <w:rPr>
                <w:sz w:val="20"/>
                <w:szCs w:val="20"/>
                <w:color w:val="auto"/>
              </w:rPr>
            </w:pPr>
            <w:r>
              <w:rPr>
                <w:rFonts w:ascii="Arial" w:cs="Arial" w:eastAsia="Arial" w:hAnsi="Arial"/>
                <w:sz w:val="14"/>
                <w:szCs w:val="14"/>
                <w:b w:val="1"/>
                <w:bCs w:val="1"/>
                <w:color w:val="FFFFFF"/>
              </w:rPr>
              <w:t>($)</w:t>
            </w:r>
          </w:p>
        </w:tc>
      </w:tr>
      <w:tr>
        <w:trPr>
          <w:trHeight w:val="203"/>
        </w:trPr>
        <w:tc>
          <w:tcPr>
            <w:tcW w:w="3540" w:type="dxa"/>
            <w:vAlign w:val="bottom"/>
          </w:tcPr>
          <w:p>
            <w:pPr>
              <w:ind w:left="40"/>
              <w:spacing w:after="0" w:line="202" w:lineRule="exact"/>
              <w:rPr>
                <w:sz w:val="20"/>
                <w:szCs w:val="20"/>
                <w:color w:val="auto"/>
              </w:rPr>
            </w:pPr>
            <w:r>
              <w:rPr>
                <w:rFonts w:ascii="Arial" w:cs="Arial" w:eastAsia="Arial" w:hAnsi="Arial"/>
                <w:sz w:val="18"/>
                <w:szCs w:val="18"/>
                <w:color w:val="auto"/>
              </w:rPr>
              <w:t>James A. Champy</w:t>
            </w:r>
          </w:p>
        </w:tc>
        <w:tc>
          <w:tcPr>
            <w:tcW w:w="2740" w:type="dxa"/>
            <w:vAlign w:val="bottom"/>
          </w:tcPr>
          <w:p>
            <w:pPr>
              <w:jc w:val="right"/>
              <w:ind w:right="574"/>
              <w:spacing w:after="0" w:line="202" w:lineRule="exact"/>
              <w:rPr>
                <w:sz w:val="20"/>
                <w:szCs w:val="20"/>
                <w:color w:val="auto"/>
              </w:rPr>
            </w:pPr>
            <w:r>
              <w:rPr>
                <w:rFonts w:ascii="Arial" w:cs="Arial" w:eastAsia="Arial" w:hAnsi="Arial"/>
                <w:sz w:val="18"/>
                <w:szCs w:val="18"/>
                <w:color w:val="auto"/>
              </w:rPr>
              <w:t>120,000</w:t>
            </w:r>
          </w:p>
        </w:tc>
        <w:tc>
          <w:tcPr>
            <w:tcW w:w="1900" w:type="dxa"/>
            <w:vAlign w:val="bottom"/>
          </w:tcPr>
          <w:p>
            <w:pPr>
              <w:jc w:val="right"/>
              <w:ind w:right="493"/>
              <w:spacing w:after="0" w:line="202" w:lineRule="exact"/>
              <w:rPr>
                <w:sz w:val="20"/>
                <w:szCs w:val="20"/>
                <w:color w:val="auto"/>
              </w:rPr>
            </w:pPr>
            <w:r>
              <w:rPr>
                <w:rFonts w:ascii="Arial" w:cs="Arial" w:eastAsia="Arial" w:hAnsi="Arial"/>
                <w:sz w:val="18"/>
                <w:szCs w:val="18"/>
                <w:color w:val="auto"/>
              </w:rPr>
              <w:t>215,608</w:t>
            </w:r>
          </w:p>
        </w:tc>
        <w:tc>
          <w:tcPr>
            <w:tcW w:w="1820" w:type="dxa"/>
            <w:vAlign w:val="bottom"/>
          </w:tcPr>
          <w:p>
            <w:pPr>
              <w:ind w:left="100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335,608</w:t>
            </w:r>
          </w:p>
        </w:tc>
      </w:tr>
      <w:tr>
        <w:trPr>
          <w:trHeight w:val="203"/>
        </w:trPr>
        <w:tc>
          <w:tcPr>
            <w:tcW w:w="3540" w:type="dxa"/>
            <w:vAlign w:val="bottom"/>
            <w:shd w:val="clear" w:color="auto" w:fill="E8EDF4"/>
          </w:tcPr>
          <w:p>
            <w:pPr>
              <w:ind w:left="40"/>
              <w:spacing w:after="0" w:line="202" w:lineRule="exact"/>
              <w:rPr>
                <w:sz w:val="20"/>
                <w:szCs w:val="20"/>
                <w:color w:val="auto"/>
              </w:rPr>
            </w:pPr>
            <w:r>
              <w:rPr>
                <w:rFonts w:ascii="Arial" w:cs="Arial" w:eastAsia="Arial" w:hAnsi="Arial"/>
                <w:sz w:val="18"/>
                <w:szCs w:val="18"/>
                <w:color w:val="auto"/>
              </w:rPr>
              <w:t>Anantha P. Chandrakasan(5)</w:t>
            </w:r>
          </w:p>
        </w:tc>
        <w:tc>
          <w:tcPr>
            <w:tcW w:w="2740" w:type="dxa"/>
            <w:vAlign w:val="bottom"/>
            <w:shd w:val="clear" w:color="auto" w:fill="E8EDF4"/>
          </w:tcPr>
          <w:p>
            <w:pPr>
              <w:jc w:val="right"/>
              <w:ind w:right="574"/>
              <w:spacing w:after="0" w:line="202" w:lineRule="exact"/>
              <w:rPr>
                <w:sz w:val="20"/>
                <w:szCs w:val="20"/>
                <w:color w:val="auto"/>
              </w:rPr>
            </w:pPr>
            <w:r>
              <w:rPr>
                <w:rFonts w:ascii="Arial" w:cs="Arial" w:eastAsia="Arial" w:hAnsi="Arial"/>
                <w:sz w:val="18"/>
                <w:szCs w:val="18"/>
                <w:color w:val="auto"/>
              </w:rPr>
              <w:t>72,802</w:t>
            </w:r>
          </w:p>
        </w:tc>
        <w:tc>
          <w:tcPr>
            <w:tcW w:w="1900" w:type="dxa"/>
            <w:vAlign w:val="bottom"/>
            <w:shd w:val="clear" w:color="auto" w:fill="E8EDF4"/>
          </w:tcPr>
          <w:p>
            <w:pPr>
              <w:jc w:val="right"/>
              <w:ind w:right="493"/>
              <w:spacing w:after="0" w:line="202" w:lineRule="exact"/>
              <w:rPr>
                <w:sz w:val="20"/>
                <w:szCs w:val="20"/>
                <w:color w:val="auto"/>
              </w:rPr>
            </w:pPr>
            <w:r>
              <w:rPr>
                <w:rFonts w:ascii="Arial" w:cs="Arial" w:eastAsia="Arial" w:hAnsi="Arial"/>
                <w:sz w:val="18"/>
                <w:szCs w:val="18"/>
                <w:color w:val="auto"/>
              </w:rPr>
              <w:t>262,341</w:t>
            </w:r>
          </w:p>
        </w:tc>
        <w:tc>
          <w:tcPr>
            <w:tcW w:w="1820" w:type="dxa"/>
            <w:vAlign w:val="bottom"/>
            <w:shd w:val="clear" w:color="auto" w:fill="E8EDF4"/>
          </w:tcPr>
          <w:p>
            <w:pPr>
              <w:ind w:left="100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E8EDF4"/>
          </w:tcPr>
          <w:p>
            <w:pPr>
              <w:jc w:val="right"/>
              <w:spacing w:after="0" w:line="202" w:lineRule="exact"/>
              <w:rPr>
                <w:sz w:val="20"/>
                <w:szCs w:val="20"/>
                <w:color w:val="auto"/>
              </w:rPr>
            </w:pPr>
            <w:r>
              <w:rPr>
                <w:rFonts w:ascii="Arial" w:cs="Arial" w:eastAsia="Arial" w:hAnsi="Arial"/>
                <w:sz w:val="18"/>
                <w:szCs w:val="18"/>
                <w:color w:val="auto"/>
              </w:rPr>
              <w:t>335,143</w:t>
            </w:r>
          </w:p>
        </w:tc>
      </w:tr>
      <w:tr>
        <w:trPr>
          <w:trHeight w:val="203"/>
        </w:trPr>
        <w:tc>
          <w:tcPr>
            <w:tcW w:w="3540" w:type="dxa"/>
            <w:vAlign w:val="bottom"/>
          </w:tcPr>
          <w:p>
            <w:pPr>
              <w:ind w:left="40"/>
              <w:spacing w:after="0" w:line="202" w:lineRule="exact"/>
              <w:rPr>
                <w:sz w:val="20"/>
                <w:szCs w:val="20"/>
                <w:color w:val="auto"/>
              </w:rPr>
            </w:pPr>
            <w:r>
              <w:rPr>
                <w:rFonts w:ascii="Arial" w:cs="Arial" w:eastAsia="Arial" w:hAnsi="Arial"/>
                <w:sz w:val="18"/>
                <w:szCs w:val="18"/>
                <w:color w:val="auto"/>
              </w:rPr>
              <w:t>Bruce R. Evans</w:t>
            </w:r>
          </w:p>
        </w:tc>
        <w:tc>
          <w:tcPr>
            <w:tcW w:w="2740" w:type="dxa"/>
            <w:vAlign w:val="bottom"/>
          </w:tcPr>
          <w:p>
            <w:pPr>
              <w:jc w:val="right"/>
              <w:ind w:right="574"/>
              <w:spacing w:after="0" w:line="202" w:lineRule="exact"/>
              <w:rPr>
                <w:sz w:val="20"/>
                <w:szCs w:val="20"/>
                <w:color w:val="auto"/>
              </w:rPr>
            </w:pPr>
            <w:r>
              <w:rPr>
                <w:rFonts w:ascii="Arial" w:cs="Arial" w:eastAsia="Arial" w:hAnsi="Arial"/>
                <w:sz w:val="18"/>
                <w:szCs w:val="18"/>
                <w:color w:val="auto"/>
              </w:rPr>
              <w:t>91,250</w:t>
            </w:r>
          </w:p>
        </w:tc>
        <w:tc>
          <w:tcPr>
            <w:tcW w:w="1900" w:type="dxa"/>
            <w:vAlign w:val="bottom"/>
          </w:tcPr>
          <w:p>
            <w:pPr>
              <w:jc w:val="right"/>
              <w:ind w:right="493"/>
              <w:spacing w:after="0" w:line="202" w:lineRule="exact"/>
              <w:rPr>
                <w:sz w:val="20"/>
                <w:szCs w:val="20"/>
                <w:color w:val="auto"/>
              </w:rPr>
            </w:pPr>
            <w:r>
              <w:rPr>
                <w:rFonts w:ascii="Arial" w:cs="Arial" w:eastAsia="Arial" w:hAnsi="Arial"/>
                <w:sz w:val="18"/>
                <w:szCs w:val="18"/>
                <w:color w:val="auto"/>
              </w:rPr>
              <w:t>215,608</w:t>
            </w:r>
          </w:p>
        </w:tc>
        <w:tc>
          <w:tcPr>
            <w:tcW w:w="1820" w:type="dxa"/>
            <w:vAlign w:val="bottom"/>
          </w:tcPr>
          <w:p>
            <w:pPr>
              <w:ind w:left="100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306,858</w:t>
            </w:r>
          </w:p>
        </w:tc>
      </w:tr>
      <w:tr>
        <w:trPr>
          <w:trHeight w:val="203"/>
        </w:trPr>
        <w:tc>
          <w:tcPr>
            <w:tcW w:w="3540" w:type="dxa"/>
            <w:vAlign w:val="bottom"/>
            <w:shd w:val="clear" w:color="auto" w:fill="E8EDF4"/>
          </w:tcPr>
          <w:p>
            <w:pPr>
              <w:ind w:left="40"/>
              <w:spacing w:after="0" w:line="202" w:lineRule="exact"/>
              <w:rPr>
                <w:sz w:val="20"/>
                <w:szCs w:val="20"/>
                <w:color w:val="auto"/>
              </w:rPr>
            </w:pPr>
            <w:r>
              <w:rPr>
                <w:rFonts w:ascii="Arial" w:cs="Arial" w:eastAsia="Arial" w:hAnsi="Arial"/>
                <w:sz w:val="18"/>
                <w:szCs w:val="18"/>
                <w:color w:val="auto"/>
              </w:rPr>
              <w:t>Edward H. Frank</w:t>
            </w:r>
          </w:p>
        </w:tc>
        <w:tc>
          <w:tcPr>
            <w:tcW w:w="2740" w:type="dxa"/>
            <w:vAlign w:val="bottom"/>
            <w:shd w:val="clear" w:color="auto" w:fill="E8EDF4"/>
          </w:tcPr>
          <w:p>
            <w:pPr>
              <w:jc w:val="right"/>
              <w:ind w:right="574"/>
              <w:spacing w:after="0" w:line="202" w:lineRule="exact"/>
              <w:rPr>
                <w:sz w:val="20"/>
                <w:szCs w:val="20"/>
                <w:color w:val="auto"/>
              </w:rPr>
            </w:pPr>
            <w:r>
              <w:rPr>
                <w:rFonts w:ascii="Arial" w:cs="Arial" w:eastAsia="Arial" w:hAnsi="Arial"/>
                <w:sz w:val="18"/>
                <w:szCs w:val="18"/>
                <w:color w:val="auto"/>
              </w:rPr>
              <w:t>95,625</w:t>
            </w:r>
          </w:p>
        </w:tc>
        <w:tc>
          <w:tcPr>
            <w:tcW w:w="1900" w:type="dxa"/>
            <w:vAlign w:val="bottom"/>
            <w:shd w:val="clear" w:color="auto" w:fill="E8EDF4"/>
          </w:tcPr>
          <w:p>
            <w:pPr>
              <w:jc w:val="right"/>
              <w:ind w:right="493"/>
              <w:spacing w:after="0" w:line="202" w:lineRule="exact"/>
              <w:rPr>
                <w:sz w:val="20"/>
                <w:szCs w:val="20"/>
                <w:color w:val="auto"/>
              </w:rPr>
            </w:pPr>
            <w:r>
              <w:rPr>
                <w:rFonts w:ascii="Arial" w:cs="Arial" w:eastAsia="Arial" w:hAnsi="Arial"/>
                <w:sz w:val="18"/>
                <w:szCs w:val="18"/>
                <w:color w:val="auto"/>
              </w:rPr>
              <w:t>215,608</w:t>
            </w:r>
          </w:p>
        </w:tc>
        <w:tc>
          <w:tcPr>
            <w:tcW w:w="1820" w:type="dxa"/>
            <w:vAlign w:val="bottom"/>
            <w:shd w:val="clear" w:color="auto" w:fill="E8EDF4"/>
          </w:tcPr>
          <w:p>
            <w:pPr>
              <w:ind w:left="100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E8EDF4"/>
          </w:tcPr>
          <w:p>
            <w:pPr>
              <w:jc w:val="right"/>
              <w:spacing w:after="0" w:line="202" w:lineRule="exact"/>
              <w:rPr>
                <w:sz w:val="20"/>
                <w:szCs w:val="20"/>
                <w:color w:val="auto"/>
              </w:rPr>
            </w:pPr>
            <w:r>
              <w:rPr>
                <w:rFonts w:ascii="Arial" w:cs="Arial" w:eastAsia="Arial" w:hAnsi="Arial"/>
                <w:sz w:val="18"/>
                <w:szCs w:val="18"/>
                <w:color w:val="auto"/>
              </w:rPr>
              <w:t>311,233</w:t>
            </w:r>
          </w:p>
        </w:tc>
      </w:tr>
      <w:tr>
        <w:trPr>
          <w:trHeight w:val="203"/>
        </w:trPr>
        <w:tc>
          <w:tcPr>
            <w:tcW w:w="3540" w:type="dxa"/>
            <w:vAlign w:val="bottom"/>
          </w:tcPr>
          <w:p>
            <w:pPr>
              <w:ind w:left="40"/>
              <w:spacing w:after="0" w:line="202" w:lineRule="exact"/>
              <w:rPr>
                <w:sz w:val="20"/>
                <w:szCs w:val="20"/>
                <w:color w:val="auto"/>
              </w:rPr>
            </w:pPr>
            <w:r>
              <w:rPr>
                <w:rFonts w:ascii="Arial" w:cs="Arial" w:eastAsia="Arial" w:hAnsi="Arial"/>
                <w:sz w:val="18"/>
                <w:szCs w:val="18"/>
                <w:color w:val="auto"/>
              </w:rPr>
              <w:t>Karen M. Golz</w:t>
            </w:r>
          </w:p>
        </w:tc>
        <w:tc>
          <w:tcPr>
            <w:tcW w:w="2740" w:type="dxa"/>
            <w:vAlign w:val="bottom"/>
          </w:tcPr>
          <w:p>
            <w:pPr>
              <w:jc w:val="right"/>
              <w:ind w:right="574"/>
              <w:spacing w:after="0" w:line="202" w:lineRule="exact"/>
              <w:rPr>
                <w:sz w:val="20"/>
                <w:szCs w:val="20"/>
                <w:color w:val="auto"/>
              </w:rPr>
            </w:pPr>
            <w:r>
              <w:rPr>
                <w:rFonts w:ascii="Arial" w:cs="Arial" w:eastAsia="Arial" w:hAnsi="Arial"/>
                <w:sz w:val="18"/>
                <w:szCs w:val="18"/>
                <w:color w:val="auto"/>
              </w:rPr>
              <w:t>91,250</w:t>
            </w:r>
          </w:p>
        </w:tc>
        <w:tc>
          <w:tcPr>
            <w:tcW w:w="1900" w:type="dxa"/>
            <w:vAlign w:val="bottom"/>
          </w:tcPr>
          <w:p>
            <w:pPr>
              <w:jc w:val="right"/>
              <w:ind w:right="493"/>
              <w:spacing w:after="0" w:line="202" w:lineRule="exact"/>
              <w:rPr>
                <w:sz w:val="20"/>
                <w:szCs w:val="20"/>
                <w:color w:val="auto"/>
              </w:rPr>
            </w:pPr>
            <w:r>
              <w:rPr>
                <w:rFonts w:ascii="Arial" w:cs="Arial" w:eastAsia="Arial" w:hAnsi="Arial"/>
                <w:sz w:val="18"/>
                <w:szCs w:val="18"/>
                <w:color w:val="auto"/>
              </w:rPr>
              <w:t>215,608</w:t>
            </w:r>
          </w:p>
        </w:tc>
        <w:tc>
          <w:tcPr>
            <w:tcW w:w="1820" w:type="dxa"/>
            <w:vAlign w:val="bottom"/>
          </w:tcPr>
          <w:p>
            <w:pPr>
              <w:ind w:left="100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306,858</w:t>
            </w:r>
          </w:p>
        </w:tc>
      </w:tr>
      <w:tr>
        <w:trPr>
          <w:trHeight w:val="203"/>
        </w:trPr>
        <w:tc>
          <w:tcPr>
            <w:tcW w:w="3540" w:type="dxa"/>
            <w:vAlign w:val="bottom"/>
            <w:shd w:val="clear" w:color="auto" w:fill="E8EDF4"/>
          </w:tcPr>
          <w:p>
            <w:pPr>
              <w:ind w:left="40"/>
              <w:spacing w:after="0" w:line="202" w:lineRule="exact"/>
              <w:rPr>
                <w:sz w:val="20"/>
                <w:szCs w:val="20"/>
                <w:color w:val="auto"/>
              </w:rPr>
            </w:pPr>
            <w:r>
              <w:rPr>
                <w:rFonts w:ascii="Arial" w:cs="Arial" w:eastAsia="Arial" w:hAnsi="Arial"/>
                <w:sz w:val="18"/>
                <w:szCs w:val="18"/>
                <w:color w:val="auto"/>
              </w:rPr>
              <w:t>Mark M. Little</w:t>
            </w:r>
          </w:p>
        </w:tc>
        <w:tc>
          <w:tcPr>
            <w:tcW w:w="2740" w:type="dxa"/>
            <w:vAlign w:val="bottom"/>
            <w:shd w:val="clear" w:color="auto" w:fill="E8EDF4"/>
          </w:tcPr>
          <w:p>
            <w:pPr>
              <w:jc w:val="right"/>
              <w:ind w:right="574"/>
              <w:spacing w:after="0" w:line="202" w:lineRule="exact"/>
              <w:rPr>
                <w:sz w:val="20"/>
                <w:szCs w:val="20"/>
                <w:color w:val="auto"/>
              </w:rPr>
            </w:pPr>
            <w:r>
              <w:rPr>
                <w:rFonts w:ascii="Arial" w:cs="Arial" w:eastAsia="Arial" w:hAnsi="Arial"/>
                <w:sz w:val="18"/>
                <w:szCs w:val="18"/>
                <w:color w:val="auto"/>
              </w:rPr>
              <w:t>88,750</w:t>
            </w:r>
          </w:p>
        </w:tc>
        <w:tc>
          <w:tcPr>
            <w:tcW w:w="1900" w:type="dxa"/>
            <w:vAlign w:val="bottom"/>
            <w:shd w:val="clear" w:color="auto" w:fill="E8EDF4"/>
          </w:tcPr>
          <w:p>
            <w:pPr>
              <w:jc w:val="right"/>
              <w:ind w:right="493"/>
              <w:spacing w:after="0" w:line="202" w:lineRule="exact"/>
              <w:rPr>
                <w:sz w:val="20"/>
                <w:szCs w:val="20"/>
                <w:color w:val="auto"/>
              </w:rPr>
            </w:pPr>
            <w:r>
              <w:rPr>
                <w:rFonts w:ascii="Arial" w:cs="Arial" w:eastAsia="Arial" w:hAnsi="Arial"/>
                <w:sz w:val="18"/>
                <w:szCs w:val="18"/>
                <w:color w:val="auto"/>
              </w:rPr>
              <w:t>215,608</w:t>
            </w:r>
          </w:p>
        </w:tc>
        <w:tc>
          <w:tcPr>
            <w:tcW w:w="1820" w:type="dxa"/>
            <w:vAlign w:val="bottom"/>
            <w:shd w:val="clear" w:color="auto" w:fill="E8EDF4"/>
          </w:tcPr>
          <w:p>
            <w:pPr>
              <w:ind w:left="100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E8EDF4"/>
          </w:tcPr>
          <w:p>
            <w:pPr>
              <w:jc w:val="right"/>
              <w:spacing w:after="0" w:line="202" w:lineRule="exact"/>
              <w:rPr>
                <w:sz w:val="20"/>
                <w:szCs w:val="20"/>
                <w:color w:val="auto"/>
              </w:rPr>
            </w:pPr>
            <w:r>
              <w:rPr>
                <w:rFonts w:ascii="Arial" w:cs="Arial" w:eastAsia="Arial" w:hAnsi="Arial"/>
                <w:sz w:val="18"/>
                <w:szCs w:val="18"/>
                <w:color w:val="auto"/>
              </w:rPr>
              <w:t>304,358</w:t>
            </w:r>
          </w:p>
        </w:tc>
      </w:tr>
      <w:tr>
        <w:trPr>
          <w:trHeight w:val="203"/>
        </w:trPr>
        <w:tc>
          <w:tcPr>
            <w:tcW w:w="3540" w:type="dxa"/>
            <w:vAlign w:val="bottom"/>
          </w:tcPr>
          <w:p>
            <w:pPr>
              <w:ind w:left="40"/>
              <w:spacing w:after="0" w:line="202" w:lineRule="exact"/>
              <w:rPr>
                <w:sz w:val="20"/>
                <w:szCs w:val="20"/>
                <w:color w:val="auto"/>
              </w:rPr>
            </w:pPr>
            <w:r>
              <w:rPr>
                <w:rFonts w:ascii="Arial" w:cs="Arial" w:eastAsia="Arial" w:hAnsi="Arial"/>
                <w:sz w:val="18"/>
                <w:szCs w:val="18"/>
                <w:color w:val="auto"/>
              </w:rPr>
              <w:t>Neil Novich</w:t>
            </w:r>
          </w:p>
        </w:tc>
        <w:tc>
          <w:tcPr>
            <w:tcW w:w="2740" w:type="dxa"/>
            <w:vAlign w:val="bottom"/>
          </w:tcPr>
          <w:p>
            <w:pPr>
              <w:jc w:val="right"/>
              <w:ind w:right="574"/>
              <w:spacing w:after="0" w:line="202" w:lineRule="exact"/>
              <w:rPr>
                <w:sz w:val="20"/>
                <w:szCs w:val="20"/>
                <w:color w:val="auto"/>
              </w:rPr>
            </w:pPr>
            <w:r>
              <w:rPr>
                <w:rFonts w:ascii="Arial" w:cs="Arial" w:eastAsia="Arial" w:hAnsi="Arial"/>
                <w:sz w:val="18"/>
                <w:szCs w:val="18"/>
                <w:color w:val="auto"/>
              </w:rPr>
              <w:t>94,272</w:t>
            </w:r>
          </w:p>
        </w:tc>
        <w:tc>
          <w:tcPr>
            <w:tcW w:w="1900" w:type="dxa"/>
            <w:vAlign w:val="bottom"/>
          </w:tcPr>
          <w:p>
            <w:pPr>
              <w:jc w:val="right"/>
              <w:ind w:right="493"/>
              <w:spacing w:after="0" w:line="202" w:lineRule="exact"/>
              <w:rPr>
                <w:sz w:val="20"/>
                <w:szCs w:val="20"/>
                <w:color w:val="auto"/>
              </w:rPr>
            </w:pPr>
            <w:r>
              <w:rPr>
                <w:rFonts w:ascii="Arial" w:cs="Arial" w:eastAsia="Arial" w:hAnsi="Arial"/>
                <w:sz w:val="18"/>
                <w:szCs w:val="18"/>
                <w:color w:val="auto"/>
              </w:rPr>
              <w:t>215,608</w:t>
            </w:r>
          </w:p>
        </w:tc>
        <w:tc>
          <w:tcPr>
            <w:tcW w:w="1820" w:type="dxa"/>
            <w:vAlign w:val="bottom"/>
          </w:tcPr>
          <w:p>
            <w:pPr>
              <w:ind w:left="100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309,880</w:t>
            </w:r>
          </w:p>
        </w:tc>
      </w:tr>
      <w:tr>
        <w:trPr>
          <w:trHeight w:val="203"/>
        </w:trPr>
        <w:tc>
          <w:tcPr>
            <w:tcW w:w="3540" w:type="dxa"/>
            <w:vAlign w:val="bottom"/>
            <w:shd w:val="clear" w:color="auto" w:fill="E8EDF4"/>
          </w:tcPr>
          <w:p>
            <w:pPr>
              <w:ind w:left="40"/>
              <w:spacing w:after="0" w:line="202" w:lineRule="exact"/>
              <w:rPr>
                <w:sz w:val="20"/>
                <w:szCs w:val="20"/>
                <w:color w:val="auto"/>
              </w:rPr>
            </w:pPr>
            <w:r>
              <w:rPr>
                <w:rFonts w:ascii="Arial" w:cs="Arial" w:eastAsia="Arial" w:hAnsi="Arial"/>
                <w:sz w:val="18"/>
                <w:szCs w:val="18"/>
                <w:color w:val="auto"/>
              </w:rPr>
              <w:t>Kenton J. Sicchitano</w:t>
            </w:r>
          </w:p>
        </w:tc>
        <w:tc>
          <w:tcPr>
            <w:tcW w:w="2740" w:type="dxa"/>
            <w:vAlign w:val="bottom"/>
            <w:shd w:val="clear" w:color="auto" w:fill="E8EDF4"/>
          </w:tcPr>
          <w:p>
            <w:pPr>
              <w:jc w:val="right"/>
              <w:ind w:right="574"/>
              <w:spacing w:after="0" w:line="202" w:lineRule="exact"/>
              <w:rPr>
                <w:sz w:val="20"/>
                <w:szCs w:val="20"/>
                <w:color w:val="auto"/>
              </w:rPr>
            </w:pPr>
            <w:r>
              <w:rPr>
                <w:rFonts w:ascii="Arial" w:cs="Arial" w:eastAsia="Arial" w:hAnsi="Arial"/>
                <w:sz w:val="18"/>
                <w:szCs w:val="18"/>
                <w:color w:val="auto"/>
              </w:rPr>
              <w:t>106,250</w:t>
            </w:r>
          </w:p>
        </w:tc>
        <w:tc>
          <w:tcPr>
            <w:tcW w:w="1900" w:type="dxa"/>
            <w:vAlign w:val="bottom"/>
            <w:shd w:val="clear" w:color="auto" w:fill="E8EDF4"/>
          </w:tcPr>
          <w:p>
            <w:pPr>
              <w:jc w:val="right"/>
              <w:ind w:right="493"/>
              <w:spacing w:after="0" w:line="202" w:lineRule="exact"/>
              <w:rPr>
                <w:sz w:val="20"/>
                <w:szCs w:val="20"/>
                <w:color w:val="auto"/>
              </w:rPr>
            </w:pPr>
            <w:r>
              <w:rPr>
                <w:rFonts w:ascii="Arial" w:cs="Arial" w:eastAsia="Arial" w:hAnsi="Arial"/>
                <w:sz w:val="18"/>
                <w:szCs w:val="18"/>
                <w:color w:val="auto"/>
              </w:rPr>
              <w:t>215,608</w:t>
            </w:r>
          </w:p>
        </w:tc>
        <w:tc>
          <w:tcPr>
            <w:tcW w:w="1820" w:type="dxa"/>
            <w:vAlign w:val="bottom"/>
            <w:shd w:val="clear" w:color="auto" w:fill="E8EDF4"/>
          </w:tcPr>
          <w:p>
            <w:pPr>
              <w:ind w:left="100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E8EDF4"/>
          </w:tcPr>
          <w:p>
            <w:pPr>
              <w:jc w:val="right"/>
              <w:spacing w:after="0" w:line="202" w:lineRule="exact"/>
              <w:rPr>
                <w:sz w:val="20"/>
                <w:szCs w:val="20"/>
                <w:color w:val="auto"/>
              </w:rPr>
            </w:pPr>
            <w:r>
              <w:rPr>
                <w:rFonts w:ascii="Arial" w:cs="Arial" w:eastAsia="Arial" w:hAnsi="Arial"/>
                <w:sz w:val="18"/>
                <w:szCs w:val="18"/>
                <w:color w:val="auto"/>
              </w:rPr>
              <w:t>321,858</w:t>
            </w:r>
          </w:p>
        </w:tc>
      </w:tr>
      <w:tr>
        <w:trPr>
          <w:trHeight w:val="203"/>
        </w:trPr>
        <w:tc>
          <w:tcPr>
            <w:tcW w:w="3540" w:type="dxa"/>
            <w:vAlign w:val="bottom"/>
          </w:tcPr>
          <w:p>
            <w:pPr>
              <w:ind w:left="40"/>
              <w:spacing w:after="0" w:line="202" w:lineRule="exact"/>
              <w:rPr>
                <w:sz w:val="20"/>
                <w:szCs w:val="20"/>
                <w:color w:val="auto"/>
              </w:rPr>
            </w:pPr>
            <w:r>
              <w:rPr>
                <w:rFonts w:ascii="Arial" w:cs="Arial" w:eastAsia="Arial" w:hAnsi="Arial"/>
                <w:sz w:val="18"/>
                <w:szCs w:val="18"/>
                <w:color w:val="auto"/>
              </w:rPr>
              <w:t>Ray Stata</w:t>
            </w:r>
          </w:p>
        </w:tc>
        <w:tc>
          <w:tcPr>
            <w:tcW w:w="2740" w:type="dxa"/>
            <w:vAlign w:val="bottom"/>
          </w:tcPr>
          <w:p>
            <w:pPr>
              <w:jc w:val="right"/>
              <w:ind w:right="574"/>
              <w:spacing w:after="0" w:line="202" w:lineRule="exact"/>
              <w:rPr>
                <w:sz w:val="20"/>
                <w:szCs w:val="20"/>
                <w:color w:val="auto"/>
              </w:rPr>
            </w:pPr>
            <w:r>
              <w:rPr>
                <w:rFonts w:ascii="Arial" w:cs="Arial" w:eastAsia="Arial" w:hAnsi="Arial"/>
                <w:sz w:val="18"/>
                <w:szCs w:val="18"/>
                <w:color w:val="auto"/>
              </w:rPr>
              <w:t>250,000</w:t>
            </w:r>
          </w:p>
        </w:tc>
        <w:tc>
          <w:tcPr>
            <w:tcW w:w="1900" w:type="dxa"/>
            <w:vAlign w:val="bottom"/>
          </w:tcPr>
          <w:p>
            <w:pPr>
              <w:jc w:val="right"/>
              <w:ind w:right="493"/>
              <w:spacing w:after="0" w:line="202" w:lineRule="exact"/>
              <w:rPr>
                <w:sz w:val="20"/>
                <w:szCs w:val="20"/>
                <w:color w:val="auto"/>
              </w:rPr>
            </w:pPr>
            <w:r>
              <w:rPr>
                <w:rFonts w:ascii="Arial" w:cs="Arial" w:eastAsia="Arial" w:hAnsi="Arial"/>
                <w:sz w:val="18"/>
                <w:szCs w:val="18"/>
                <w:color w:val="auto"/>
              </w:rPr>
              <w:t>215,608</w:t>
            </w:r>
          </w:p>
        </w:tc>
        <w:tc>
          <w:tcPr>
            <w:tcW w:w="1820" w:type="dxa"/>
            <w:vAlign w:val="bottom"/>
          </w:tcPr>
          <w:p>
            <w:pPr>
              <w:ind w:left="720"/>
              <w:spacing w:after="0" w:line="202" w:lineRule="exact"/>
              <w:rPr>
                <w:sz w:val="20"/>
                <w:szCs w:val="20"/>
                <w:color w:val="auto"/>
              </w:rPr>
            </w:pPr>
            <w:r>
              <w:rPr>
                <w:rFonts w:ascii="Arial" w:cs="Arial" w:eastAsia="Arial" w:hAnsi="Arial"/>
                <w:sz w:val="18"/>
                <w:szCs w:val="18"/>
                <w:color w:val="auto"/>
              </w:rPr>
              <w:t>14,924</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480,532</w:t>
            </w:r>
          </w:p>
        </w:tc>
      </w:tr>
      <w:tr>
        <w:trPr>
          <w:trHeight w:val="203"/>
        </w:trPr>
        <w:tc>
          <w:tcPr>
            <w:tcW w:w="3540" w:type="dxa"/>
            <w:vAlign w:val="bottom"/>
            <w:shd w:val="clear" w:color="auto" w:fill="E8EDF4"/>
          </w:tcPr>
          <w:p>
            <w:pPr>
              <w:ind w:left="40"/>
              <w:spacing w:after="0" w:line="202" w:lineRule="exact"/>
              <w:rPr>
                <w:sz w:val="20"/>
                <w:szCs w:val="20"/>
                <w:color w:val="auto"/>
              </w:rPr>
            </w:pPr>
            <w:r>
              <w:rPr>
                <w:rFonts w:ascii="Arial" w:cs="Arial" w:eastAsia="Arial" w:hAnsi="Arial"/>
                <w:sz w:val="18"/>
                <w:szCs w:val="18"/>
                <w:color w:val="auto"/>
              </w:rPr>
              <w:t>Lisa T. Su</w:t>
            </w:r>
          </w:p>
        </w:tc>
        <w:tc>
          <w:tcPr>
            <w:tcW w:w="2740" w:type="dxa"/>
            <w:vAlign w:val="bottom"/>
            <w:shd w:val="clear" w:color="auto" w:fill="E8EDF4"/>
          </w:tcPr>
          <w:p>
            <w:pPr>
              <w:jc w:val="right"/>
              <w:ind w:right="574"/>
              <w:spacing w:after="0" w:line="202" w:lineRule="exact"/>
              <w:rPr>
                <w:sz w:val="20"/>
                <w:szCs w:val="20"/>
                <w:color w:val="auto"/>
              </w:rPr>
            </w:pPr>
            <w:r>
              <w:rPr>
                <w:rFonts w:ascii="Arial" w:cs="Arial" w:eastAsia="Arial" w:hAnsi="Arial"/>
                <w:sz w:val="18"/>
                <w:szCs w:val="18"/>
                <w:color w:val="auto"/>
              </w:rPr>
              <w:t>86,875</w:t>
            </w:r>
          </w:p>
        </w:tc>
        <w:tc>
          <w:tcPr>
            <w:tcW w:w="1900" w:type="dxa"/>
            <w:vAlign w:val="bottom"/>
            <w:shd w:val="clear" w:color="auto" w:fill="E8EDF4"/>
          </w:tcPr>
          <w:p>
            <w:pPr>
              <w:jc w:val="right"/>
              <w:ind w:right="493"/>
              <w:spacing w:after="0" w:line="202" w:lineRule="exact"/>
              <w:rPr>
                <w:sz w:val="20"/>
                <w:szCs w:val="20"/>
                <w:color w:val="auto"/>
              </w:rPr>
            </w:pPr>
            <w:r>
              <w:rPr>
                <w:rFonts w:ascii="Arial" w:cs="Arial" w:eastAsia="Arial" w:hAnsi="Arial"/>
                <w:sz w:val="18"/>
                <w:szCs w:val="18"/>
                <w:color w:val="auto"/>
              </w:rPr>
              <w:t>215,608</w:t>
            </w:r>
          </w:p>
        </w:tc>
        <w:tc>
          <w:tcPr>
            <w:tcW w:w="1820" w:type="dxa"/>
            <w:vAlign w:val="bottom"/>
            <w:shd w:val="clear" w:color="auto" w:fill="E8EDF4"/>
          </w:tcPr>
          <w:p>
            <w:pPr>
              <w:ind w:left="100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E8EDF4"/>
          </w:tcPr>
          <w:p>
            <w:pPr>
              <w:jc w:val="right"/>
              <w:spacing w:after="0" w:line="202" w:lineRule="exact"/>
              <w:rPr>
                <w:sz w:val="20"/>
                <w:szCs w:val="20"/>
                <w:color w:val="auto"/>
              </w:rPr>
            </w:pPr>
            <w:r>
              <w:rPr>
                <w:rFonts w:ascii="Arial" w:cs="Arial" w:eastAsia="Arial" w:hAnsi="Arial"/>
                <w:sz w:val="18"/>
                <w:szCs w:val="18"/>
                <w:color w:val="auto"/>
              </w:rPr>
              <w:t>302,483</w:t>
            </w:r>
          </w:p>
        </w:tc>
      </w:tr>
      <w:tr>
        <w:trPr>
          <w:trHeight w:val="217"/>
        </w:trPr>
        <w:tc>
          <w:tcPr>
            <w:tcW w:w="3540" w:type="dxa"/>
            <w:vAlign w:val="bottom"/>
          </w:tcPr>
          <w:p>
            <w:pPr>
              <w:ind w:left="40"/>
              <w:spacing w:after="0"/>
              <w:rPr>
                <w:sz w:val="20"/>
                <w:szCs w:val="20"/>
                <w:color w:val="auto"/>
              </w:rPr>
            </w:pPr>
            <w:r>
              <w:rPr>
                <w:rFonts w:ascii="Arial" w:cs="Arial" w:eastAsia="Arial" w:hAnsi="Arial"/>
                <w:sz w:val="18"/>
                <w:szCs w:val="18"/>
                <w:color w:val="auto"/>
              </w:rPr>
              <w:t>Susie Wee(6)</w:t>
            </w:r>
          </w:p>
        </w:tc>
        <w:tc>
          <w:tcPr>
            <w:tcW w:w="2740" w:type="dxa"/>
            <w:vAlign w:val="bottom"/>
          </w:tcPr>
          <w:p>
            <w:pPr>
              <w:jc w:val="right"/>
              <w:ind w:right="674"/>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593"/>
              <w:spacing w:after="0"/>
              <w:rPr>
                <w:sz w:val="20"/>
                <w:szCs w:val="20"/>
                <w:color w:val="auto"/>
              </w:rPr>
            </w:pPr>
            <w:r>
              <w:rPr>
                <w:rFonts w:ascii="Arial" w:cs="Arial" w:eastAsia="Arial" w:hAnsi="Arial"/>
                <w:sz w:val="18"/>
                <w:szCs w:val="18"/>
                <w:color w:val="auto"/>
              </w:rPr>
              <w:t>—</w:t>
            </w:r>
          </w:p>
        </w:tc>
        <w:tc>
          <w:tcPr>
            <w:tcW w:w="1820" w:type="dxa"/>
            <w:vAlign w:val="bottom"/>
          </w:tcPr>
          <w:p>
            <w:pPr>
              <w:ind w:left="10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76327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4" w:lineRule="exact"/>
        <w:rPr>
          <w:sz w:val="20"/>
          <w:szCs w:val="20"/>
          <w:color w:val="auto"/>
        </w:rPr>
      </w:pPr>
    </w:p>
    <w:p>
      <w:pPr>
        <w:ind w:left="640" w:right="40" w:hanging="436"/>
        <w:spacing w:after="0" w:line="236" w:lineRule="auto"/>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This amount includes a $80,000 annual board retainer. An additional annual retainer of $30,000 was paid to the chair of the Audit Committee, an additional annual retainer of $20,000 was paid to the chair of the Compensation Committee and an additional annual retainer of $20,000 was paid to the chair of the Nominating and Corporate Governance Committee. The Presiding Director also received an additional annual retainer of $25,000. The members of the Audit Committee (other than the chair) received an additional annual retainer of $15,000, the members of the Compensation Committee (other than the chair) received an additional annual retainer of $10,000, and the members of the Nominating and Corporate Governance Committee (other than the chair) received an additional annual retainer of $10,000. For fiscal 2019, Mr. Stata, as Chairman of the Board of Directors, received a total annual retainer of $250,000. All cash retainers are paid in quarterly installments each on the 15th day of December, March, June and September of each fiscal year and are pro-rated for a partial year of service. Each director can elect to defer receipt of his or her fees under our Deferred Compensation Plan, or DCP. For more information relating to our DCP, see “INFORMATION ABOUT EXECUTIVE COMPENSATION — Non-Qualified Deferred Compensation Plan” below. Dr. Frank elected to defer receipt of his fees under the DCP in fiscal 2019.</w:t>
      </w:r>
    </w:p>
    <w:p>
      <w:pPr>
        <w:spacing w:after="0" w:line="110" w:lineRule="exact"/>
        <w:rPr>
          <w:rFonts w:ascii="Arial" w:cs="Arial" w:eastAsia="Arial" w:hAnsi="Arial"/>
          <w:sz w:val="18"/>
          <w:szCs w:val="18"/>
          <w:color w:val="auto"/>
        </w:rPr>
      </w:pPr>
    </w:p>
    <w:p>
      <w:pPr>
        <w:ind w:left="640" w:right="420" w:hanging="436"/>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These amounts represent the aggregate grant date fair value of awards for grants of RSUs to each listed director in fiscal 2019. These amounts do not represent the actual amounts paid to or realized by the directors during fiscal 2019. We recognize the fair value as of the grant date for RSUs over the number of days of service required for the award to become vested.</w:t>
      </w:r>
    </w:p>
    <w:p>
      <w:pPr>
        <w:spacing w:after="0" w:line="135" w:lineRule="exact"/>
        <w:rPr>
          <w:sz w:val="20"/>
          <w:szCs w:val="20"/>
          <w:color w:val="auto"/>
        </w:rPr>
      </w:pPr>
    </w:p>
    <w:p>
      <w:pPr>
        <w:ind w:left="9320"/>
        <w:spacing w:after="0"/>
        <w:tabs>
          <w:tab w:leader="none" w:pos="11000" w:val="left"/>
        </w:tabs>
        <w:rPr>
          <w:sz w:val="20"/>
          <w:szCs w:val="20"/>
          <w:color w:val="auto"/>
        </w:rPr>
      </w:pPr>
      <w:r>
        <w:rPr>
          <w:rFonts w:ascii="Arial" w:cs="Arial" w:eastAsia="Arial" w:hAnsi="Arial"/>
          <w:sz w:val="14"/>
          <w:szCs w:val="14"/>
          <w:b w:val="1"/>
          <w:bCs w:val="1"/>
          <w:color w:val="052B82"/>
        </w:rPr>
        <w:t>2020 Proxy Statement</w:t>
      </w:r>
      <w:r>
        <w:rPr>
          <w:sz w:val="20"/>
          <w:szCs w:val="20"/>
          <w:color w:val="auto"/>
        </w:rPr>
        <w:tab/>
      </w:r>
      <w:r>
        <w:rPr>
          <w:rFonts w:ascii="Arial" w:cs="Arial" w:eastAsia="Arial" w:hAnsi="Arial"/>
          <w:sz w:val="17"/>
          <w:szCs w:val="17"/>
          <w:color w:val="999999"/>
        </w:rPr>
        <w:t>35</w:t>
      </w:r>
    </w:p>
    <w:p>
      <w:pPr>
        <w:sectPr>
          <w:pgSz w:w="11900" w:h="16838" w:orient="portrait"/>
          <w:cols w:equalWidth="0" w:num="1">
            <w:col w:w="11240"/>
          </w:cols>
          <w:pgMar w:left="240" w:top="459" w:right="4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2649855"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40" w:right="80" w:hanging="436"/>
        <w:spacing w:after="0" w:line="246" w:lineRule="auto"/>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aggregate number of stock options and RSUs outstanding held by each non-employee director (representing unexercised stock options and unvested RSUs) at November 2, 2019 is as follows:</w:t>
      </w:r>
    </w:p>
    <w:p>
      <w:pPr>
        <w:spacing w:after="0" w:line="213" w:lineRule="exact"/>
        <w:rPr>
          <w:sz w:val="20"/>
          <w:szCs w:val="20"/>
          <w:color w:val="auto"/>
        </w:rPr>
      </w:pPr>
    </w:p>
    <w:tbl>
      <w:tblPr>
        <w:tblLayout w:type="fixed"/>
        <w:tblInd w:w="1540" w:type="dxa"/>
        <w:tblCellMar>
          <w:top w:w="0" w:type="dxa"/>
          <w:left w:w="0" w:type="dxa"/>
          <w:bottom w:w="0" w:type="dxa"/>
          <w:right w:w="0" w:type="dxa"/>
        </w:tblCellMar>
      </w:tblPr>
      <w:tr>
        <w:trPr>
          <w:trHeight w:val="161"/>
        </w:trPr>
        <w:tc>
          <w:tcPr>
            <w:tcW w:w="2780" w:type="dxa"/>
            <w:vAlign w:val="bottom"/>
            <w:shd w:val="clear" w:color="auto" w:fill="052B82"/>
          </w:tcPr>
          <w:p>
            <w:pPr>
              <w:spacing w:after="0"/>
              <w:rPr>
                <w:sz w:val="14"/>
                <w:szCs w:val="14"/>
                <w:color w:val="auto"/>
              </w:rPr>
            </w:pPr>
          </w:p>
        </w:tc>
        <w:tc>
          <w:tcPr>
            <w:tcW w:w="2580" w:type="dxa"/>
            <w:vAlign w:val="bottom"/>
            <w:shd w:val="clear" w:color="auto" w:fill="052B82"/>
          </w:tcPr>
          <w:p>
            <w:pPr>
              <w:ind w:left="660"/>
              <w:spacing w:after="0"/>
              <w:rPr>
                <w:sz w:val="20"/>
                <w:szCs w:val="20"/>
                <w:color w:val="auto"/>
              </w:rPr>
            </w:pPr>
            <w:r>
              <w:rPr>
                <w:rFonts w:ascii="Arial" w:cs="Arial" w:eastAsia="Arial" w:hAnsi="Arial"/>
                <w:sz w:val="14"/>
                <w:szCs w:val="14"/>
                <w:b w:val="1"/>
                <w:bCs w:val="1"/>
                <w:color w:val="FFFFFF"/>
              </w:rPr>
              <w:t>Number of Shares</w:t>
            </w:r>
          </w:p>
        </w:tc>
        <w:tc>
          <w:tcPr>
            <w:tcW w:w="3000" w:type="dxa"/>
            <w:vAlign w:val="bottom"/>
            <w:shd w:val="clear" w:color="auto" w:fill="052B82"/>
          </w:tcPr>
          <w:p>
            <w:pPr>
              <w:spacing w:after="0"/>
              <w:rPr>
                <w:sz w:val="14"/>
                <w:szCs w:val="14"/>
                <w:color w:val="auto"/>
              </w:rPr>
            </w:pPr>
          </w:p>
        </w:tc>
      </w:tr>
      <w:tr>
        <w:trPr>
          <w:trHeight w:val="162"/>
        </w:trPr>
        <w:tc>
          <w:tcPr>
            <w:tcW w:w="2780" w:type="dxa"/>
            <w:vAlign w:val="bottom"/>
            <w:shd w:val="clear" w:color="auto" w:fill="052B82"/>
          </w:tcPr>
          <w:p>
            <w:pPr>
              <w:spacing w:after="0"/>
              <w:rPr>
                <w:sz w:val="14"/>
                <w:szCs w:val="14"/>
                <w:color w:val="auto"/>
              </w:rPr>
            </w:pPr>
          </w:p>
        </w:tc>
        <w:tc>
          <w:tcPr>
            <w:tcW w:w="2580" w:type="dxa"/>
            <w:vAlign w:val="bottom"/>
            <w:shd w:val="clear" w:color="auto" w:fill="052B82"/>
          </w:tcPr>
          <w:p>
            <w:pPr>
              <w:ind w:left="680"/>
              <w:spacing w:after="0"/>
              <w:rPr>
                <w:sz w:val="20"/>
                <w:szCs w:val="20"/>
                <w:color w:val="auto"/>
              </w:rPr>
            </w:pPr>
            <w:r>
              <w:rPr>
                <w:rFonts w:ascii="Arial" w:cs="Arial" w:eastAsia="Arial" w:hAnsi="Arial"/>
                <w:sz w:val="14"/>
                <w:szCs w:val="14"/>
                <w:b w:val="1"/>
                <w:bCs w:val="1"/>
                <w:color w:val="FFFFFF"/>
              </w:rPr>
              <w:t>Subject to Option</w:t>
            </w:r>
          </w:p>
        </w:tc>
        <w:tc>
          <w:tcPr>
            <w:tcW w:w="3000" w:type="dxa"/>
            <w:vAlign w:val="bottom"/>
            <w:shd w:val="clear" w:color="auto" w:fill="052B82"/>
          </w:tcPr>
          <w:p>
            <w:pPr>
              <w:jc w:val="right"/>
              <w:ind w:right="154"/>
              <w:spacing w:after="0"/>
              <w:rPr>
                <w:sz w:val="20"/>
                <w:szCs w:val="20"/>
                <w:color w:val="auto"/>
              </w:rPr>
            </w:pPr>
            <w:r>
              <w:rPr>
                <w:rFonts w:ascii="Arial" w:cs="Arial" w:eastAsia="Arial" w:hAnsi="Arial"/>
                <w:sz w:val="14"/>
                <w:szCs w:val="14"/>
                <w:b w:val="1"/>
                <w:bCs w:val="1"/>
                <w:color w:val="FFFFFF"/>
              </w:rPr>
              <w:t>Number of RSUs that have not</w:t>
            </w:r>
          </w:p>
        </w:tc>
      </w:tr>
      <w:tr>
        <w:trPr>
          <w:trHeight w:val="162"/>
        </w:trPr>
        <w:tc>
          <w:tcPr>
            <w:tcW w:w="2780" w:type="dxa"/>
            <w:vAlign w:val="bottom"/>
            <w:shd w:val="clear" w:color="auto" w:fill="052B82"/>
          </w:tcPr>
          <w:p>
            <w:pPr>
              <w:spacing w:after="0"/>
              <w:rPr>
                <w:sz w:val="14"/>
                <w:szCs w:val="14"/>
                <w:color w:val="auto"/>
              </w:rPr>
            </w:pPr>
          </w:p>
        </w:tc>
        <w:tc>
          <w:tcPr>
            <w:tcW w:w="2580" w:type="dxa"/>
            <w:vAlign w:val="bottom"/>
            <w:shd w:val="clear" w:color="auto" w:fill="052B82"/>
          </w:tcPr>
          <w:p>
            <w:pPr>
              <w:ind w:left="660"/>
              <w:spacing w:after="0"/>
              <w:rPr>
                <w:sz w:val="20"/>
                <w:szCs w:val="20"/>
                <w:color w:val="auto"/>
              </w:rPr>
            </w:pPr>
            <w:r>
              <w:rPr>
                <w:rFonts w:ascii="Arial" w:cs="Arial" w:eastAsia="Arial" w:hAnsi="Arial"/>
                <w:sz w:val="14"/>
                <w:szCs w:val="14"/>
                <w:b w:val="1"/>
                <w:bCs w:val="1"/>
                <w:color w:val="FFFFFF"/>
              </w:rPr>
              <w:t>Awards Held as of</w:t>
            </w:r>
          </w:p>
        </w:tc>
        <w:tc>
          <w:tcPr>
            <w:tcW w:w="3000" w:type="dxa"/>
            <w:vAlign w:val="bottom"/>
            <w:shd w:val="clear" w:color="auto" w:fill="052B82"/>
          </w:tcPr>
          <w:p>
            <w:pPr>
              <w:jc w:val="right"/>
              <w:ind w:right="334"/>
              <w:spacing w:after="0"/>
              <w:rPr>
                <w:sz w:val="20"/>
                <w:szCs w:val="20"/>
                <w:color w:val="auto"/>
              </w:rPr>
            </w:pPr>
            <w:r>
              <w:rPr>
                <w:rFonts w:ascii="Arial" w:cs="Arial" w:eastAsia="Arial" w:hAnsi="Arial"/>
                <w:sz w:val="14"/>
                <w:szCs w:val="14"/>
                <w:b w:val="1"/>
                <w:bCs w:val="1"/>
                <w:color w:val="FFFFFF"/>
              </w:rPr>
              <w:t>Vested as of November 2,</w:t>
            </w:r>
          </w:p>
        </w:tc>
      </w:tr>
      <w:tr>
        <w:trPr>
          <w:trHeight w:val="175"/>
        </w:trPr>
        <w:tc>
          <w:tcPr>
            <w:tcW w:w="2780" w:type="dxa"/>
            <w:vAlign w:val="bottom"/>
            <w:shd w:val="clear" w:color="auto" w:fill="052B82"/>
          </w:tcPr>
          <w:p>
            <w:pPr>
              <w:ind w:left="40"/>
              <w:spacing w:after="0"/>
              <w:rPr>
                <w:sz w:val="20"/>
                <w:szCs w:val="20"/>
                <w:color w:val="auto"/>
              </w:rPr>
            </w:pPr>
            <w:r>
              <w:rPr>
                <w:rFonts w:ascii="Arial" w:cs="Arial" w:eastAsia="Arial" w:hAnsi="Arial"/>
                <w:sz w:val="14"/>
                <w:szCs w:val="14"/>
                <w:b w:val="1"/>
                <w:bCs w:val="1"/>
                <w:color w:val="FFFFFF"/>
              </w:rPr>
              <w:t>Name</w:t>
            </w:r>
          </w:p>
        </w:tc>
        <w:tc>
          <w:tcPr>
            <w:tcW w:w="2580" w:type="dxa"/>
            <w:vAlign w:val="bottom"/>
            <w:shd w:val="clear" w:color="auto" w:fill="052B82"/>
          </w:tcPr>
          <w:p>
            <w:pPr>
              <w:ind w:left="660"/>
              <w:spacing w:after="0"/>
              <w:rPr>
                <w:sz w:val="20"/>
                <w:szCs w:val="20"/>
                <w:color w:val="auto"/>
              </w:rPr>
            </w:pPr>
            <w:r>
              <w:rPr>
                <w:rFonts w:ascii="Arial" w:cs="Arial" w:eastAsia="Arial" w:hAnsi="Arial"/>
                <w:sz w:val="14"/>
                <w:szCs w:val="14"/>
                <w:b w:val="1"/>
                <w:bCs w:val="1"/>
                <w:color w:val="FFFFFF"/>
              </w:rPr>
              <w:t>November 2, 2019</w:t>
            </w:r>
          </w:p>
        </w:tc>
        <w:tc>
          <w:tcPr>
            <w:tcW w:w="3000" w:type="dxa"/>
            <w:vAlign w:val="bottom"/>
            <w:shd w:val="clear" w:color="auto" w:fill="052B82"/>
          </w:tcPr>
          <w:p>
            <w:pPr>
              <w:jc w:val="right"/>
              <w:ind w:right="1034"/>
              <w:spacing w:after="0"/>
              <w:rPr>
                <w:sz w:val="20"/>
                <w:szCs w:val="20"/>
                <w:color w:val="auto"/>
              </w:rPr>
            </w:pPr>
            <w:r>
              <w:rPr>
                <w:rFonts w:ascii="Arial" w:cs="Arial" w:eastAsia="Arial" w:hAnsi="Arial"/>
                <w:sz w:val="14"/>
                <w:szCs w:val="14"/>
                <w:b w:val="1"/>
                <w:bCs w:val="1"/>
                <w:color w:val="FFFFFF"/>
              </w:rPr>
              <w:t>2019</w:t>
            </w:r>
          </w:p>
        </w:tc>
      </w:tr>
      <w:tr>
        <w:trPr>
          <w:trHeight w:val="203"/>
        </w:trPr>
        <w:tc>
          <w:tcPr>
            <w:tcW w:w="2780" w:type="dxa"/>
            <w:vAlign w:val="bottom"/>
          </w:tcPr>
          <w:p>
            <w:pPr>
              <w:ind w:left="40"/>
              <w:spacing w:after="0" w:line="202" w:lineRule="exact"/>
              <w:rPr>
                <w:sz w:val="20"/>
                <w:szCs w:val="20"/>
                <w:color w:val="auto"/>
              </w:rPr>
            </w:pPr>
            <w:r>
              <w:rPr>
                <w:rFonts w:ascii="Arial" w:cs="Arial" w:eastAsia="Arial" w:hAnsi="Arial"/>
                <w:sz w:val="18"/>
                <w:szCs w:val="18"/>
                <w:color w:val="auto"/>
              </w:rPr>
              <w:t>James A. Champy</w:t>
            </w:r>
          </w:p>
        </w:tc>
        <w:tc>
          <w:tcPr>
            <w:tcW w:w="2580" w:type="dxa"/>
            <w:vAlign w:val="bottom"/>
          </w:tcPr>
          <w:p>
            <w:pPr>
              <w:jc w:val="right"/>
              <w:ind w:right="915"/>
              <w:spacing w:after="0" w:line="202" w:lineRule="exact"/>
              <w:rPr>
                <w:sz w:val="20"/>
                <w:szCs w:val="20"/>
                <w:color w:val="auto"/>
              </w:rPr>
            </w:pPr>
            <w:r>
              <w:rPr>
                <w:rFonts w:ascii="Arial" w:cs="Arial" w:eastAsia="Arial" w:hAnsi="Arial"/>
                <w:sz w:val="18"/>
                <w:szCs w:val="18"/>
                <w:color w:val="auto"/>
              </w:rPr>
              <w:t>37,620</w:t>
            </w:r>
          </w:p>
        </w:tc>
        <w:tc>
          <w:tcPr>
            <w:tcW w:w="3000" w:type="dxa"/>
            <w:vAlign w:val="bottom"/>
          </w:tcPr>
          <w:p>
            <w:pPr>
              <w:jc w:val="right"/>
              <w:ind w:right="934"/>
              <w:spacing w:after="0" w:line="202" w:lineRule="exact"/>
              <w:rPr>
                <w:sz w:val="20"/>
                <w:szCs w:val="20"/>
                <w:color w:val="auto"/>
              </w:rPr>
            </w:pPr>
            <w:r>
              <w:rPr>
                <w:rFonts w:ascii="Arial" w:cs="Arial" w:eastAsia="Arial" w:hAnsi="Arial"/>
                <w:sz w:val="18"/>
                <w:szCs w:val="18"/>
                <w:color w:val="auto"/>
              </w:rPr>
              <w:t>2,035</w:t>
            </w:r>
          </w:p>
        </w:tc>
      </w:tr>
      <w:tr>
        <w:trPr>
          <w:trHeight w:val="203"/>
        </w:trPr>
        <w:tc>
          <w:tcPr>
            <w:tcW w:w="2780" w:type="dxa"/>
            <w:vAlign w:val="bottom"/>
            <w:shd w:val="clear" w:color="auto" w:fill="E8EDF4"/>
          </w:tcPr>
          <w:p>
            <w:pPr>
              <w:ind w:left="40"/>
              <w:spacing w:after="0" w:line="202" w:lineRule="exact"/>
              <w:rPr>
                <w:sz w:val="20"/>
                <w:szCs w:val="20"/>
                <w:color w:val="auto"/>
              </w:rPr>
            </w:pPr>
            <w:r>
              <w:rPr>
                <w:rFonts w:ascii="Arial" w:cs="Arial" w:eastAsia="Arial" w:hAnsi="Arial"/>
                <w:sz w:val="18"/>
                <w:szCs w:val="18"/>
                <w:color w:val="auto"/>
              </w:rPr>
              <w:t>Anantha P. Chandrakasan</w:t>
            </w:r>
          </w:p>
        </w:tc>
        <w:tc>
          <w:tcPr>
            <w:tcW w:w="2580" w:type="dxa"/>
            <w:vAlign w:val="bottom"/>
            <w:shd w:val="clear" w:color="auto" w:fill="E8EDF4"/>
          </w:tcPr>
          <w:p>
            <w:pPr>
              <w:jc w:val="right"/>
              <w:ind w:right="1015"/>
              <w:spacing w:after="0" w:line="202" w:lineRule="exact"/>
              <w:rPr>
                <w:sz w:val="20"/>
                <w:szCs w:val="20"/>
                <w:color w:val="auto"/>
              </w:rPr>
            </w:pPr>
            <w:r>
              <w:rPr>
                <w:rFonts w:ascii="Arial" w:cs="Arial" w:eastAsia="Arial" w:hAnsi="Arial"/>
                <w:sz w:val="18"/>
                <w:szCs w:val="18"/>
                <w:color w:val="auto"/>
              </w:rPr>
              <w:t>—</w:t>
            </w:r>
          </w:p>
        </w:tc>
        <w:tc>
          <w:tcPr>
            <w:tcW w:w="3000" w:type="dxa"/>
            <w:vAlign w:val="bottom"/>
            <w:shd w:val="clear" w:color="auto" w:fill="E8EDF4"/>
          </w:tcPr>
          <w:p>
            <w:pPr>
              <w:jc w:val="right"/>
              <w:ind w:right="934"/>
              <w:spacing w:after="0" w:line="202" w:lineRule="exact"/>
              <w:rPr>
                <w:sz w:val="20"/>
                <w:szCs w:val="20"/>
                <w:color w:val="auto"/>
              </w:rPr>
            </w:pPr>
            <w:r>
              <w:rPr>
                <w:rFonts w:ascii="Arial" w:cs="Arial" w:eastAsia="Arial" w:hAnsi="Arial"/>
                <w:sz w:val="18"/>
                <w:szCs w:val="18"/>
                <w:color w:val="auto"/>
              </w:rPr>
              <w:t>2,035</w:t>
            </w:r>
          </w:p>
        </w:tc>
      </w:tr>
      <w:tr>
        <w:trPr>
          <w:trHeight w:val="203"/>
        </w:trPr>
        <w:tc>
          <w:tcPr>
            <w:tcW w:w="2780" w:type="dxa"/>
            <w:vAlign w:val="bottom"/>
          </w:tcPr>
          <w:p>
            <w:pPr>
              <w:ind w:left="40"/>
              <w:spacing w:after="0" w:line="202" w:lineRule="exact"/>
              <w:rPr>
                <w:sz w:val="20"/>
                <w:szCs w:val="20"/>
                <w:color w:val="auto"/>
              </w:rPr>
            </w:pPr>
            <w:r>
              <w:rPr>
                <w:rFonts w:ascii="Arial" w:cs="Arial" w:eastAsia="Arial" w:hAnsi="Arial"/>
                <w:sz w:val="18"/>
                <w:szCs w:val="18"/>
                <w:color w:val="auto"/>
              </w:rPr>
              <w:t>Bruce R. Evans</w:t>
            </w:r>
          </w:p>
        </w:tc>
        <w:tc>
          <w:tcPr>
            <w:tcW w:w="2580" w:type="dxa"/>
            <w:vAlign w:val="bottom"/>
          </w:tcPr>
          <w:p>
            <w:pPr>
              <w:jc w:val="right"/>
              <w:ind w:right="1015"/>
              <w:spacing w:after="0" w:line="202" w:lineRule="exact"/>
              <w:rPr>
                <w:sz w:val="20"/>
                <w:szCs w:val="20"/>
                <w:color w:val="auto"/>
              </w:rPr>
            </w:pPr>
            <w:r>
              <w:rPr>
                <w:rFonts w:ascii="Arial" w:cs="Arial" w:eastAsia="Arial" w:hAnsi="Arial"/>
                <w:sz w:val="18"/>
                <w:szCs w:val="18"/>
                <w:color w:val="auto"/>
              </w:rPr>
              <w:t>—</w:t>
            </w:r>
          </w:p>
        </w:tc>
        <w:tc>
          <w:tcPr>
            <w:tcW w:w="3000" w:type="dxa"/>
            <w:vAlign w:val="bottom"/>
          </w:tcPr>
          <w:p>
            <w:pPr>
              <w:jc w:val="right"/>
              <w:ind w:right="934"/>
              <w:spacing w:after="0" w:line="202" w:lineRule="exact"/>
              <w:rPr>
                <w:sz w:val="20"/>
                <w:szCs w:val="20"/>
                <w:color w:val="auto"/>
              </w:rPr>
            </w:pPr>
            <w:r>
              <w:rPr>
                <w:rFonts w:ascii="Arial" w:cs="Arial" w:eastAsia="Arial" w:hAnsi="Arial"/>
                <w:sz w:val="18"/>
                <w:szCs w:val="18"/>
                <w:color w:val="auto"/>
              </w:rPr>
              <w:t>2,035</w:t>
            </w:r>
          </w:p>
        </w:tc>
      </w:tr>
      <w:tr>
        <w:trPr>
          <w:trHeight w:val="203"/>
        </w:trPr>
        <w:tc>
          <w:tcPr>
            <w:tcW w:w="2780" w:type="dxa"/>
            <w:vAlign w:val="bottom"/>
            <w:shd w:val="clear" w:color="auto" w:fill="E8EDF4"/>
          </w:tcPr>
          <w:p>
            <w:pPr>
              <w:ind w:left="40"/>
              <w:spacing w:after="0" w:line="202" w:lineRule="exact"/>
              <w:rPr>
                <w:sz w:val="20"/>
                <w:szCs w:val="20"/>
                <w:color w:val="auto"/>
              </w:rPr>
            </w:pPr>
            <w:r>
              <w:rPr>
                <w:rFonts w:ascii="Arial" w:cs="Arial" w:eastAsia="Arial" w:hAnsi="Arial"/>
                <w:sz w:val="18"/>
                <w:szCs w:val="18"/>
                <w:color w:val="auto"/>
              </w:rPr>
              <w:t>Edward H. Frank</w:t>
            </w:r>
          </w:p>
        </w:tc>
        <w:tc>
          <w:tcPr>
            <w:tcW w:w="2580" w:type="dxa"/>
            <w:vAlign w:val="bottom"/>
            <w:shd w:val="clear" w:color="auto" w:fill="E8EDF4"/>
          </w:tcPr>
          <w:p>
            <w:pPr>
              <w:jc w:val="right"/>
              <w:ind w:right="915"/>
              <w:spacing w:after="0" w:line="202" w:lineRule="exact"/>
              <w:rPr>
                <w:sz w:val="20"/>
                <w:szCs w:val="20"/>
                <w:color w:val="auto"/>
              </w:rPr>
            </w:pPr>
            <w:r>
              <w:rPr>
                <w:rFonts w:ascii="Arial" w:cs="Arial" w:eastAsia="Arial" w:hAnsi="Arial"/>
                <w:sz w:val="18"/>
                <w:szCs w:val="18"/>
                <w:color w:val="auto"/>
              </w:rPr>
              <w:t>8,460</w:t>
            </w:r>
          </w:p>
        </w:tc>
        <w:tc>
          <w:tcPr>
            <w:tcW w:w="3000" w:type="dxa"/>
            <w:vAlign w:val="bottom"/>
            <w:shd w:val="clear" w:color="auto" w:fill="E8EDF4"/>
          </w:tcPr>
          <w:p>
            <w:pPr>
              <w:jc w:val="right"/>
              <w:ind w:right="934"/>
              <w:spacing w:after="0" w:line="202" w:lineRule="exact"/>
              <w:rPr>
                <w:sz w:val="20"/>
                <w:szCs w:val="20"/>
                <w:color w:val="auto"/>
              </w:rPr>
            </w:pPr>
            <w:r>
              <w:rPr>
                <w:rFonts w:ascii="Arial" w:cs="Arial" w:eastAsia="Arial" w:hAnsi="Arial"/>
                <w:sz w:val="18"/>
                <w:szCs w:val="18"/>
                <w:color w:val="auto"/>
              </w:rPr>
              <w:t>2,035</w:t>
            </w:r>
          </w:p>
        </w:tc>
      </w:tr>
      <w:tr>
        <w:trPr>
          <w:trHeight w:val="203"/>
        </w:trPr>
        <w:tc>
          <w:tcPr>
            <w:tcW w:w="2780" w:type="dxa"/>
            <w:vAlign w:val="bottom"/>
          </w:tcPr>
          <w:p>
            <w:pPr>
              <w:ind w:left="40"/>
              <w:spacing w:after="0" w:line="202" w:lineRule="exact"/>
              <w:rPr>
                <w:sz w:val="20"/>
                <w:szCs w:val="20"/>
                <w:color w:val="auto"/>
              </w:rPr>
            </w:pPr>
            <w:r>
              <w:rPr>
                <w:rFonts w:ascii="Arial" w:cs="Arial" w:eastAsia="Arial" w:hAnsi="Arial"/>
                <w:sz w:val="18"/>
                <w:szCs w:val="18"/>
                <w:color w:val="auto"/>
              </w:rPr>
              <w:t>Karen M. Golz</w:t>
            </w:r>
          </w:p>
        </w:tc>
        <w:tc>
          <w:tcPr>
            <w:tcW w:w="2580" w:type="dxa"/>
            <w:vAlign w:val="bottom"/>
          </w:tcPr>
          <w:p>
            <w:pPr>
              <w:jc w:val="right"/>
              <w:ind w:right="1015"/>
              <w:spacing w:after="0" w:line="202" w:lineRule="exact"/>
              <w:rPr>
                <w:sz w:val="20"/>
                <w:szCs w:val="20"/>
                <w:color w:val="auto"/>
              </w:rPr>
            </w:pPr>
            <w:r>
              <w:rPr>
                <w:rFonts w:ascii="Arial" w:cs="Arial" w:eastAsia="Arial" w:hAnsi="Arial"/>
                <w:sz w:val="18"/>
                <w:szCs w:val="18"/>
                <w:color w:val="auto"/>
              </w:rPr>
              <w:t>—</w:t>
            </w:r>
          </w:p>
        </w:tc>
        <w:tc>
          <w:tcPr>
            <w:tcW w:w="3000" w:type="dxa"/>
            <w:vAlign w:val="bottom"/>
          </w:tcPr>
          <w:p>
            <w:pPr>
              <w:jc w:val="right"/>
              <w:ind w:right="934"/>
              <w:spacing w:after="0" w:line="202" w:lineRule="exact"/>
              <w:rPr>
                <w:sz w:val="20"/>
                <w:szCs w:val="20"/>
                <w:color w:val="auto"/>
              </w:rPr>
            </w:pPr>
            <w:r>
              <w:rPr>
                <w:rFonts w:ascii="Arial" w:cs="Arial" w:eastAsia="Arial" w:hAnsi="Arial"/>
                <w:sz w:val="18"/>
                <w:szCs w:val="18"/>
                <w:color w:val="auto"/>
              </w:rPr>
              <w:t>2,035</w:t>
            </w:r>
          </w:p>
        </w:tc>
      </w:tr>
      <w:tr>
        <w:trPr>
          <w:trHeight w:val="203"/>
        </w:trPr>
        <w:tc>
          <w:tcPr>
            <w:tcW w:w="2780" w:type="dxa"/>
            <w:vAlign w:val="bottom"/>
            <w:shd w:val="clear" w:color="auto" w:fill="E8EDF4"/>
          </w:tcPr>
          <w:p>
            <w:pPr>
              <w:ind w:left="40"/>
              <w:spacing w:after="0" w:line="202" w:lineRule="exact"/>
              <w:rPr>
                <w:sz w:val="20"/>
                <w:szCs w:val="20"/>
                <w:color w:val="auto"/>
              </w:rPr>
            </w:pPr>
            <w:r>
              <w:rPr>
                <w:rFonts w:ascii="Arial" w:cs="Arial" w:eastAsia="Arial" w:hAnsi="Arial"/>
                <w:sz w:val="18"/>
                <w:szCs w:val="18"/>
                <w:color w:val="auto"/>
              </w:rPr>
              <w:t>Mark M. Little</w:t>
            </w:r>
          </w:p>
        </w:tc>
        <w:tc>
          <w:tcPr>
            <w:tcW w:w="2580" w:type="dxa"/>
            <w:vAlign w:val="bottom"/>
            <w:shd w:val="clear" w:color="auto" w:fill="E8EDF4"/>
          </w:tcPr>
          <w:p>
            <w:pPr>
              <w:jc w:val="right"/>
              <w:ind w:right="915"/>
              <w:spacing w:after="0" w:line="202" w:lineRule="exact"/>
              <w:rPr>
                <w:sz w:val="20"/>
                <w:szCs w:val="20"/>
                <w:color w:val="auto"/>
              </w:rPr>
            </w:pPr>
            <w:r>
              <w:rPr>
                <w:rFonts w:ascii="Arial" w:cs="Arial" w:eastAsia="Arial" w:hAnsi="Arial"/>
                <w:sz w:val="18"/>
                <w:szCs w:val="18"/>
                <w:color w:val="auto"/>
              </w:rPr>
              <w:t>1,040</w:t>
            </w:r>
          </w:p>
        </w:tc>
        <w:tc>
          <w:tcPr>
            <w:tcW w:w="3000" w:type="dxa"/>
            <w:vAlign w:val="bottom"/>
            <w:shd w:val="clear" w:color="auto" w:fill="E8EDF4"/>
          </w:tcPr>
          <w:p>
            <w:pPr>
              <w:jc w:val="right"/>
              <w:ind w:right="934"/>
              <w:spacing w:after="0" w:line="202" w:lineRule="exact"/>
              <w:rPr>
                <w:sz w:val="20"/>
                <w:szCs w:val="20"/>
                <w:color w:val="auto"/>
              </w:rPr>
            </w:pPr>
            <w:r>
              <w:rPr>
                <w:rFonts w:ascii="Arial" w:cs="Arial" w:eastAsia="Arial" w:hAnsi="Arial"/>
                <w:sz w:val="18"/>
                <w:szCs w:val="18"/>
                <w:color w:val="auto"/>
              </w:rPr>
              <w:t>2,035</w:t>
            </w:r>
          </w:p>
        </w:tc>
      </w:tr>
      <w:tr>
        <w:trPr>
          <w:trHeight w:val="203"/>
        </w:trPr>
        <w:tc>
          <w:tcPr>
            <w:tcW w:w="2780" w:type="dxa"/>
            <w:vAlign w:val="bottom"/>
          </w:tcPr>
          <w:p>
            <w:pPr>
              <w:ind w:left="40"/>
              <w:spacing w:after="0" w:line="202" w:lineRule="exact"/>
              <w:rPr>
                <w:sz w:val="20"/>
                <w:szCs w:val="20"/>
                <w:color w:val="auto"/>
              </w:rPr>
            </w:pPr>
            <w:r>
              <w:rPr>
                <w:rFonts w:ascii="Arial" w:cs="Arial" w:eastAsia="Arial" w:hAnsi="Arial"/>
                <w:sz w:val="18"/>
                <w:szCs w:val="18"/>
                <w:color w:val="auto"/>
              </w:rPr>
              <w:t>Neil Novich</w:t>
            </w:r>
          </w:p>
        </w:tc>
        <w:tc>
          <w:tcPr>
            <w:tcW w:w="2580" w:type="dxa"/>
            <w:vAlign w:val="bottom"/>
          </w:tcPr>
          <w:p>
            <w:pPr>
              <w:jc w:val="right"/>
              <w:ind w:right="915"/>
              <w:spacing w:after="0" w:line="202" w:lineRule="exact"/>
              <w:rPr>
                <w:sz w:val="20"/>
                <w:szCs w:val="20"/>
                <w:color w:val="auto"/>
              </w:rPr>
            </w:pPr>
            <w:r>
              <w:rPr>
                <w:rFonts w:ascii="Arial" w:cs="Arial" w:eastAsia="Arial" w:hAnsi="Arial"/>
                <w:sz w:val="18"/>
                <w:szCs w:val="18"/>
                <w:color w:val="auto"/>
              </w:rPr>
              <w:t>25,760</w:t>
            </w:r>
          </w:p>
        </w:tc>
        <w:tc>
          <w:tcPr>
            <w:tcW w:w="3000" w:type="dxa"/>
            <w:vAlign w:val="bottom"/>
          </w:tcPr>
          <w:p>
            <w:pPr>
              <w:jc w:val="right"/>
              <w:ind w:right="934"/>
              <w:spacing w:after="0" w:line="202" w:lineRule="exact"/>
              <w:rPr>
                <w:sz w:val="20"/>
                <w:szCs w:val="20"/>
                <w:color w:val="auto"/>
              </w:rPr>
            </w:pPr>
            <w:r>
              <w:rPr>
                <w:rFonts w:ascii="Arial" w:cs="Arial" w:eastAsia="Arial" w:hAnsi="Arial"/>
                <w:sz w:val="18"/>
                <w:szCs w:val="18"/>
                <w:color w:val="auto"/>
              </w:rPr>
              <w:t>2,035</w:t>
            </w:r>
          </w:p>
        </w:tc>
      </w:tr>
      <w:tr>
        <w:trPr>
          <w:trHeight w:val="203"/>
        </w:trPr>
        <w:tc>
          <w:tcPr>
            <w:tcW w:w="2780" w:type="dxa"/>
            <w:vAlign w:val="bottom"/>
            <w:shd w:val="clear" w:color="auto" w:fill="E8EDF4"/>
          </w:tcPr>
          <w:p>
            <w:pPr>
              <w:ind w:left="40"/>
              <w:spacing w:after="0" w:line="202" w:lineRule="exact"/>
              <w:rPr>
                <w:sz w:val="20"/>
                <w:szCs w:val="20"/>
                <w:color w:val="auto"/>
              </w:rPr>
            </w:pPr>
            <w:r>
              <w:rPr>
                <w:rFonts w:ascii="Arial" w:cs="Arial" w:eastAsia="Arial" w:hAnsi="Arial"/>
                <w:sz w:val="18"/>
                <w:szCs w:val="18"/>
                <w:color w:val="auto"/>
              </w:rPr>
              <w:t>Kenton J. Sicchitano</w:t>
            </w:r>
          </w:p>
        </w:tc>
        <w:tc>
          <w:tcPr>
            <w:tcW w:w="2580" w:type="dxa"/>
            <w:vAlign w:val="bottom"/>
            <w:shd w:val="clear" w:color="auto" w:fill="E8EDF4"/>
          </w:tcPr>
          <w:p>
            <w:pPr>
              <w:jc w:val="right"/>
              <w:ind w:right="915"/>
              <w:spacing w:after="0" w:line="202" w:lineRule="exact"/>
              <w:rPr>
                <w:sz w:val="20"/>
                <w:szCs w:val="20"/>
                <w:color w:val="auto"/>
              </w:rPr>
            </w:pPr>
            <w:r>
              <w:rPr>
                <w:rFonts w:ascii="Arial" w:cs="Arial" w:eastAsia="Arial" w:hAnsi="Arial"/>
                <w:sz w:val="18"/>
                <w:szCs w:val="18"/>
                <w:color w:val="auto"/>
              </w:rPr>
              <w:t>37,620</w:t>
            </w:r>
          </w:p>
        </w:tc>
        <w:tc>
          <w:tcPr>
            <w:tcW w:w="3000" w:type="dxa"/>
            <w:vAlign w:val="bottom"/>
            <w:shd w:val="clear" w:color="auto" w:fill="E8EDF4"/>
          </w:tcPr>
          <w:p>
            <w:pPr>
              <w:jc w:val="right"/>
              <w:ind w:right="934"/>
              <w:spacing w:after="0" w:line="202" w:lineRule="exact"/>
              <w:rPr>
                <w:sz w:val="20"/>
                <w:szCs w:val="20"/>
                <w:color w:val="auto"/>
              </w:rPr>
            </w:pPr>
            <w:r>
              <w:rPr>
                <w:rFonts w:ascii="Arial" w:cs="Arial" w:eastAsia="Arial" w:hAnsi="Arial"/>
                <w:sz w:val="18"/>
                <w:szCs w:val="18"/>
                <w:color w:val="auto"/>
              </w:rPr>
              <w:t>2,035</w:t>
            </w:r>
          </w:p>
        </w:tc>
      </w:tr>
      <w:tr>
        <w:trPr>
          <w:trHeight w:val="203"/>
        </w:trPr>
        <w:tc>
          <w:tcPr>
            <w:tcW w:w="2780" w:type="dxa"/>
            <w:vAlign w:val="bottom"/>
          </w:tcPr>
          <w:p>
            <w:pPr>
              <w:ind w:left="40"/>
              <w:spacing w:after="0" w:line="202" w:lineRule="exact"/>
              <w:rPr>
                <w:sz w:val="20"/>
                <w:szCs w:val="20"/>
                <w:color w:val="auto"/>
              </w:rPr>
            </w:pPr>
            <w:r>
              <w:rPr>
                <w:rFonts w:ascii="Arial" w:cs="Arial" w:eastAsia="Arial" w:hAnsi="Arial"/>
                <w:sz w:val="18"/>
                <w:szCs w:val="18"/>
                <w:color w:val="auto"/>
              </w:rPr>
              <w:t>Ray Stata</w:t>
            </w:r>
          </w:p>
        </w:tc>
        <w:tc>
          <w:tcPr>
            <w:tcW w:w="2580" w:type="dxa"/>
            <w:vAlign w:val="bottom"/>
          </w:tcPr>
          <w:p>
            <w:pPr>
              <w:jc w:val="right"/>
              <w:ind w:right="915"/>
              <w:spacing w:after="0" w:line="202" w:lineRule="exact"/>
              <w:rPr>
                <w:sz w:val="20"/>
                <w:szCs w:val="20"/>
                <w:color w:val="auto"/>
              </w:rPr>
            </w:pPr>
            <w:r>
              <w:rPr>
                <w:rFonts w:ascii="Arial" w:cs="Arial" w:eastAsia="Arial" w:hAnsi="Arial"/>
                <w:sz w:val="18"/>
                <w:szCs w:val="18"/>
                <w:color w:val="auto"/>
              </w:rPr>
              <w:t>37,620</w:t>
            </w:r>
          </w:p>
        </w:tc>
        <w:tc>
          <w:tcPr>
            <w:tcW w:w="3000" w:type="dxa"/>
            <w:vAlign w:val="bottom"/>
          </w:tcPr>
          <w:p>
            <w:pPr>
              <w:jc w:val="right"/>
              <w:ind w:right="934"/>
              <w:spacing w:after="0" w:line="202" w:lineRule="exact"/>
              <w:rPr>
                <w:sz w:val="20"/>
                <w:szCs w:val="20"/>
                <w:color w:val="auto"/>
              </w:rPr>
            </w:pPr>
            <w:r>
              <w:rPr>
                <w:rFonts w:ascii="Arial" w:cs="Arial" w:eastAsia="Arial" w:hAnsi="Arial"/>
                <w:sz w:val="18"/>
                <w:szCs w:val="18"/>
                <w:color w:val="auto"/>
              </w:rPr>
              <w:t>2,035</w:t>
            </w:r>
          </w:p>
        </w:tc>
      </w:tr>
      <w:tr>
        <w:trPr>
          <w:trHeight w:val="203"/>
        </w:trPr>
        <w:tc>
          <w:tcPr>
            <w:tcW w:w="2780" w:type="dxa"/>
            <w:vAlign w:val="bottom"/>
            <w:shd w:val="clear" w:color="auto" w:fill="E8EDF4"/>
          </w:tcPr>
          <w:p>
            <w:pPr>
              <w:ind w:left="40"/>
              <w:spacing w:after="0" w:line="202" w:lineRule="exact"/>
              <w:rPr>
                <w:sz w:val="20"/>
                <w:szCs w:val="20"/>
                <w:color w:val="auto"/>
              </w:rPr>
            </w:pPr>
            <w:r>
              <w:rPr>
                <w:rFonts w:ascii="Arial" w:cs="Arial" w:eastAsia="Arial" w:hAnsi="Arial"/>
                <w:sz w:val="18"/>
                <w:szCs w:val="18"/>
                <w:color w:val="auto"/>
              </w:rPr>
              <w:t>Lisa T. Su</w:t>
            </w:r>
          </w:p>
        </w:tc>
        <w:tc>
          <w:tcPr>
            <w:tcW w:w="2580" w:type="dxa"/>
            <w:vAlign w:val="bottom"/>
            <w:shd w:val="clear" w:color="auto" w:fill="E8EDF4"/>
          </w:tcPr>
          <w:p>
            <w:pPr>
              <w:jc w:val="right"/>
              <w:ind w:right="915"/>
              <w:spacing w:after="0" w:line="202" w:lineRule="exact"/>
              <w:rPr>
                <w:sz w:val="20"/>
                <w:szCs w:val="20"/>
                <w:color w:val="auto"/>
              </w:rPr>
            </w:pPr>
            <w:r>
              <w:rPr>
                <w:rFonts w:ascii="Arial" w:cs="Arial" w:eastAsia="Arial" w:hAnsi="Arial"/>
                <w:sz w:val="18"/>
                <w:szCs w:val="18"/>
                <w:color w:val="auto"/>
              </w:rPr>
              <w:t>25,760</w:t>
            </w:r>
          </w:p>
        </w:tc>
        <w:tc>
          <w:tcPr>
            <w:tcW w:w="3000" w:type="dxa"/>
            <w:vAlign w:val="bottom"/>
            <w:shd w:val="clear" w:color="auto" w:fill="E8EDF4"/>
          </w:tcPr>
          <w:p>
            <w:pPr>
              <w:jc w:val="right"/>
              <w:ind w:right="934"/>
              <w:spacing w:after="0" w:line="202" w:lineRule="exact"/>
              <w:rPr>
                <w:sz w:val="20"/>
                <w:szCs w:val="20"/>
                <w:color w:val="auto"/>
              </w:rPr>
            </w:pPr>
            <w:r>
              <w:rPr>
                <w:rFonts w:ascii="Arial" w:cs="Arial" w:eastAsia="Arial" w:hAnsi="Arial"/>
                <w:sz w:val="18"/>
                <w:szCs w:val="18"/>
                <w:color w:val="auto"/>
              </w:rPr>
              <w:t>2,035</w:t>
            </w:r>
          </w:p>
        </w:tc>
      </w:tr>
      <w:tr>
        <w:trPr>
          <w:trHeight w:val="217"/>
        </w:trPr>
        <w:tc>
          <w:tcPr>
            <w:tcW w:w="2780" w:type="dxa"/>
            <w:vAlign w:val="bottom"/>
          </w:tcPr>
          <w:p>
            <w:pPr>
              <w:ind w:left="40"/>
              <w:spacing w:after="0"/>
              <w:rPr>
                <w:sz w:val="20"/>
                <w:szCs w:val="20"/>
                <w:color w:val="auto"/>
              </w:rPr>
            </w:pPr>
            <w:r>
              <w:rPr>
                <w:rFonts w:ascii="Arial" w:cs="Arial" w:eastAsia="Arial" w:hAnsi="Arial"/>
                <w:sz w:val="18"/>
                <w:szCs w:val="18"/>
                <w:color w:val="auto"/>
              </w:rPr>
              <w:t>Susie Wee</w:t>
            </w:r>
          </w:p>
        </w:tc>
        <w:tc>
          <w:tcPr>
            <w:tcW w:w="2580" w:type="dxa"/>
            <w:vAlign w:val="bottom"/>
          </w:tcPr>
          <w:p>
            <w:pPr>
              <w:jc w:val="right"/>
              <w:ind w:right="1015"/>
              <w:spacing w:after="0"/>
              <w:rPr>
                <w:sz w:val="20"/>
                <w:szCs w:val="20"/>
                <w:color w:val="auto"/>
              </w:rPr>
            </w:pPr>
            <w:r>
              <w:rPr>
                <w:rFonts w:ascii="Arial" w:cs="Arial" w:eastAsia="Arial" w:hAnsi="Arial"/>
                <w:sz w:val="18"/>
                <w:szCs w:val="18"/>
                <w:color w:val="auto"/>
              </w:rPr>
              <w:t>—</w:t>
            </w:r>
          </w:p>
        </w:tc>
        <w:tc>
          <w:tcPr>
            <w:tcW w:w="3000" w:type="dxa"/>
            <w:vAlign w:val="bottom"/>
          </w:tcPr>
          <w:p>
            <w:pPr>
              <w:jc w:val="right"/>
              <w:ind w:right="1034"/>
              <w:spacing w:after="0"/>
              <w:rPr>
                <w:sz w:val="20"/>
                <w:szCs w:val="20"/>
                <w:color w:val="auto"/>
              </w:rPr>
            </w:pPr>
            <w:r>
              <w:rPr>
                <w:rFonts w:ascii="Arial" w:cs="Arial" w:eastAsia="Arial" w:hAnsi="Arial"/>
                <w:sz w:val="18"/>
                <w:szCs w:val="18"/>
                <w:color w:val="auto"/>
              </w:rPr>
              <w:t>—</w:t>
            </w:r>
          </w:p>
        </w:tc>
      </w:tr>
    </w:tbl>
    <w:p>
      <w:pPr>
        <w:spacing w:after="0" w:line="201" w:lineRule="exact"/>
        <w:rPr>
          <w:sz w:val="20"/>
          <w:szCs w:val="20"/>
          <w:color w:val="auto"/>
        </w:rPr>
      </w:pPr>
    </w:p>
    <w:p>
      <w:pPr>
        <w:ind w:left="200" w:right="40" w:firstLine="441"/>
        <w:spacing w:after="0" w:line="246" w:lineRule="auto"/>
        <w:rPr>
          <w:sz w:val="20"/>
          <w:szCs w:val="20"/>
          <w:color w:val="auto"/>
        </w:rPr>
      </w:pPr>
      <w:r>
        <w:rPr>
          <w:rFonts w:ascii="Arial" w:cs="Arial" w:eastAsia="Arial" w:hAnsi="Arial"/>
          <w:sz w:val="18"/>
          <w:szCs w:val="18"/>
          <w:color w:val="auto"/>
        </w:rPr>
        <w:t>The following table includes the assumptions, rounded to the nearest hundredth, which we used to calculate the grant date fair value amounts included in the “Stock Awards” column for fiscal 2019 Director Compensation.</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2980" w:type="dxa"/>
            <w:vAlign w:val="bottom"/>
            <w:shd w:val="clear" w:color="auto" w:fill="052B82"/>
          </w:tcPr>
          <w:p>
            <w:pPr>
              <w:spacing w:after="0"/>
              <w:rPr>
                <w:sz w:val="14"/>
                <w:szCs w:val="14"/>
                <w:color w:val="auto"/>
              </w:rPr>
            </w:pPr>
          </w:p>
        </w:tc>
        <w:tc>
          <w:tcPr>
            <w:tcW w:w="2600" w:type="dxa"/>
            <w:vAlign w:val="bottom"/>
            <w:shd w:val="clear" w:color="auto" w:fill="052B82"/>
          </w:tcPr>
          <w:p>
            <w:pPr>
              <w:spacing w:after="0"/>
              <w:rPr>
                <w:sz w:val="14"/>
                <w:szCs w:val="14"/>
                <w:color w:val="auto"/>
              </w:rPr>
            </w:pPr>
          </w:p>
        </w:tc>
        <w:tc>
          <w:tcPr>
            <w:tcW w:w="3080" w:type="dxa"/>
            <w:vAlign w:val="bottom"/>
            <w:gridSpan w:val="2"/>
            <w:shd w:val="clear" w:color="auto" w:fill="052B82"/>
          </w:tcPr>
          <w:p>
            <w:pPr>
              <w:ind w:left="1160"/>
              <w:spacing w:after="0"/>
              <w:rPr>
                <w:sz w:val="20"/>
                <w:szCs w:val="20"/>
                <w:color w:val="auto"/>
              </w:rPr>
            </w:pPr>
            <w:r>
              <w:rPr>
                <w:rFonts w:ascii="Arial" w:cs="Arial" w:eastAsia="Arial" w:hAnsi="Arial"/>
                <w:sz w:val="14"/>
                <w:szCs w:val="14"/>
                <w:b w:val="1"/>
                <w:bCs w:val="1"/>
                <w:color w:val="FFFFFF"/>
              </w:rPr>
              <w:t>Assumptions</w:t>
            </w:r>
          </w:p>
        </w:tc>
        <w:tc>
          <w:tcPr>
            <w:tcW w:w="1460" w:type="dxa"/>
            <w:vAlign w:val="bottom"/>
            <w:shd w:val="clear" w:color="auto" w:fill="052B82"/>
          </w:tcPr>
          <w:p>
            <w:pPr>
              <w:spacing w:after="0"/>
              <w:rPr>
                <w:sz w:val="14"/>
                <w:szCs w:val="14"/>
                <w:color w:val="auto"/>
              </w:rPr>
            </w:pPr>
          </w:p>
        </w:tc>
      </w:tr>
      <w:tr>
        <w:trPr>
          <w:trHeight w:val="149"/>
        </w:trPr>
        <w:tc>
          <w:tcPr>
            <w:tcW w:w="2980" w:type="dxa"/>
            <w:vAlign w:val="bottom"/>
            <w:shd w:val="clear" w:color="auto" w:fill="052B82"/>
          </w:tcPr>
          <w:p>
            <w:pPr>
              <w:spacing w:after="0"/>
              <w:rPr>
                <w:sz w:val="12"/>
                <w:szCs w:val="12"/>
                <w:color w:val="auto"/>
              </w:rPr>
            </w:pPr>
          </w:p>
        </w:tc>
        <w:tc>
          <w:tcPr>
            <w:tcW w:w="2600" w:type="dxa"/>
            <w:vAlign w:val="bottom"/>
            <w:shd w:val="clear" w:color="auto" w:fill="052B82"/>
          </w:tcPr>
          <w:p>
            <w:pPr>
              <w:spacing w:after="0"/>
              <w:rPr>
                <w:sz w:val="12"/>
                <w:szCs w:val="12"/>
                <w:color w:val="auto"/>
              </w:rPr>
            </w:pPr>
          </w:p>
        </w:tc>
        <w:tc>
          <w:tcPr>
            <w:tcW w:w="1640" w:type="dxa"/>
            <w:vAlign w:val="bottom"/>
            <w:shd w:val="clear" w:color="auto" w:fill="052B82"/>
          </w:tcPr>
          <w:p>
            <w:pPr>
              <w:jc w:val="center"/>
              <w:ind w:left="123"/>
              <w:spacing w:after="0" w:line="149" w:lineRule="exact"/>
              <w:rPr>
                <w:sz w:val="20"/>
                <w:szCs w:val="20"/>
                <w:color w:val="auto"/>
              </w:rPr>
            </w:pPr>
            <w:r>
              <w:rPr>
                <w:rFonts w:ascii="Arial" w:cs="Arial" w:eastAsia="Arial" w:hAnsi="Arial"/>
                <w:sz w:val="14"/>
                <w:szCs w:val="14"/>
                <w:b w:val="1"/>
                <w:bCs w:val="1"/>
                <w:color w:val="FFFFFF"/>
              </w:rPr>
              <w:t>Risk-Free</w:t>
            </w:r>
          </w:p>
        </w:tc>
        <w:tc>
          <w:tcPr>
            <w:tcW w:w="1440" w:type="dxa"/>
            <w:vAlign w:val="bottom"/>
            <w:shd w:val="clear" w:color="auto" w:fill="052B82"/>
          </w:tcPr>
          <w:p>
            <w:pPr>
              <w:spacing w:after="0"/>
              <w:rPr>
                <w:sz w:val="12"/>
                <w:szCs w:val="12"/>
                <w:color w:val="auto"/>
              </w:rPr>
            </w:pPr>
          </w:p>
        </w:tc>
        <w:tc>
          <w:tcPr>
            <w:tcW w:w="1460" w:type="dxa"/>
            <w:vAlign w:val="bottom"/>
            <w:shd w:val="clear" w:color="auto" w:fill="052B82"/>
          </w:tcPr>
          <w:p>
            <w:pPr>
              <w:jc w:val="center"/>
              <w:ind w:left="82"/>
              <w:spacing w:after="0" w:line="149" w:lineRule="exact"/>
              <w:rPr>
                <w:sz w:val="20"/>
                <w:szCs w:val="20"/>
                <w:color w:val="auto"/>
              </w:rPr>
            </w:pPr>
            <w:r>
              <w:rPr>
                <w:rFonts w:ascii="Arial" w:cs="Arial" w:eastAsia="Arial" w:hAnsi="Arial"/>
                <w:sz w:val="14"/>
                <w:szCs w:val="14"/>
                <w:b w:val="1"/>
                <w:bCs w:val="1"/>
                <w:color w:val="FFFFFF"/>
              </w:rPr>
              <w:t>Grant Date</w:t>
            </w:r>
          </w:p>
        </w:tc>
      </w:tr>
      <w:tr>
        <w:trPr>
          <w:trHeight w:val="162"/>
        </w:trPr>
        <w:tc>
          <w:tcPr>
            <w:tcW w:w="2980" w:type="dxa"/>
            <w:vAlign w:val="bottom"/>
            <w:shd w:val="clear" w:color="auto" w:fill="052B82"/>
          </w:tcPr>
          <w:p>
            <w:pPr>
              <w:spacing w:after="0"/>
              <w:rPr>
                <w:sz w:val="14"/>
                <w:szCs w:val="14"/>
                <w:color w:val="auto"/>
              </w:rPr>
            </w:pPr>
          </w:p>
        </w:tc>
        <w:tc>
          <w:tcPr>
            <w:tcW w:w="2600" w:type="dxa"/>
            <w:vAlign w:val="bottom"/>
            <w:shd w:val="clear" w:color="auto" w:fill="052B82"/>
          </w:tcPr>
          <w:p>
            <w:pPr>
              <w:spacing w:after="0"/>
              <w:rPr>
                <w:sz w:val="14"/>
                <w:szCs w:val="14"/>
                <w:color w:val="auto"/>
              </w:rPr>
            </w:pPr>
          </w:p>
        </w:tc>
        <w:tc>
          <w:tcPr>
            <w:tcW w:w="1640" w:type="dxa"/>
            <w:vAlign w:val="bottom"/>
            <w:shd w:val="clear" w:color="auto" w:fill="052B82"/>
          </w:tcPr>
          <w:p>
            <w:pPr>
              <w:jc w:val="center"/>
              <w:ind w:left="123"/>
              <w:spacing w:after="0"/>
              <w:rPr>
                <w:sz w:val="20"/>
                <w:szCs w:val="20"/>
                <w:color w:val="auto"/>
              </w:rPr>
            </w:pPr>
            <w:r>
              <w:rPr>
                <w:rFonts w:ascii="Arial" w:cs="Arial" w:eastAsia="Arial" w:hAnsi="Arial"/>
                <w:sz w:val="14"/>
                <w:szCs w:val="14"/>
                <w:b w:val="1"/>
                <w:bCs w:val="1"/>
                <w:color w:val="FFFFFF"/>
              </w:rPr>
              <w:t>Interest</w:t>
            </w:r>
          </w:p>
        </w:tc>
        <w:tc>
          <w:tcPr>
            <w:tcW w:w="144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Dividend</w:t>
            </w:r>
          </w:p>
        </w:tc>
        <w:tc>
          <w:tcPr>
            <w:tcW w:w="1460" w:type="dxa"/>
            <w:vAlign w:val="bottom"/>
            <w:shd w:val="clear" w:color="auto" w:fill="052B82"/>
          </w:tcPr>
          <w:p>
            <w:pPr>
              <w:jc w:val="center"/>
              <w:ind w:left="62"/>
              <w:spacing w:after="0"/>
              <w:rPr>
                <w:sz w:val="20"/>
                <w:szCs w:val="20"/>
                <w:color w:val="auto"/>
              </w:rPr>
            </w:pPr>
            <w:r>
              <w:rPr>
                <w:rFonts w:ascii="Arial" w:cs="Arial" w:eastAsia="Arial" w:hAnsi="Arial"/>
                <w:sz w:val="14"/>
                <w:szCs w:val="14"/>
                <w:b w:val="1"/>
                <w:bCs w:val="1"/>
                <w:color w:val="FFFFFF"/>
              </w:rPr>
              <w:t>Fair Value</w:t>
            </w:r>
          </w:p>
        </w:tc>
      </w:tr>
      <w:tr>
        <w:trPr>
          <w:trHeight w:val="162"/>
        </w:trPr>
        <w:tc>
          <w:tcPr>
            <w:tcW w:w="2980" w:type="dxa"/>
            <w:vAlign w:val="bottom"/>
            <w:shd w:val="clear" w:color="auto" w:fill="052B82"/>
          </w:tcPr>
          <w:p>
            <w:pPr>
              <w:spacing w:after="0"/>
              <w:rPr>
                <w:sz w:val="14"/>
                <w:szCs w:val="14"/>
                <w:color w:val="auto"/>
              </w:rPr>
            </w:pPr>
          </w:p>
        </w:tc>
        <w:tc>
          <w:tcPr>
            <w:tcW w:w="2600" w:type="dxa"/>
            <w:vAlign w:val="bottom"/>
            <w:shd w:val="clear" w:color="auto" w:fill="052B82"/>
          </w:tcPr>
          <w:p>
            <w:pPr>
              <w:spacing w:after="0"/>
              <w:rPr>
                <w:sz w:val="14"/>
                <w:szCs w:val="14"/>
                <w:color w:val="auto"/>
              </w:rPr>
            </w:pPr>
          </w:p>
        </w:tc>
        <w:tc>
          <w:tcPr>
            <w:tcW w:w="1640" w:type="dxa"/>
            <w:vAlign w:val="bottom"/>
            <w:shd w:val="clear" w:color="auto" w:fill="052B82"/>
          </w:tcPr>
          <w:p>
            <w:pPr>
              <w:jc w:val="center"/>
              <w:ind w:left="123"/>
              <w:spacing w:after="0"/>
              <w:rPr>
                <w:sz w:val="20"/>
                <w:szCs w:val="20"/>
                <w:color w:val="auto"/>
              </w:rPr>
            </w:pPr>
            <w:r>
              <w:rPr>
                <w:rFonts w:ascii="Arial" w:cs="Arial" w:eastAsia="Arial" w:hAnsi="Arial"/>
                <w:sz w:val="14"/>
                <w:szCs w:val="14"/>
                <w:b w:val="1"/>
                <w:bCs w:val="1"/>
                <w:color w:val="FFFFFF"/>
              </w:rPr>
              <w:t>Rate</w:t>
            </w:r>
          </w:p>
        </w:tc>
        <w:tc>
          <w:tcPr>
            <w:tcW w:w="1440" w:type="dxa"/>
            <w:vAlign w:val="bottom"/>
            <w:shd w:val="clear" w:color="auto" w:fill="052B82"/>
          </w:tcPr>
          <w:p>
            <w:pPr>
              <w:ind w:left="520"/>
              <w:spacing w:after="0"/>
              <w:rPr>
                <w:sz w:val="20"/>
                <w:szCs w:val="20"/>
                <w:color w:val="auto"/>
              </w:rPr>
            </w:pPr>
            <w:r>
              <w:rPr>
                <w:rFonts w:ascii="Arial" w:cs="Arial" w:eastAsia="Arial" w:hAnsi="Arial"/>
                <w:sz w:val="14"/>
                <w:szCs w:val="14"/>
                <w:b w:val="1"/>
                <w:bCs w:val="1"/>
                <w:color w:val="FFFFFF"/>
              </w:rPr>
              <w:t>Yield</w:t>
            </w:r>
          </w:p>
        </w:tc>
        <w:tc>
          <w:tcPr>
            <w:tcW w:w="1460" w:type="dxa"/>
            <w:vAlign w:val="bottom"/>
            <w:shd w:val="clear" w:color="auto" w:fill="052B82"/>
          </w:tcPr>
          <w:p>
            <w:pPr>
              <w:jc w:val="center"/>
              <w:ind w:left="62"/>
              <w:spacing w:after="0"/>
              <w:rPr>
                <w:sz w:val="20"/>
                <w:szCs w:val="20"/>
                <w:color w:val="auto"/>
              </w:rPr>
            </w:pPr>
            <w:r>
              <w:rPr>
                <w:rFonts w:ascii="Arial" w:cs="Arial" w:eastAsia="Arial" w:hAnsi="Arial"/>
                <w:sz w:val="14"/>
                <w:szCs w:val="14"/>
                <w:b w:val="1"/>
                <w:bCs w:val="1"/>
                <w:color w:val="FFFFFF"/>
              </w:rPr>
              <w:t>Per Share</w:t>
            </w:r>
          </w:p>
        </w:tc>
      </w:tr>
      <w:tr>
        <w:trPr>
          <w:trHeight w:val="189"/>
        </w:trPr>
        <w:tc>
          <w:tcPr>
            <w:tcW w:w="2980" w:type="dxa"/>
            <w:vAlign w:val="bottom"/>
            <w:shd w:val="clear" w:color="auto" w:fill="052B82"/>
          </w:tcPr>
          <w:p>
            <w:pPr>
              <w:ind w:left="40"/>
              <w:spacing w:after="0"/>
              <w:rPr>
                <w:sz w:val="20"/>
                <w:szCs w:val="20"/>
                <w:color w:val="auto"/>
              </w:rPr>
            </w:pPr>
            <w:r>
              <w:rPr>
                <w:rFonts w:ascii="Arial" w:cs="Arial" w:eastAsia="Arial" w:hAnsi="Arial"/>
                <w:sz w:val="14"/>
                <w:szCs w:val="14"/>
                <w:b w:val="1"/>
                <w:bCs w:val="1"/>
                <w:color w:val="FFFFFF"/>
              </w:rPr>
              <w:t>Grant Date</w:t>
            </w:r>
          </w:p>
        </w:tc>
        <w:tc>
          <w:tcPr>
            <w:tcW w:w="2600" w:type="dxa"/>
            <w:vAlign w:val="bottom"/>
            <w:shd w:val="clear" w:color="auto" w:fill="052B82"/>
          </w:tcPr>
          <w:p>
            <w:pPr>
              <w:spacing w:after="0"/>
              <w:rPr>
                <w:sz w:val="16"/>
                <w:szCs w:val="16"/>
                <w:color w:val="auto"/>
              </w:rPr>
            </w:pPr>
          </w:p>
        </w:tc>
        <w:tc>
          <w:tcPr>
            <w:tcW w:w="1640" w:type="dxa"/>
            <w:vAlign w:val="bottom"/>
            <w:shd w:val="clear" w:color="auto" w:fill="052B82"/>
          </w:tcPr>
          <w:p>
            <w:pPr>
              <w:jc w:val="center"/>
              <w:ind w:left="123"/>
              <w:spacing w:after="0"/>
              <w:rPr>
                <w:sz w:val="20"/>
                <w:szCs w:val="20"/>
                <w:color w:val="auto"/>
              </w:rPr>
            </w:pPr>
            <w:r>
              <w:rPr>
                <w:rFonts w:ascii="Arial" w:cs="Arial" w:eastAsia="Arial" w:hAnsi="Arial"/>
                <w:sz w:val="14"/>
                <w:szCs w:val="14"/>
                <w:b w:val="1"/>
                <w:bCs w:val="1"/>
                <w:color w:val="FFFFFF"/>
              </w:rPr>
              <w:t>(%)</w:t>
            </w:r>
          </w:p>
        </w:tc>
        <w:tc>
          <w:tcPr>
            <w:tcW w:w="1440" w:type="dxa"/>
            <w:vAlign w:val="bottom"/>
            <w:shd w:val="clear" w:color="auto" w:fill="052B82"/>
          </w:tcPr>
          <w:p>
            <w:pPr>
              <w:jc w:val="right"/>
              <w:ind w:right="561"/>
              <w:spacing w:after="0"/>
              <w:rPr>
                <w:sz w:val="20"/>
                <w:szCs w:val="20"/>
                <w:color w:val="auto"/>
              </w:rPr>
            </w:pPr>
            <w:r>
              <w:rPr>
                <w:rFonts w:ascii="Arial" w:cs="Arial" w:eastAsia="Arial" w:hAnsi="Arial"/>
                <w:sz w:val="14"/>
                <w:szCs w:val="14"/>
                <w:b w:val="1"/>
                <w:bCs w:val="1"/>
                <w:color w:val="FFFFFF"/>
              </w:rPr>
              <w:t>(%)</w:t>
            </w:r>
          </w:p>
        </w:tc>
        <w:tc>
          <w:tcPr>
            <w:tcW w:w="1460" w:type="dxa"/>
            <w:vAlign w:val="bottom"/>
            <w:shd w:val="clear" w:color="auto" w:fill="052B82"/>
          </w:tcPr>
          <w:p>
            <w:pPr>
              <w:jc w:val="center"/>
              <w:ind w:left="82"/>
              <w:spacing w:after="0"/>
              <w:rPr>
                <w:sz w:val="20"/>
                <w:szCs w:val="20"/>
                <w:color w:val="auto"/>
              </w:rPr>
            </w:pPr>
            <w:r>
              <w:rPr>
                <w:rFonts w:ascii="Arial" w:cs="Arial" w:eastAsia="Arial" w:hAnsi="Arial"/>
                <w:sz w:val="14"/>
                <w:szCs w:val="14"/>
                <w:b w:val="1"/>
                <w:bCs w:val="1"/>
                <w:color w:val="FFFFFF"/>
              </w:rPr>
              <w:t>($)</w:t>
            </w:r>
          </w:p>
        </w:tc>
      </w:tr>
      <w:tr>
        <w:trPr>
          <w:trHeight w:val="203"/>
        </w:trPr>
        <w:tc>
          <w:tcPr>
            <w:tcW w:w="2980" w:type="dxa"/>
            <w:vAlign w:val="bottom"/>
          </w:tcPr>
          <w:p>
            <w:pPr>
              <w:ind w:left="40"/>
              <w:spacing w:after="0" w:line="202" w:lineRule="exact"/>
              <w:rPr>
                <w:sz w:val="20"/>
                <w:szCs w:val="20"/>
                <w:color w:val="auto"/>
              </w:rPr>
            </w:pPr>
            <w:r>
              <w:rPr>
                <w:rFonts w:ascii="Arial" w:cs="Arial" w:eastAsia="Arial" w:hAnsi="Arial"/>
                <w:sz w:val="18"/>
                <w:szCs w:val="18"/>
                <w:color w:val="auto"/>
              </w:rPr>
              <w:t>2/15/2019</w:t>
            </w:r>
          </w:p>
        </w:tc>
        <w:tc>
          <w:tcPr>
            <w:tcW w:w="2600" w:type="dxa"/>
            <w:vAlign w:val="bottom"/>
          </w:tcPr>
          <w:p>
            <w:pPr>
              <w:ind w:left="2120"/>
              <w:spacing w:after="0" w:line="202" w:lineRule="exact"/>
              <w:rPr>
                <w:sz w:val="20"/>
                <w:szCs w:val="20"/>
                <w:color w:val="auto"/>
              </w:rPr>
            </w:pPr>
            <w:r>
              <w:rPr>
                <w:rFonts w:ascii="Arial" w:cs="Arial" w:eastAsia="Arial" w:hAnsi="Arial"/>
                <w:sz w:val="18"/>
                <w:szCs w:val="18"/>
                <w:color w:val="auto"/>
                <w:w w:val="97"/>
              </w:rPr>
              <w:t>RSUs</w:t>
            </w:r>
          </w:p>
        </w:tc>
        <w:tc>
          <w:tcPr>
            <w:tcW w:w="1640" w:type="dxa"/>
            <w:vAlign w:val="bottom"/>
          </w:tcPr>
          <w:p>
            <w:pPr>
              <w:jc w:val="right"/>
              <w:ind w:right="443"/>
              <w:spacing w:after="0" w:line="202" w:lineRule="exact"/>
              <w:rPr>
                <w:sz w:val="20"/>
                <w:szCs w:val="20"/>
                <w:color w:val="auto"/>
              </w:rPr>
            </w:pPr>
            <w:r>
              <w:rPr>
                <w:rFonts w:ascii="Arial" w:cs="Arial" w:eastAsia="Arial" w:hAnsi="Arial"/>
                <w:sz w:val="18"/>
                <w:szCs w:val="18"/>
                <w:color w:val="auto"/>
              </w:rPr>
              <w:t>2.55</w:t>
            </w:r>
          </w:p>
        </w:tc>
        <w:tc>
          <w:tcPr>
            <w:tcW w:w="1440" w:type="dxa"/>
            <w:vAlign w:val="bottom"/>
          </w:tcPr>
          <w:p>
            <w:pPr>
              <w:ind w:left="540"/>
              <w:spacing w:after="0" w:line="202" w:lineRule="exact"/>
              <w:rPr>
                <w:sz w:val="20"/>
                <w:szCs w:val="20"/>
                <w:color w:val="auto"/>
              </w:rPr>
            </w:pPr>
            <w:r>
              <w:rPr>
                <w:rFonts w:ascii="Arial" w:cs="Arial" w:eastAsia="Arial" w:hAnsi="Arial"/>
                <w:sz w:val="18"/>
                <w:szCs w:val="18"/>
                <w:color w:val="auto"/>
              </w:rPr>
              <w:t>1.82</w:t>
            </w:r>
          </w:p>
        </w:tc>
        <w:tc>
          <w:tcPr>
            <w:tcW w:w="1460" w:type="dxa"/>
            <w:vAlign w:val="bottom"/>
          </w:tcPr>
          <w:p>
            <w:pPr>
              <w:jc w:val="right"/>
              <w:ind w:right="282"/>
              <w:spacing w:after="0" w:line="202" w:lineRule="exact"/>
              <w:rPr>
                <w:sz w:val="20"/>
                <w:szCs w:val="20"/>
                <w:color w:val="auto"/>
              </w:rPr>
            </w:pPr>
            <w:r>
              <w:rPr>
                <w:rFonts w:ascii="Arial" w:cs="Arial" w:eastAsia="Arial" w:hAnsi="Arial"/>
                <w:sz w:val="18"/>
                <w:szCs w:val="18"/>
                <w:color w:val="auto"/>
              </w:rPr>
              <w:t>103.85</w:t>
            </w:r>
          </w:p>
        </w:tc>
      </w:tr>
      <w:tr>
        <w:trPr>
          <w:trHeight w:val="203"/>
        </w:trPr>
        <w:tc>
          <w:tcPr>
            <w:tcW w:w="2980" w:type="dxa"/>
            <w:vAlign w:val="bottom"/>
            <w:shd w:val="clear" w:color="auto" w:fill="E8EDF4"/>
          </w:tcPr>
          <w:p>
            <w:pPr>
              <w:ind w:left="40"/>
              <w:spacing w:after="0" w:line="202" w:lineRule="exact"/>
              <w:rPr>
                <w:sz w:val="20"/>
                <w:szCs w:val="20"/>
                <w:color w:val="auto"/>
              </w:rPr>
            </w:pPr>
            <w:r>
              <w:rPr>
                <w:rFonts w:ascii="Arial" w:cs="Arial" w:eastAsia="Arial" w:hAnsi="Arial"/>
                <w:sz w:val="18"/>
                <w:szCs w:val="18"/>
                <w:color w:val="auto"/>
              </w:rPr>
              <w:t>3/13/2019</w:t>
            </w:r>
          </w:p>
        </w:tc>
        <w:tc>
          <w:tcPr>
            <w:tcW w:w="2600" w:type="dxa"/>
            <w:vAlign w:val="bottom"/>
            <w:shd w:val="clear" w:color="auto" w:fill="E8EDF4"/>
          </w:tcPr>
          <w:p>
            <w:pPr>
              <w:ind w:left="2120"/>
              <w:spacing w:after="0" w:line="202" w:lineRule="exact"/>
              <w:rPr>
                <w:sz w:val="20"/>
                <w:szCs w:val="20"/>
                <w:color w:val="auto"/>
              </w:rPr>
            </w:pPr>
            <w:r>
              <w:rPr>
                <w:rFonts w:ascii="Arial" w:cs="Arial" w:eastAsia="Arial" w:hAnsi="Arial"/>
                <w:sz w:val="18"/>
                <w:szCs w:val="18"/>
                <w:color w:val="auto"/>
                <w:w w:val="97"/>
              </w:rPr>
              <w:t>RSUs</w:t>
            </w:r>
          </w:p>
        </w:tc>
        <w:tc>
          <w:tcPr>
            <w:tcW w:w="1640" w:type="dxa"/>
            <w:vAlign w:val="bottom"/>
            <w:shd w:val="clear" w:color="auto" w:fill="E8EDF4"/>
          </w:tcPr>
          <w:p>
            <w:pPr>
              <w:jc w:val="right"/>
              <w:ind w:right="443"/>
              <w:spacing w:after="0" w:line="202" w:lineRule="exact"/>
              <w:rPr>
                <w:sz w:val="20"/>
                <w:szCs w:val="20"/>
                <w:color w:val="auto"/>
              </w:rPr>
            </w:pPr>
            <w:r>
              <w:rPr>
                <w:rFonts w:ascii="Arial" w:cs="Arial" w:eastAsia="Arial" w:hAnsi="Arial"/>
                <w:sz w:val="18"/>
                <w:szCs w:val="18"/>
                <w:color w:val="auto"/>
              </w:rPr>
              <w:t>2.53</w:t>
            </w:r>
          </w:p>
        </w:tc>
        <w:tc>
          <w:tcPr>
            <w:tcW w:w="1440" w:type="dxa"/>
            <w:vAlign w:val="bottom"/>
            <w:shd w:val="clear" w:color="auto" w:fill="E8EDF4"/>
          </w:tcPr>
          <w:p>
            <w:pPr>
              <w:ind w:left="540"/>
              <w:spacing w:after="0" w:line="202" w:lineRule="exact"/>
              <w:rPr>
                <w:sz w:val="20"/>
                <w:szCs w:val="20"/>
                <w:color w:val="auto"/>
              </w:rPr>
            </w:pPr>
            <w:r>
              <w:rPr>
                <w:rFonts w:ascii="Arial" w:cs="Arial" w:eastAsia="Arial" w:hAnsi="Arial"/>
                <w:sz w:val="18"/>
                <w:szCs w:val="18"/>
                <w:color w:val="auto"/>
              </w:rPr>
              <w:t>2.00</w:t>
            </w:r>
          </w:p>
        </w:tc>
        <w:tc>
          <w:tcPr>
            <w:tcW w:w="1460" w:type="dxa"/>
            <w:vAlign w:val="bottom"/>
            <w:shd w:val="clear" w:color="auto" w:fill="E8EDF4"/>
          </w:tcPr>
          <w:p>
            <w:pPr>
              <w:jc w:val="right"/>
              <w:ind w:right="282"/>
              <w:spacing w:after="0" w:line="202" w:lineRule="exact"/>
              <w:rPr>
                <w:sz w:val="20"/>
                <w:szCs w:val="20"/>
                <w:color w:val="auto"/>
              </w:rPr>
            </w:pPr>
            <w:r>
              <w:rPr>
                <w:rFonts w:ascii="Arial" w:cs="Arial" w:eastAsia="Arial" w:hAnsi="Arial"/>
                <w:sz w:val="18"/>
                <w:szCs w:val="18"/>
                <w:color w:val="auto"/>
              </w:rPr>
              <w:t>105.95</w:t>
            </w:r>
          </w:p>
        </w:tc>
      </w:tr>
    </w:tbl>
    <w:p>
      <w:pPr>
        <w:spacing w:after="0" w:line="215" w:lineRule="exact"/>
        <w:rPr>
          <w:sz w:val="20"/>
          <w:szCs w:val="20"/>
          <w:color w:val="auto"/>
        </w:rPr>
      </w:pPr>
    </w:p>
    <w:p>
      <w:pPr>
        <w:ind w:left="200" w:firstLine="441"/>
        <w:spacing w:after="0" w:line="238" w:lineRule="auto"/>
        <w:rPr>
          <w:sz w:val="20"/>
          <w:szCs w:val="20"/>
          <w:color w:val="auto"/>
        </w:rPr>
      </w:pPr>
      <w:r>
        <w:rPr>
          <w:rFonts w:ascii="Arial" w:cs="Arial" w:eastAsia="Arial" w:hAnsi="Arial"/>
          <w:sz w:val="18"/>
          <w:szCs w:val="18"/>
          <w:color w:val="auto"/>
        </w:rPr>
        <w:t>The grant date fair value of RSUs represents the value of our common stock on the date of grant, reduced by the present value of dividends expected to be paid on our common stock prior to vesting. For a more detailed description of the assumptions used for purposes of determining grant date fair value, see Note 3 to the Consolidated Financial Statements and “Management’s Discussion and Analysis of Financial Condition and Results of Operations — Critical Accounting Policies and Estimates — Stock-Based Compensation,” included in our Annual Report on Form 10-K for the year ended November 2, 2019.</w:t>
      </w:r>
    </w:p>
    <w:p>
      <w:pPr>
        <w:spacing w:after="0" w:line="230" w:lineRule="exact"/>
        <w:rPr>
          <w:sz w:val="20"/>
          <w:szCs w:val="20"/>
          <w:color w:val="auto"/>
        </w:rPr>
      </w:pPr>
    </w:p>
    <w:p>
      <w:pPr>
        <w:ind w:left="640" w:hanging="436"/>
        <w:spacing w:after="0"/>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amount represents payment of medical and dental insurance premiums on behalf of Mr. Stata and his spouse.</w:t>
      </w:r>
    </w:p>
    <w:p>
      <w:pPr>
        <w:spacing w:after="0" w:line="117" w:lineRule="exact"/>
        <w:rPr>
          <w:rFonts w:ascii="Arial" w:cs="Arial" w:eastAsia="Arial" w:hAnsi="Arial"/>
          <w:sz w:val="18"/>
          <w:szCs w:val="18"/>
          <w:color w:val="auto"/>
        </w:rPr>
      </w:pPr>
    </w:p>
    <w:p>
      <w:pPr>
        <w:ind w:left="640" w:right="140" w:hanging="436"/>
        <w:spacing w:after="0" w:line="246" w:lineRule="auto"/>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Dr. Chandrakasan joined the Board on January 1, 2019, and in accordance with our Equity Award Grant Date Policy, was granted a pro rata RSU award for his service from January 1, 2019 through our 2019 Annual Shareholder Meeting.</w:t>
      </w:r>
    </w:p>
    <w:p>
      <w:pPr>
        <w:spacing w:after="0" w:line="102" w:lineRule="exact"/>
        <w:rPr>
          <w:rFonts w:ascii="Arial" w:cs="Arial" w:eastAsia="Arial" w:hAnsi="Arial"/>
          <w:sz w:val="18"/>
          <w:szCs w:val="18"/>
          <w:color w:val="auto"/>
        </w:rPr>
      </w:pPr>
    </w:p>
    <w:p>
      <w:pPr>
        <w:ind w:left="640" w:hanging="436"/>
        <w:spacing w:after="0"/>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Dr. Wee joined the Board on November 29, 2019, and therefore did not receive any compensation in fiscal 2019.</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also reimburse our directors for travel to Board meetings and other related expenses.</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 Ownership Guidelines for Non-Employee Directors</w:t>
      </w:r>
    </w:p>
    <w:p>
      <w:pPr>
        <w:spacing w:after="0" w:line="126" w:lineRule="exact"/>
        <w:rPr>
          <w:sz w:val="20"/>
          <w:szCs w:val="20"/>
          <w:color w:val="auto"/>
        </w:rPr>
      </w:pPr>
    </w:p>
    <w:p>
      <w:pPr>
        <w:ind w:left="200" w:firstLine="441"/>
        <w:spacing w:after="0" w:line="239" w:lineRule="auto"/>
        <w:rPr>
          <w:sz w:val="20"/>
          <w:szCs w:val="20"/>
          <w:color w:val="auto"/>
        </w:rPr>
      </w:pPr>
      <w:r>
        <w:rPr>
          <w:rFonts w:ascii="Arial" w:cs="Arial" w:eastAsia="Arial" w:hAnsi="Arial"/>
          <w:sz w:val="18"/>
          <w:szCs w:val="18"/>
          <w:color w:val="auto"/>
        </w:rPr>
        <w:t>Under our stock ownership guidelines, the target share ownership level for non-employee directors is at least four times the directors’ annual cash retainer. Directors have four years to achieve their targeted level. Shares subject to unexercised options, whether or not vested, and any shares that have been pledged as collateral for a loan will not be counted for purposes of satisfying these guidelines. Unvested RSUs are</w:t>
      </w:r>
    </w:p>
    <w:p>
      <w:pPr>
        <w:spacing w:after="0" w:line="132" w:lineRule="exact"/>
        <w:rPr>
          <w:sz w:val="20"/>
          <w:szCs w:val="20"/>
          <w:color w:val="auto"/>
        </w:rPr>
      </w:pPr>
    </w:p>
    <w:p>
      <w:pPr>
        <w:ind w:left="600" w:hanging="396"/>
        <w:spacing w:after="0"/>
        <w:tabs>
          <w:tab w:leader="none" w:pos="600" w:val="left"/>
        </w:tabs>
        <w:numPr>
          <w:ilvl w:val="0"/>
          <w:numId w:val="63"/>
        </w:numPr>
        <w:rPr>
          <w:rFonts w:ascii="Arial" w:cs="Arial" w:eastAsia="Arial" w:hAnsi="Arial"/>
          <w:sz w:val="18"/>
          <w:szCs w:val="18"/>
          <w:color w:val="999999"/>
        </w:rPr>
      </w:pPr>
      <w:r>
        <w:rPr>
          <w:rFonts w:ascii="Arial" w:cs="Arial" w:eastAsia="Arial" w:hAnsi="Arial"/>
          <w:sz w:val="14"/>
          <w:szCs w:val="14"/>
          <w:b w:val="1"/>
          <w:bCs w:val="1"/>
          <w:color w:val="052B82"/>
        </w:rPr>
        <w:t>Analog Devices, Inc.</w:t>
      </w:r>
    </w:p>
    <w:p>
      <w:pPr>
        <w:sectPr>
          <w:pgSz w:w="11900" w:h="16838" w:orient="portrait"/>
          <w:cols w:equalWidth="0" w:num="1">
            <w:col w:w="11220"/>
          </w:cols>
          <w:pgMar w:left="24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205740</wp:posOffset>
            </wp:positionV>
            <wp:extent cx="2649855"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0" w:right="820"/>
        <w:spacing w:after="0" w:line="246" w:lineRule="auto"/>
        <w:rPr>
          <w:sz w:val="20"/>
          <w:szCs w:val="20"/>
          <w:color w:val="auto"/>
        </w:rPr>
      </w:pPr>
      <w:r>
        <w:rPr>
          <w:rFonts w:ascii="Arial" w:cs="Arial" w:eastAsia="Arial" w:hAnsi="Arial"/>
          <w:sz w:val="18"/>
          <w:szCs w:val="18"/>
          <w:color w:val="auto"/>
        </w:rPr>
        <w:t>counted for purposes of satisfying the guidelines. All of our non-employee directors were in compliance with our stock ownership guidelines as of the end of fiscal 2019.</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 Award Policy for Non-Employee Directors</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During fiscal 2019, our equity award grant policy for non-employee directors provided for the following:</w:t>
      </w:r>
    </w:p>
    <w:p>
      <w:pPr>
        <w:spacing w:after="0" w:line="117" w:lineRule="exact"/>
        <w:rPr>
          <w:sz w:val="20"/>
          <w:szCs w:val="20"/>
          <w:color w:val="auto"/>
        </w:rPr>
      </w:pPr>
    </w:p>
    <w:p>
      <w:pPr>
        <w:ind w:left="1180" w:hanging="436"/>
        <w:spacing w:after="0" w:line="239" w:lineRule="auto"/>
        <w:tabs>
          <w:tab w:leader="none" w:pos="11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Each newly elected non-employee director elected other than at an annual meeting of shareholders is automatically granted under the 2006 Stock Incentive Plan an RSU award for a number of shares of our common stock approved by the Board of Directors, on the 15th day of the month following the month of the date of initial election as a director, or if Nasdaq is closed on that day, the next succeeding business day that Nasdaq is open.</w:t>
      </w:r>
    </w:p>
    <w:p>
      <w:pPr>
        <w:spacing w:after="0" w:line="107" w:lineRule="exact"/>
        <w:rPr>
          <w:rFonts w:ascii="Arial" w:cs="Arial" w:eastAsia="Arial" w:hAnsi="Arial"/>
          <w:sz w:val="18"/>
          <w:szCs w:val="18"/>
          <w:color w:val="auto"/>
        </w:rPr>
      </w:pPr>
    </w:p>
    <w:p>
      <w:pPr>
        <w:ind w:left="1180" w:right="60" w:hanging="436"/>
        <w:spacing w:after="0" w:line="239" w:lineRule="auto"/>
        <w:tabs>
          <w:tab w:leader="none" w:pos="11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On an annual basis, each non-employee director elected or re-elected at an annual meeting of shareholders is automatically granted under the 2006 Stock Incentive Plan an RSU award for a number of shares of our common stock approved by the Board of Directors, on the date of our annual meeting of shareholders, or if Nasdaq is closed on that day, the next succeeding business day that Nasdaq is open.</w:t>
      </w:r>
    </w:p>
    <w:p>
      <w:pPr>
        <w:spacing w:after="0" w:line="202" w:lineRule="exact"/>
        <w:rPr>
          <w:sz w:val="20"/>
          <w:szCs w:val="20"/>
          <w:color w:val="auto"/>
        </w:rPr>
      </w:pPr>
    </w:p>
    <w:p>
      <w:pPr>
        <w:ind w:left="200" w:right="140" w:firstLine="441"/>
        <w:spacing w:after="0" w:line="237" w:lineRule="auto"/>
        <w:rPr>
          <w:sz w:val="20"/>
          <w:szCs w:val="20"/>
          <w:color w:val="auto"/>
        </w:rPr>
      </w:pPr>
      <w:r>
        <w:rPr>
          <w:rFonts w:ascii="Arial" w:cs="Arial" w:eastAsia="Arial" w:hAnsi="Arial"/>
          <w:sz w:val="18"/>
          <w:szCs w:val="18"/>
          <w:color w:val="auto"/>
        </w:rPr>
        <w:t>For fiscal 2019, RSUs granted to our non-employee directors under the 2006 Stock Incentive Plan vest on the earlier of the date of the Annual Meeting and the first anniversary of the date of grant, subject to acceleration as described below. The RSU awards vest in full upon the occurrence of a Change in Control Event (as defined in the 2006 Stock Incentive Plan) or the director’s death. If the director ceases to serve as a director by reason of his or her disability, as determined by the Board of Directors, each outstanding and unvested RSU will vest in full at the time he or she ceases to be a director. In addition, upon the occurrence of a Change in Control Event or in the event of the director’s death, disability or retirement after age 60, each vested option will continue to be exercisable for the balance of its term.</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52B82"/>
        </w:rPr>
        <w:t>CERTAIN RELATIONSHIPS AND RELATED TRANSACTIONS</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Transactions with Related Persons</w:t>
      </w:r>
    </w:p>
    <w:p>
      <w:pPr>
        <w:spacing w:after="0" w:line="126" w:lineRule="exact"/>
        <w:rPr>
          <w:sz w:val="20"/>
          <w:szCs w:val="20"/>
          <w:color w:val="auto"/>
        </w:rPr>
      </w:pPr>
    </w:p>
    <w:p>
      <w:pPr>
        <w:ind w:left="200" w:right="40" w:firstLine="441"/>
        <w:spacing w:after="0" w:line="237" w:lineRule="auto"/>
        <w:rPr>
          <w:sz w:val="20"/>
          <w:szCs w:val="20"/>
          <w:color w:val="auto"/>
        </w:rPr>
      </w:pPr>
      <w:r>
        <w:rPr>
          <w:rFonts w:ascii="Arial" w:cs="Arial" w:eastAsia="Arial" w:hAnsi="Arial"/>
          <w:sz w:val="18"/>
          <w:szCs w:val="18"/>
          <w:color w:val="auto"/>
        </w:rPr>
        <w:t>During fiscal 2019, Mr. Stata, our founder and Chairman of the Board, received a cash retainer for service on the Board of $250,000. Following his retirement as an employee in 2012, the Company agreed to provide medical and dental benefits to Mr. Stata and his spouse during their lifetimes on the same basis as provided to U.S. employees of the Company. The value of those medical and dental benefits in 2019 was $14,924. On March 13, 2019, we granted 2,035 RSUs to Mr. Stata. This award is identical to the award granted to our other non-employee directors on March 13, 2019 and vests on the earlier of the date of the Annual Meeting or the first anniversary of the grant date.</w:t>
      </w:r>
    </w:p>
    <w:p>
      <w:pPr>
        <w:spacing w:after="0" w:line="205" w:lineRule="exact"/>
        <w:rPr>
          <w:sz w:val="20"/>
          <w:szCs w:val="20"/>
          <w:color w:val="auto"/>
        </w:rPr>
      </w:pPr>
    </w:p>
    <w:p>
      <w:pPr>
        <w:ind w:left="200" w:right="80" w:firstLine="441"/>
        <w:spacing w:after="0"/>
        <w:rPr>
          <w:sz w:val="20"/>
          <w:szCs w:val="20"/>
          <w:color w:val="auto"/>
        </w:rPr>
      </w:pPr>
      <w:r>
        <w:rPr>
          <w:rFonts w:ascii="Arial" w:cs="Arial" w:eastAsia="Arial" w:hAnsi="Arial"/>
          <w:sz w:val="18"/>
          <w:szCs w:val="18"/>
          <w:color w:val="auto"/>
        </w:rPr>
        <w:t>The Company contributes annually to Massachusetts Institute of Technology (MIT) to fund university research projects. In fiscal 2019, the Company made approximately $3.0 million in total contributions to MIT of which $120,000 funded a graduate student working in Dr. Chandrakasan’s laboratory.</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Policies and Procedures for Related Person Transactions</w:t>
      </w:r>
    </w:p>
    <w:p>
      <w:pPr>
        <w:spacing w:after="0" w:line="126" w:lineRule="exact"/>
        <w:rPr>
          <w:sz w:val="20"/>
          <w:szCs w:val="20"/>
          <w:color w:val="auto"/>
        </w:rPr>
      </w:pPr>
    </w:p>
    <w:p>
      <w:pPr>
        <w:ind w:left="200" w:right="40" w:firstLine="441"/>
        <w:spacing w:after="0" w:line="239" w:lineRule="auto"/>
        <w:rPr>
          <w:sz w:val="20"/>
          <w:szCs w:val="20"/>
          <w:color w:val="auto"/>
        </w:rPr>
      </w:pPr>
      <w:r>
        <w:rPr>
          <w:rFonts w:ascii="Arial" w:cs="Arial" w:eastAsia="Arial" w:hAnsi="Arial"/>
          <w:sz w:val="18"/>
          <w:szCs w:val="18"/>
          <w:color w:val="auto"/>
        </w:rPr>
        <w:t>Our Board of Directors has adopted written policies and procedures for the review of any transaction, arrangement or relationship in which Analog Devices is a participant, the amount involved exceeds $120,000, and one of our executive officers, directors, director nominees or 5% shareholders (or their immediate family members), each of whom we refer to as a “related person” has a direct or indirect material interest.</w:t>
      </w:r>
    </w:p>
    <w:p>
      <w:pPr>
        <w:spacing w:after="0" w:line="202" w:lineRule="exact"/>
        <w:rPr>
          <w:sz w:val="20"/>
          <w:szCs w:val="20"/>
          <w:color w:val="auto"/>
        </w:rPr>
      </w:pPr>
    </w:p>
    <w:p>
      <w:pPr>
        <w:ind w:left="200" w:right="120" w:firstLine="441"/>
        <w:spacing w:after="0" w:line="239" w:lineRule="auto"/>
        <w:rPr>
          <w:sz w:val="20"/>
          <w:szCs w:val="20"/>
          <w:color w:val="auto"/>
        </w:rPr>
      </w:pPr>
      <w:r>
        <w:rPr>
          <w:rFonts w:ascii="Arial" w:cs="Arial" w:eastAsia="Arial" w:hAnsi="Arial"/>
          <w:sz w:val="18"/>
          <w:szCs w:val="18"/>
          <w:color w:val="auto"/>
        </w:rPr>
        <w:t>If a related person proposes to enter into such a transaction, arrangement or relationship, which we refer to as a “related person transaction,” the related person must report the proposed related person transaction to our General Counsel. The policy calls for the proposed related person transaction to be reviewed and, if deemed appropriate, approved by the Nominating and Corporate Governance Committee. Whenever practicable, the reporting, review and approval will occur prior to entry into the transaction. If our</w:t>
      </w:r>
    </w:p>
    <w:p>
      <w:pPr>
        <w:spacing w:after="0" w:line="13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4"/>
          <w:szCs w:val="14"/>
          <w:b w:val="1"/>
          <w:bCs w:val="1"/>
          <w:color w:val="052B82"/>
        </w:rPr>
        <w:t>2020 Proxy Statement</w:t>
      </w:r>
      <w:r>
        <w:rPr>
          <w:sz w:val="20"/>
          <w:szCs w:val="20"/>
          <w:color w:val="auto"/>
        </w:rPr>
        <w:tab/>
      </w:r>
      <w:r>
        <w:rPr>
          <w:rFonts w:ascii="Arial" w:cs="Arial" w:eastAsia="Arial" w:hAnsi="Arial"/>
          <w:sz w:val="17"/>
          <w:szCs w:val="17"/>
          <w:color w:val="999999"/>
        </w:rPr>
        <w:t>37</w:t>
      </w:r>
    </w:p>
    <w:p>
      <w:pPr>
        <w:sectPr>
          <w:pgSz w:w="11900" w:h="16838" w:orient="portrait"/>
          <w:cols w:equalWidth="0" w:num="1">
            <w:col w:w="11220"/>
          </w:cols>
          <w:pgMar w:left="24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2649855"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0" w:right="100"/>
        <w:spacing w:after="0" w:line="237" w:lineRule="auto"/>
        <w:rPr>
          <w:sz w:val="20"/>
          <w:szCs w:val="20"/>
          <w:color w:val="auto"/>
        </w:rPr>
      </w:pPr>
      <w:r>
        <w:rPr>
          <w:rFonts w:ascii="Arial" w:cs="Arial" w:eastAsia="Arial" w:hAnsi="Arial"/>
          <w:sz w:val="18"/>
          <w:szCs w:val="18"/>
          <w:color w:val="auto"/>
        </w:rPr>
        <w:t>General Counsel determines that advance review and approval is not practicable, the Nominating and Corporate Governance Committee will review, and, in its discretion, may ratify the related person transaction at the next meeting of the Nominating and Corporate Governance Committee. The policy also permits the Chairman of the Nominating and Corporate Governance Committee to review and, if deemed appropriate, approve proposed related person transactions that arise between committee meetings, subject to ratification by the Nominating and Corporate Governance Committee at its next meeting. Any related person transactions that are ongoing in nature will be reviewed annually.</w:t>
      </w:r>
    </w:p>
    <w:p>
      <w:pPr>
        <w:spacing w:after="0" w:line="205" w:lineRule="exact"/>
        <w:rPr>
          <w:sz w:val="20"/>
          <w:szCs w:val="20"/>
          <w:color w:val="auto"/>
        </w:rPr>
      </w:pPr>
    </w:p>
    <w:p>
      <w:pPr>
        <w:ind w:left="200" w:right="280" w:firstLine="441"/>
        <w:spacing w:after="0"/>
        <w:rPr>
          <w:sz w:val="20"/>
          <w:szCs w:val="20"/>
          <w:color w:val="auto"/>
        </w:rPr>
      </w:pPr>
      <w:r>
        <w:rPr>
          <w:rFonts w:ascii="Arial" w:cs="Arial" w:eastAsia="Arial" w:hAnsi="Arial"/>
          <w:sz w:val="18"/>
          <w:szCs w:val="18"/>
          <w:color w:val="auto"/>
        </w:rPr>
        <w:t>A related person transaction reviewed under the policy will be considered approved or ratified if it is authorized by the Nominating and Corporate Governance Committee after full disclosure of the related person’s interest in the transaction. As appropriate for the circumstances, the Nominating and Corporate Governance Committee will review and consider:</w:t>
      </w:r>
    </w:p>
    <w:p>
      <w:pPr>
        <w:spacing w:after="0" w:line="108" w:lineRule="exact"/>
        <w:rPr>
          <w:sz w:val="20"/>
          <w:szCs w:val="20"/>
          <w:color w:val="auto"/>
        </w:rPr>
      </w:pPr>
    </w:p>
    <w:p>
      <w:pPr>
        <w:ind w:left="1180" w:hanging="436"/>
        <w:spacing w:after="0"/>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related person’s interest in the related person transaction;</w:t>
      </w:r>
    </w:p>
    <w:p>
      <w:pPr>
        <w:spacing w:after="0" w:line="117" w:lineRule="exact"/>
        <w:rPr>
          <w:rFonts w:ascii="Arial" w:cs="Arial" w:eastAsia="Arial" w:hAnsi="Arial"/>
          <w:sz w:val="18"/>
          <w:szCs w:val="18"/>
          <w:color w:val="auto"/>
        </w:rPr>
      </w:pPr>
    </w:p>
    <w:p>
      <w:pPr>
        <w:ind w:left="1180" w:hanging="436"/>
        <w:spacing w:after="0"/>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approximate dollar value of the amount involved in the related person transaction;</w:t>
      </w:r>
    </w:p>
    <w:p>
      <w:pPr>
        <w:spacing w:after="0" w:line="117" w:lineRule="exact"/>
        <w:rPr>
          <w:rFonts w:ascii="Arial" w:cs="Arial" w:eastAsia="Arial" w:hAnsi="Arial"/>
          <w:sz w:val="18"/>
          <w:szCs w:val="18"/>
          <w:color w:val="auto"/>
        </w:rPr>
      </w:pPr>
    </w:p>
    <w:p>
      <w:pPr>
        <w:ind w:left="1180" w:right="180" w:hanging="436"/>
        <w:spacing w:after="0" w:line="246" w:lineRule="auto"/>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approximate dollar value of the amount of the related person’s interest in the transaction without regard to the amount of any profit or loss;</w:t>
      </w:r>
    </w:p>
    <w:p>
      <w:pPr>
        <w:spacing w:after="0" w:line="102" w:lineRule="exact"/>
        <w:rPr>
          <w:rFonts w:ascii="Arial" w:cs="Arial" w:eastAsia="Arial" w:hAnsi="Arial"/>
          <w:sz w:val="18"/>
          <w:szCs w:val="18"/>
          <w:color w:val="auto"/>
        </w:rPr>
      </w:pPr>
    </w:p>
    <w:p>
      <w:pPr>
        <w:ind w:left="1180" w:hanging="436"/>
        <w:spacing w:after="0"/>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whether the transaction was undertaken in the ordinary course of our business;</w:t>
      </w:r>
    </w:p>
    <w:p>
      <w:pPr>
        <w:spacing w:after="0" w:line="117" w:lineRule="exact"/>
        <w:rPr>
          <w:rFonts w:ascii="Arial" w:cs="Arial" w:eastAsia="Arial" w:hAnsi="Arial"/>
          <w:sz w:val="18"/>
          <w:szCs w:val="18"/>
          <w:color w:val="auto"/>
        </w:rPr>
      </w:pPr>
    </w:p>
    <w:p>
      <w:pPr>
        <w:ind w:left="1180" w:right="740" w:hanging="436"/>
        <w:spacing w:after="0" w:line="246" w:lineRule="auto"/>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whether the terms of the transaction are no less favorable to us than the terms that could have been reached with an unrelated third party;</w:t>
      </w:r>
    </w:p>
    <w:p>
      <w:pPr>
        <w:spacing w:after="0" w:line="102" w:lineRule="exact"/>
        <w:rPr>
          <w:rFonts w:ascii="Arial" w:cs="Arial" w:eastAsia="Arial" w:hAnsi="Arial"/>
          <w:sz w:val="18"/>
          <w:szCs w:val="18"/>
          <w:color w:val="auto"/>
        </w:rPr>
      </w:pPr>
    </w:p>
    <w:p>
      <w:pPr>
        <w:ind w:left="1180" w:hanging="436"/>
        <w:spacing w:after="0"/>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purpose of, and the potential benefits to us of, the transaction; and</w:t>
      </w:r>
    </w:p>
    <w:p>
      <w:pPr>
        <w:spacing w:after="0" w:line="117" w:lineRule="exact"/>
        <w:rPr>
          <w:rFonts w:ascii="Arial" w:cs="Arial" w:eastAsia="Arial" w:hAnsi="Arial"/>
          <w:sz w:val="18"/>
          <w:szCs w:val="18"/>
          <w:color w:val="auto"/>
        </w:rPr>
      </w:pPr>
    </w:p>
    <w:p>
      <w:pPr>
        <w:ind w:left="1180" w:right="20" w:hanging="436"/>
        <w:spacing w:after="0" w:line="246" w:lineRule="auto"/>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other information regarding the related person transaction or the related person in the context of the proposed transaction that would be material to investors in light of the circumstances of the particular transaction.</w:t>
      </w:r>
    </w:p>
    <w:p>
      <w:pPr>
        <w:spacing w:after="0" w:line="197" w:lineRule="exact"/>
        <w:rPr>
          <w:sz w:val="20"/>
          <w:szCs w:val="20"/>
          <w:color w:val="auto"/>
        </w:rPr>
      </w:pPr>
    </w:p>
    <w:p>
      <w:pPr>
        <w:ind w:left="200" w:right="180" w:firstLine="441"/>
        <w:spacing w:after="0" w:line="239" w:lineRule="auto"/>
        <w:rPr>
          <w:sz w:val="20"/>
          <w:szCs w:val="20"/>
          <w:color w:val="auto"/>
        </w:rPr>
      </w:pPr>
      <w:r>
        <w:rPr>
          <w:rFonts w:ascii="Arial" w:cs="Arial" w:eastAsia="Arial" w:hAnsi="Arial"/>
          <w:sz w:val="18"/>
          <w:szCs w:val="18"/>
          <w:color w:val="auto"/>
        </w:rPr>
        <w:t>The Nominating and Corporate Governance Committee may approve or ratify the transaction only if the Nominating and Corporate Governance Committee determines that, under all of the circumstances, the transaction is in Analog Devices’ best interests. The Nominating and Corporate Governance Committee may, in its sole discretion, impose any conditions on us or the related person in connection with approval of the related person transaction.</w:t>
      </w:r>
    </w:p>
    <w:p>
      <w:pPr>
        <w:spacing w:after="0" w:line="202" w:lineRule="exact"/>
        <w:rPr>
          <w:sz w:val="20"/>
          <w:szCs w:val="20"/>
          <w:color w:val="auto"/>
        </w:rPr>
      </w:pPr>
    </w:p>
    <w:p>
      <w:pPr>
        <w:ind w:left="200" w:firstLine="441"/>
        <w:spacing w:after="0"/>
        <w:rPr>
          <w:sz w:val="20"/>
          <w:szCs w:val="20"/>
          <w:color w:val="auto"/>
        </w:rPr>
      </w:pPr>
      <w:r>
        <w:rPr>
          <w:rFonts w:ascii="Arial" w:cs="Arial" w:eastAsia="Arial" w:hAnsi="Arial"/>
          <w:sz w:val="18"/>
          <w:szCs w:val="18"/>
          <w:color w:val="auto"/>
        </w:rPr>
        <w:t>In addition to the transactions that are excluded by the instructions to the SEC’s related person transaction disclosure rule, the Board of Directors has determined that the following transactions do not create a material direct or indirect interest on behalf of related persons and, therefore, are not related person transactions for purposes of this policy:</w:t>
      </w:r>
    </w:p>
    <w:p>
      <w:pPr>
        <w:spacing w:after="0" w:line="108" w:lineRule="exact"/>
        <w:rPr>
          <w:sz w:val="20"/>
          <w:szCs w:val="20"/>
          <w:color w:val="auto"/>
        </w:rPr>
      </w:pPr>
    </w:p>
    <w:p>
      <w:pPr>
        <w:ind w:left="1180" w:right="20" w:hanging="436"/>
        <w:spacing w:after="0" w:line="237" w:lineRule="auto"/>
        <w:tabs>
          <w:tab w:leader="none" w:pos="1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interests arising solely from the related person’s position as an executive officer of another entity (whether or not the person is also a director of that entity), that is a participant in a transaction, where (a) the related person and all other related persons own in the aggregate less than a 10% equity interest in the entity, (b) the related person and his or her immediate family members are not involved in the negotiation of the terms of the transaction and do not receive any special benefits as a result of the transaction, and (c) the amount involved in the transaction equals less than the greater of $200,000 or 5% of the annual gross revenues of the company receiving payment under the transaction; or</w:t>
      </w:r>
    </w:p>
    <w:p>
      <w:pPr>
        <w:spacing w:after="0" w:line="110" w:lineRule="exact"/>
        <w:rPr>
          <w:rFonts w:ascii="Arial" w:cs="Arial" w:eastAsia="Arial" w:hAnsi="Arial"/>
          <w:sz w:val="18"/>
          <w:szCs w:val="18"/>
          <w:color w:val="auto"/>
        </w:rPr>
      </w:pPr>
    </w:p>
    <w:p>
      <w:pPr>
        <w:ind w:left="1180" w:hanging="436"/>
        <w:spacing w:after="0"/>
        <w:tabs>
          <w:tab w:leader="none" w:pos="1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transactions that are specifically contemplated by provisions of Analog Devices’ charter or bylaws.</w:t>
      </w:r>
    </w:p>
    <w:p>
      <w:pPr>
        <w:spacing w:after="0" w:line="212" w:lineRule="exact"/>
        <w:rPr>
          <w:sz w:val="20"/>
          <w:szCs w:val="20"/>
          <w:color w:val="auto"/>
        </w:rPr>
      </w:pPr>
    </w:p>
    <w:p>
      <w:pPr>
        <w:ind w:left="200" w:right="640" w:firstLine="441"/>
        <w:spacing w:after="0" w:line="246" w:lineRule="auto"/>
        <w:rPr>
          <w:sz w:val="20"/>
          <w:szCs w:val="20"/>
          <w:color w:val="auto"/>
        </w:rPr>
      </w:pPr>
      <w:r>
        <w:rPr>
          <w:rFonts w:ascii="Arial" w:cs="Arial" w:eastAsia="Arial" w:hAnsi="Arial"/>
          <w:sz w:val="18"/>
          <w:szCs w:val="18"/>
          <w:color w:val="auto"/>
        </w:rPr>
        <w:t>The policy provides that the transactions involving compensation of executive officers shall be reviewed and approved by the Compensation Committee in the manner specified in its charter.</w:t>
      </w:r>
    </w:p>
    <w:p>
      <w:pPr>
        <w:spacing w:after="0" w:line="127" w:lineRule="exact"/>
        <w:rPr>
          <w:sz w:val="20"/>
          <w:szCs w:val="20"/>
          <w:color w:val="auto"/>
        </w:rPr>
      </w:pPr>
    </w:p>
    <w:p>
      <w:pPr>
        <w:ind w:left="600" w:hanging="396"/>
        <w:spacing w:after="0"/>
        <w:tabs>
          <w:tab w:leader="none" w:pos="600" w:val="left"/>
        </w:tabs>
        <w:numPr>
          <w:ilvl w:val="0"/>
          <w:numId w:val="67"/>
        </w:numPr>
        <w:rPr>
          <w:rFonts w:ascii="Arial" w:cs="Arial" w:eastAsia="Arial" w:hAnsi="Arial"/>
          <w:sz w:val="18"/>
          <w:szCs w:val="18"/>
          <w:color w:val="999999"/>
        </w:rPr>
      </w:pPr>
      <w:r>
        <w:rPr>
          <w:rFonts w:ascii="Arial" w:cs="Arial" w:eastAsia="Arial" w:hAnsi="Arial"/>
          <w:sz w:val="14"/>
          <w:szCs w:val="14"/>
          <w:b w:val="1"/>
          <w:bCs w:val="1"/>
          <w:color w:val="052B82"/>
        </w:rPr>
        <w:t>Analog Devices, Inc.</w:t>
      </w:r>
    </w:p>
    <w:p>
      <w:pPr>
        <w:sectPr>
          <w:pgSz w:w="11900" w:h="16838" w:orient="portrait"/>
          <w:cols w:equalWidth="0" w:num="1">
            <w:col w:w="11200"/>
          </w:cols>
          <w:pgMar w:left="24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437515</wp:posOffset>
            </wp:positionV>
            <wp:extent cx="6997700" cy="4032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7700" cy="403225"/>
                    </a:xfrm>
                    <a:prstGeom prst="rect">
                      <a:avLst/>
                    </a:prstGeom>
                    <a:noFill/>
                  </pic:spPr>
                </pic:pic>
              </a:graphicData>
            </a:graphic>
          </wp:anchor>
        </w:drawing>
        <w:drawing>
          <wp:anchor simplePos="0" relativeHeight="251657728" behindDoc="1" locked="0" layoutInCell="0" allowOverlap="1">
            <wp:simplePos x="0" y="0"/>
            <wp:positionH relativeFrom="column">
              <wp:posOffset>4481830</wp:posOffset>
            </wp:positionH>
            <wp:positionV relativeFrom="paragraph">
              <wp:posOffset>205740</wp:posOffset>
            </wp:positionV>
            <wp:extent cx="2649855"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00"/>
        <w:spacing w:after="0"/>
        <w:rPr>
          <w:sz w:val="20"/>
          <w:szCs w:val="20"/>
          <w:color w:val="auto"/>
        </w:rPr>
      </w:pPr>
      <w:r>
        <w:rPr>
          <w:rFonts w:ascii="Arial" w:cs="Arial" w:eastAsia="Arial" w:hAnsi="Arial"/>
          <w:sz w:val="32"/>
          <w:szCs w:val="32"/>
          <w:b w:val="1"/>
          <w:bCs w:val="1"/>
          <w:color w:val="FFFFFF"/>
        </w:rPr>
        <w:t>PROPOSAL 2</w:t>
      </w:r>
    </w:p>
    <w:p>
      <w:pPr>
        <w:spacing w:after="0" w:line="200" w:lineRule="exact"/>
        <w:rPr>
          <w:sz w:val="20"/>
          <w:szCs w:val="20"/>
          <w:color w:val="auto"/>
        </w:rPr>
      </w:pPr>
    </w:p>
    <w:p>
      <w:pPr>
        <w:spacing w:after="0" w:line="309" w:lineRule="exact"/>
        <w:rPr>
          <w:sz w:val="20"/>
          <w:szCs w:val="20"/>
          <w:color w:val="auto"/>
        </w:rPr>
      </w:pPr>
    </w:p>
    <w:p>
      <w:pPr>
        <w:ind w:left="200" w:right="1760"/>
        <w:spacing w:after="0" w:line="260" w:lineRule="auto"/>
        <w:rPr>
          <w:sz w:val="20"/>
          <w:szCs w:val="20"/>
          <w:color w:val="auto"/>
        </w:rPr>
      </w:pPr>
      <w:r>
        <w:rPr>
          <w:rFonts w:ascii="Arial" w:cs="Arial" w:eastAsia="Arial" w:hAnsi="Arial"/>
          <w:sz w:val="32"/>
          <w:szCs w:val="32"/>
          <w:color w:val="052B82"/>
        </w:rPr>
        <w:t>ADVISORY VOTE ON THE COMPENSATION OF OUR NAMED EXECUTIVE OFFICERS</w:t>
      </w:r>
    </w:p>
    <w:p>
      <w:pPr>
        <w:spacing w:after="0" w:line="170" w:lineRule="exact"/>
        <w:rPr>
          <w:sz w:val="20"/>
          <w:szCs w:val="20"/>
          <w:color w:val="auto"/>
        </w:rPr>
      </w:pPr>
    </w:p>
    <w:p>
      <w:pPr>
        <w:ind w:left="200" w:right="140" w:firstLine="441"/>
        <w:spacing w:after="0" w:line="237" w:lineRule="auto"/>
        <w:rPr>
          <w:sz w:val="20"/>
          <w:szCs w:val="20"/>
          <w:color w:val="auto"/>
        </w:rPr>
      </w:pPr>
      <w:r>
        <w:rPr>
          <w:rFonts w:ascii="Arial" w:cs="Arial" w:eastAsia="Arial" w:hAnsi="Arial"/>
          <w:sz w:val="18"/>
          <w:szCs w:val="18"/>
          <w:color w:val="auto"/>
        </w:rPr>
        <w:t>We are requesting shareholder approval of the compensation of the executive officers named in our Summary Compensation Table below, who we refer to as our “named executive officers” or “NEOs.” We are required to provide our shareholders with the opportunity to vote to approve, on an advisory (non-binding) basis, the compensation of our NEOs as disclosed in this proxy statement in accordance with the SEC’s rules. At the 2017 annual meeting of shareholders, our shareholders voted in favor of holding future “say on pay” votes every year. In accordance with the results of that vote, our Board of Directors determined to submit “say on pay” proposals to our shareholders every year.</w:t>
      </w:r>
    </w:p>
    <w:p>
      <w:pPr>
        <w:spacing w:after="0" w:line="20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Board of Directors is asking shareholders to approve the following non-binding advisory resolution:</w:t>
      </w:r>
    </w:p>
    <w:p>
      <w:pPr>
        <w:spacing w:after="0" w:line="82" w:lineRule="exact"/>
        <w:rPr>
          <w:sz w:val="20"/>
          <w:szCs w:val="20"/>
          <w:color w:val="auto"/>
        </w:rPr>
      </w:pPr>
    </w:p>
    <w:p>
      <w:pPr>
        <w:jc w:val="both"/>
        <w:ind w:left="200" w:right="420" w:firstLine="441"/>
        <w:spacing w:after="0" w:line="253" w:lineRule="auto"/>
        <w:rPr>
          <w:sz w:val="20"/>
          <w:szCs w:val="20"/>
          <w:color w:val="auto"/>
        </w:rPr>
      </w:pPr>
      <w:r>
        <w:rPr>
          <w:rFonts w:ascii="Arial" w:cs="Arial" w:eastAsia="Arial" w:hAnsi="Arial"/>
          <w:sz w:val="18"/>
          <w:szCs w:val="18"/>
          <w:b w:val="1"/>
          <w:bCs w:val="1"/>
          <w:color w:val="auto"/>
        </w:rPr>
        <w:t>RESOLVED, that the compensation paid to the Company’s NEOs, as disclosed pursuant to Item 402 of Regulation S-K, including the Compensation Discussion and Analysis, compensation tables and accompanying narrative disclosures in this proxy statement, is hereby approved.</w:t>
      </w:r>
    </w:p>
    <w:p>
      <w:pPr>
        <w:spacing w:after="0" w:line="191" w:lineRule="exact"/>
        <w:rPr>
          <w:sz w:val="20"/>
          <w:szCs w:val="20"/>
          <w:color w:val="auto"/>
        </w:rPr>
      </w:pPr>
    </w:p>
    <w:p>
      <w:pPr>
        <w:ind w:left="200" w:right="80" w:firstLine="441"/>
        <w:spacing w:after="0" w:line="237" w:lineRule="auto"/>
        <w:rPr>
          <w:sz w:val="20"/>
          <w:szCs w:val="20"/>
          <w:color w:val="auto"/>
        </w:rPr>
      </w:pPr>
      <w:r>
        <w:rPr>
          <w:rFonts w:ascii="Arial" w:cs="Arial" w:eastAsia="Arial" w:hAnsi="Arial"/>
          <w:sz w:val="18"/>
          <w:szCs w:val="18"/>
          <w:color w:val="auto"/>
        </w:rPr>
        <w:t>As required by the Dodd-Frank Act, this is an advisory vote, which means that this proposal is not binding on us. Our Compensation Committee, however, values the opinions expressed by our shareholders and will carefully consider the outcome of the vote when making future compensation decisions for our NEOs. You may vote for, against or abstain from voting on this matter. At our 2019 annual meeting of shareholders, our compensation program for our NEOs received the support of 95.3% of the total votes cast. In light of the support received, our Compensation Committee did not make significant changes to our executive compensation program. The Compensation Committee did introduce another form of performance-based equity to increase the total target mix of performance-based restricted stock units to approximately 50% of the target value of equity awarded to our NEOs.</w:t>
      </w:r>
    </w:p>
    <w:p>
      <w:pPr>
        <w:spacing w:after="0" w:line="203" w:lineRule="exact"/>
        <w:rPr>
          <w:sz w:val="20"/>
          <w:szCs w:val="20"/>
          <w:color w:val="auto"/>
        </w:rPr>
      </w:pPr>
    </w:p>
    <w:p>
      <w:pPr>
        <w:ind w:left="200" w:right="60" w:firstLine="441"/>
        <w:spacing w:after="0" w:line="238" w:lineRule="auto"/>
        <w:rPr>
          <w:sz w:val="20"/>
          <w:szCs w:val="20"/>
          <w:color w:val="auto"/>
        </w:rPr>
      </w:pPr>
      <w:r>
        <w:rPr>
          <w:rFonts w:ascii="Arial" w:cs="Arial" w:eastAsia="Arial" w:hAnsi="Arial"/>
          <w:sz w:val="18"/>
          <w:szCs w:val="18"/>
          <w:color w:val="auto"/>
        </w:rPr>
        <w:t>As described in detail in the “Compensation Discussion and Analysis” section of this proxy statement, ADI’s executive compensation program is significantly performance-based and designed to attract, retain and motivate strong executives to lead our complex, global organization and to align their interests with those of our shareholders. We seek to provide total compensation to our executives that is competitive with our peers, and we believe that our executive compensation program is designed to encourage the most talented individuals to grow their careers at ADI.</w:t>
      </w:r>
    </w:p>
    <w:p>
      <w:pPr>
        <w:spacing w:after="0" w:line="203" w:lineRule="exact"/>
        <w:rPr>
          <w:sz w:val="20"/>
          <w:szCs w:val="20"/>
          <w:color w:val="auto"/>
        </w:rPr>
      </w:pPr>
    </w:p>
    <w:p>
      <w:pPr>
        <w:ind w:left="200" w:firstLine="441"/>
        <w:spacing w:after="0" w:line="237" w:lineRule="auto"/>
        <w:rPr>
          <w:sz w:val="20"/>
          <w:szCs w:val="20"/>
          <w:color w:val="auto"/>
        </w:rPr>
      </w:pPr>
      <w:r>
        <w:rPr>
          <w:rFonts w:ascii="Arial" w:cs="Arial" w:eastAsia="Arial" w:hAnsi="Arial"/>
          <w:sz w:val="18"/>
          <w:szCs w:val="18"/>
          <w:color w:val="auto"/>
        </w:rPr>
        <w:t>ADI has a longstanding philosophy and practice of paying executives for performance. In order to align our pay practices with shareholder interests, we tie a significant percentage of each executive’s compensation to the Company’s performance, in the form of variable cash incentive bonus payments, and equity awards that are subject to performance vesting and rise in value only if our stock price increases. ADI delivered solid financial results in fiscal 2019 against a backdrop of challenging macroeconomic conditions. We exceeded our profitability target but did not meet our revenue growth target under our executive performance incentive bonus plan, which resulted in aggregate payments under the plan made at 95% of target, compared to 183% in fiscal 2018 and 248% in the fiscal year ended October 28, 2017, or fiscal 2017.</w:t>
      </w:r>
    </w:p>
    <w:p>
      <w:pPr>
        <w:spacing w:after="0" w:line="203" w:lineRule="exact"/>
        <w:rPr>
          <w:sz w:val="20"/>
          <w:szCs w:val="20"/>
          <w:color w:val="auto"/>
        </w:rPr>
      </w:pPr>
    </w:p>
    <w:p>
      <w:pPr>
        <w:ind w:left="200" w:right="200" w:firstLine="441"/>
        <w:spacing w:after="0" w:line="246" w:lineRule="auto"/>
        <w:rPr>
          <w:sz w:val="20"/>
          <w:szCs w:val="20"/>
          <w:color w:val="auto"/>
        </w:rPr>
      </w:pPr>
      <w:r>
        <w:rPr>
          <w:rFonts w:ascii="Arial" w:cs="Arial" w:eastAsia="Arial" w:hAnsi="Arial"/>
          <w:sz w:val="18"/>
          <w:szCs w:val="18"/>
          <w:color w:val="auto"/>
        </w:rPr>
        <w:t>We believe that our executive compensation program is working as intended and appropriately aligns executive pay with Company performance.</w:t>
      </w:r>
    </w:p>
    <w:p>
      <w:pPr>
        <w:spacing w:after="0" w:line="200" w:lineRule="exact"/>
        <w:rPr>
          <w:sz w:val="20"/>
          <w:szCs w:val="20"/>
          <w:color w:val="auto"/>
        </w:rPr>
      </w:pPr>
    </w:p>
    <w:p>
      <w:pPr>
        <w:spacing w:after="0" w:line="241" w:lineRule="exact"/>
        <w:rPr>
          <w:sz w:val="20"/>
          <w:szCs w:val="20"/>
          <w:color w:val="auto"/>
        </w:rPr>
      </w:pPr>
    </w:p>
    <w:p>
      <w:pPr>
        <w:ind w:left="200" w:firstLine="7"/>
        <w:spacing w:after="0" w:line="261" w:lineRule="auto"/>
        <w:rPr>
          <w:sz w:val="20"/>
          <w:szCs w:val="20"/>
          <w:color w:val="auto"/>
        </w:rPr>
      </w:pPr>
      <w:r>
        <w:rPr>
          <w:sz w:val="1"/>
          <w:szCs w:val="1"/>
          <w:color w:val="auto"/>
        </w:rPr>
        <w:drawing>
          <wp:inline distT="0" distB="0" distL="0" distR="0">
            <wp:extent cx="266065" cy="274320"/>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66065" cy="274320"/>
                    </a:xfrm>
                    <a:prstGeom prst="rect">
                      <a:avLst/>
                    </a:prstGeom>
                    <a:noFill/>
                    <a:ln>
                      <a:noFill/>
                    </a:ln>
                  </pic:spPr>
                </pic:pic>
              </a:graphicData>
            </a:graphic>
          </wp:inline>
        </w:drawing>
      </w:r>
      <w:r>
        <w:rPr>
          <w:rFonts w:ascii="Arial" w:cs="Arial" w:eastAsia="Arial" w:hAnsi="Arial"/>
          <w:sz w:val="18"/>
          <w:szCs w:val="18"/>
          <w:b w:val="1"/>
          <w:bCs w:val="1"/>
          <w:i w:val="1"/>
          <w:iCs w:val="1"/>
          <w:color w:val="052B82"/>
        </w:rPr>
        <w:t xml:space="preserve"> Our Board of Directors unanimously recommends that you vote FOR approval of the compensation of our named executive officers as disclosed in this proxy statement.</w:t>
      </w:r>
    </w:p>
    <w:p>
      <w:pPr>
        <w:spacing w:after="0" w:line="109" w:lineRule="exact"/>
        <w:rPr>
          <w:sz w:val="20"/>
          <w:szCs w:val="20"/>
          <w:color w:val="auto"/>
        </w:rPr>
      </w:pPr>
    </w:p>
    <w:p>
      <w:pPr>
        <w:ind w:left="9320"/>
        <w:spacing w:after="0"/>
        <w:tabs>
          <w:tab w:leader="none" w:pos="11000" w:val="left"/>
        </w:tabs>
        <w:rPr>
          <w:sz w:val="20"/>
          <w:szCs w:val="20"/>
          <w:color w:val="auto"/>
        </w:rPr>
      </w:pPr>
      <w:r>
        <w:rPr>
          <w:rFonts w:ascii="Arial" w:cs="Arial" w:eastAsia="Arial" w:hAnsi="Arial"/>
          <w:sz w:val="14"/>
          <w:szCs w:val="14"/>
          <w:b w:val="1"/>
          <w:bCs w:val="1"/>
          <w:color w:val="052B82"/>
        </w:rPr>
        <w:t>2020 Proxy Statement</w:t>
      </w:r>
      <w:r>
        <w:rPr>
          <w:sz w:val="20"/>
          <w:szCs w:val="20"/>
          <w:color w:val="auto"/>
        </w:rPr>
        <w:tab/>
      </w:r>
      <w:r>
        <w:rPr>
          <w:rFonts w:ascii="Arial" w:cs="Arial" w:eastAsia="Arial" w:hAnsi="Arial"/>
          <w:sz w:val="17"/>
          <w:szCs w:val="17"/>
          <w:color w:val="999999"/>
        </w:rPr>
        <w:t>39</w:t>
      </w:r>
    </w:p>
    <w:p>
      <w:pPr>
        <w:sectPr>
          <w:pgSz w:w="11900" w:h="16838" w:orient="portrait"/>
          <w:cols w:equalWidth="0" w:num="1">
            <w:col w:w="11220"/>
          </w:cols>
          <w:pgMar w:left="24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2649855"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0"/>
        <w:spacing w:after="0"/>
        <w:rPr>
          <w:sz w:val="20"/>
          <w:szCs w:val="20"/>
          <w:color w:val="auto"/>
        </w:rPr>
      </w:pPr>
      <w:r>
        <w:rPr>
          <w:rFonts w:ascii="Arial" w:cs="Arial" w:eastAsia="Arial" w:hAnsi="Arial"/>
          <w:sz w:val="32"/>
          <w:szCs w:val="32"/>
          <w:color w:val="052B82"/>
        </w:rPr>
        <w:t>INFORMATION ABOUT EXECUTIVE COMPENSATION</w:t>
      </w:r>
    </w:p>
    <w:p>
      <w:pPr>
        <w:spacing w:after="0" w:line="20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52B82"/>
        </w:rPr>
        <w:t>COMPENSATION DISCUSSION AND ANALYSIS</w:t>
      </w:r>
    </w:p>
    <w:p>
      <w:pPr>
        <w:spacing w:after="0" w:line="126" w:lineRule="exact"/>
        <w:rPr>
          <w:sz w:val="20"/>
          <w:szCs w:val="20"/>
          <w:color w:val="auto"/>
        </w:rPr>
      </w:pPr>
    </w:p>
    <w:p>
      <w:pPr>
        <w:ind w:left="200" w:right="40" w:firstLine="441"/>
        <w:spacing w:after="0" w:line="238" w:lineRule="auto"/>
        <w:rPr>
          <w:sz w:val="20"/>
          <w:szCs w:val="20"/>
          <w:color w:val="auto"/>
        </w:rPr>
      </w:pPr>
      <w:r>
        <w:rPr>
          <w:rFonts w:ascii="Arial" w:cs="Arial" w:eastAsia="Arial" w:hAnsi="Arial"/>
          <w:sz w:val="18"/>
          <w:szCs w:val="18"/>
          <w:color w:val="auto"/>
        </w:rPr>
        <w:t>We intend to provide compensation for our executives that is competitive with our peers, with an opportunity for increased compensation if the Company’s performance warrants. We have designed our compensation program to make a substantial percentage of our executive pay variable, subject to increase when corporate targets are overachieved and reduction when corporate targets are not reached. The elements of our executives’ total compensation are base salary, variable cash incentive awards, long-term equity compensation awards and retirement and other employee benefits.</w:t>
      </w:r>
    </w:p>
    <w:p>
      <w:pPr>
        <w:spacing w:after="0" w:line="203" w:lineRule="exact"/>
        <w:rPr>
          <w:sz w:val="20"/>
          <w:szCs w:val="20"/>
          <w:color w:val="auto"/>
        </w:rPr>
      </w:pPr>
    </w:p>
    <w:p>
      <w:pPr>
        <w:jc w:val="both"/>
        <w:ind w:left="200" w:right="160" w:firstLine="441"/>
        <w:spacing w:after="0"/>
        <w:rPr>
          <w:sz w:val="20"/>
          <w:szCs w:val="20"/>
          <w:color w:val="auto"/>
        </w:rPr>
      </w:pPr>
      <w:r>
        <w:rPr>
          <w:rFonts w:ascii="Arial" w:cs="Arial" w:eastAsia="Arial" w:hAnsi="Arial"/>
          <w:sz w:val="18"/>
          <w:szCs w:val="18"/>
          <w:color w:val="auto"/>
        </w:rPr>
        <w:t>This Compensation Discussion and Analysis, or CD&amp;A, and the tables and narrative that follow provide important information about our executive officer compensation program for fiscal 2019. In this proxy statement, the terms “named executive officers” or “NEOs” refer to the following individuals who served as executive officers during fiscal 2019:</w:t>
      </w:r>
    </w:p>
    <w:p>
      <w:pPr>
        <w:spacing w:after="0" w:line="231"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3400" w:type="dxa"/>
            <w:vAlign w:val="bottom"/>
            <w:shd w:val="clear" w:color="auto" w:fill="052B82"/>
          </w:tcPr>
          <w:p>
            <w:pPr>
              <w:ind w:left="40"/>
              <w:spacing w:after="0"/>
              <w:rPr>
                <w:sz w:val="20"/>
                <w:szCs w:val="20"/>
                <w:color w:val="auto"/>
              </w:rPr>
            </w:pPr>
            <w:r>
              <w:rPr>
                <w:rFonts w:ascii="Arial" w:cs="Arial" w:eastAsia="Arial" w:hAnsi="Arial"/>
                <w:sz w:val="14"/>
                <w:szCs w:val="14"/>
                <w:b w:val="1"/>
                <w:bCs w:val="1"/>
                <w:color w:val="FFFFFF"/>
              </w:rPr>
              <w:t>Named Executive Officer</w:t>
            </w:r>
          </w:p>
        </w:tc>
        <w:tc>
          <w:tcPr>
            <w:tcW w:w="7620" w:type="dxa"/>
            <w:vAlign w:val="bottom"/>
            <w:shd w:val="clear" w:color="auto" w:fill="052B82"/>
          </w:tcPr>
          <w:p>
            <w:pPr>
              <w:ind w:left="180"/>
              <w:spacing w:after="0"/>
              <w:rPr>
                <w:sz w:val="20"/>
                <w:szCs w:val="20"/>
                <w:color w:val="auto"/>
              </w:rPr>
            </w:pPr>
            <w:r>
              <w:rPr>
                <w:rFonts w:ascii="Arial" w:cs="Arial" w:eastAsia="Arial" w:hAnsi="Arial"/>
                <w:sz w:val="14"/>
                <w:szCs w:val="14"/>
                <w:b w:val="1"/>
                <w:bCs w:val="1"/>
                <w:color w:val="FFFFFF"/>
              </w:rPr>
              <w:t>Position</w:t>
            </w:r>
          </w:p>
        </w:tc>
      </w:tr>
      <w:tr>
        <w:trPr>
          <w:trHeight w:val="243"/>
        </w:trPr>
        <w:tc>
          <w:tcPr>
            <w:tcW w:w="3400" w:type="dxa"/>
            <w:vAlign w:val="bottom"/>
          </w:tcPr>
          <w:p>
            <w:pPr>
              <w:ind w:left="40"/>
              <w:spacing w:after="0"/>
              <w:rPr>
                <w:sz w:val="20"/>
                <w:szCs w:val="20"/>
                <w:color w:val="auto"/>
              </w:rPr>
            </w:pPr>
            <w:r>
              <w:rPr>
                <w:rFonts w:ascii="Arial" w:cs="Arial" w:eastAsia="Arial" w:hAnsi="Arial"/>
                <w:sz w:val="18"/>
                <w:szCs w:val="18"/>
                <w:color w:val="auto"/>
              </w:rPr>
              <w:t>Vincent Roche</w:t>
            </w:r>
          </w:p>
        </w:tc>
        <w:tc>
          <w:tcPr>
            <w:tcW w:w="7620" w:type="dxa"/>
            <w:vAlign w:val="bottom"/>
          </w:tcPr>
          <w:p>
            <w:pPr>
              <w:ind w:left="180"/>
              <w:spacing w:after="0"/>
              <w:rPr>
                <w:sz w:val="20"/>
                <w:szCs w:val="20"/>
                <w:color w:val="auto"/>
              </w:rPr>
            </w:pPr>
            <w:r>
              <w:rPr>
                <w:rFonts w:ascii="Arial" w:cs="Arial" w:eastAsia="Arial" w:hAnsi="Arial"/>
                <w:sz w:val="18"/>
                <w:szCs w:val="18"/>
                <w:color w:val="auto"/>
              </w:rPr>
              <w:t>President and Chief Executive Officer</w:t>
            </w:r>
          </w:p>
        </w:tc>
      </w:tr>
      <w:tr>
        <w:trPr>
          <w:trHeight w:val="41"/>
        </w:trPr>
        <w:tc>
          <w:tcPr>
            <w:tcW w:w="3400" w:type="dxa"/>
            <w:vAlign w:val="bottom"/>
          </w:tcPr>
          <w:p>
            <w:pPr>
              <w:spacing w:after="0"/>
              <w:rPr>
                <w:sz w:val="3"/>
                <w:szCs w:val="3"/>
                <w:color w:val="auto"/>
              </w:rPr>
            </w:pPr>
          </w:p>
        </w:tc>
        <w:tc>
          <w:tcPr>
            <w:tcW w:w="7620" w:type="dxa"/>
            <w:vAlign w:val="bottom"/>
          </w:tcPr>
          <w:p>
            <w:pPr>
              <w:spacing w:after="0"/>
              <w:rPr>
                <w:sz w:val="3"/>
                <w:szCs w:val="3"/>
                <w:color w:val="auto"/>
              </w:rPr>
            </w:pPr>
          </w:p>
        </w:tc>
      </w:tr>
      <w:tr>
        <w:trPr>
          <w:trHeight w:val="264"/>
        </w:trPr>
        <w:tc>
          <w:tcPr>
            <w:tcW w:w="3400" w:type="dxa"/>
            <w:vAlign w:val="bottom"/>
            <w:tcBorders>
              <w:bottom w:val="single" w:sz="8" w:color="E8EDF4"/>
            </w:tcBorders>
            <w:shd w:val="clear" w:color="auto" w:fill="E8EDF4"/>
          </w:tcPr>
          <w:p>
            <w:pPr>
              <w:ind w:left="40"/>
              <w:spacing w:after="0"/>
              <w:rPr>
                <w:sz w:val="20"/>
                <w:szCs w:val="20"/>
                <w:color w:val="auto"/>
              </w:rPr>
            </w:pPr>
            <w:r>
              <w:rPr>
                <w:rFonts w:ascii="Arial" w:cs="Arial" w:eastAsia="Arial" w:hAnsi="Arial"/>
                <w:sz w:val="18"/>
                <w:szCs w:val="18"/>
                <w:color w:val="auto"/>
              </w:rPr>
              <w:t>Prashanth Mahendra-Rajah</w:t>
            </w:r>
          </w:p>
        </w:tc>
        <w:tc>
          <w:tcPr>
            <w:tcW w:w="7620" w:type="dxa"/>
            <w:vAlign w:val="bottom"/>
            <w:tcBorders>
              <w:bottom w:val="single" w:sz="8" w:color="E8EDF4"/>
            </w:tcBorders>
            <w:shd w:val="clear" w:color="auto" w:fill="E8EDF4"/>
          </w:tcPr>
          <w:p>
            <w:pPr>
              <w:ind w:left="180"/>
              <w:spacing w:after="0"/>
              <w:rPr>
                <w:sz w:val="20"/>
                <w:szCs w:val="20"/>
                <w:color w:val="auto"/>
              </w:rPr>
            </w:pPr>
            <w:r>
              <w:rPr>
                <w:rFonts w:ascii="Arial" w:cs="Arial" w:eastAsia="Arial" w:hAnsi="Arial"/>
                <w:sz w:val="18"/>
                <w:szCs w:val="18"/>
                <w:color w:val="auto"/>
              </w:rPr>
              <w:t>Senior Vice President, Finance and Chief Financial Officer</w:t>
            </w:r>
          </w:p>
        </w:tc>
      </w:tr>
      <w:tr>
        <w:trPr>
          <w:trHeight w:val="243"/>
        </w:trPr>
        <w:tc>
          <w:tcPr>
            <w:tcW w:w="3400" w:type="dxa"/>
            <w:vAlign w:val="bottom"/>
          </w:tcPr>
          <w:p>
            <w:pPr>
              <w:ind w:left="40"/>
              <w:spacing w:after="0"/>
              <w:rPr>
                <w:sz w:val="20"/>
                <w:szCs w:val="20"/>
                <w:color w:val="auto"/>
              </w:rPr>
            </w:pPr>
            <w:r>
              <w:rPr>
                <w:rFonts w:ascii="Arial" w:cs="Arial" w:eastAsia="Arial" w:hAnsi="Arial"/>
                <w:sz w:val="18"/>
                <w:szCs w:val="18"/>
                <w:color w:val="auto"/>
              </w:rPr>
              <w:t>Martin Cotter</w:t>
            </w:r>
          </w:p>
        </w:tc>
        <w:tc>
          <w:tcPr>
            <w:tcW w:w="7620" w:type="dxa"/>
            <w:vAlign w:val="bottom"/>
          </w:tcPr>
          <w:p>
            <w:pPr>
              <w:ind w:left="180"/>
              <w:spacing w:after="0"/>
              <w:rPr>
                <w:sz w:val="20"/>
                <w:szCs w:val="20"/>
                <w:color w:val="auto"/>
              </w:rPr>
            </w:pPr>
            <w:r>
              <w:rPr>
                <w:rFonts w:ascii="Arial" w:cs="Arial" w:eastAsia="Arial" w:hAnsi="Arial"/>
                <w:sz w:val="18"/>
                <w:szCs w:val="18"/>
                <w:color w:val="auto"/>
              </w:rPr>
              <w:t>Senior Vice President, Worldwide Sales and Digital Marketing</w:t>
            </w:r>
          </w:p>
        </w:tc>
      </w:tr>
      <w:tr>
        <w:trPr>
          <w:trHeight w:val="41"/>
        </w:trPr>
        <w:tc>
          <w:tcPr>
            <w:tcW w:w="3400" w:type="dxa"/>
            <w:vAlign w:val="bottom"/>
          </w:tcPr>
          <w:p>
            <w:pPr>
              <w:spacing w:after="0"/>
              <w:rPr>
                <w:sz w:val="3"/>
                <w:szCs w:val="3"/>
                <w:color w:val="auto"/>
              </w:rPr>
            </w:pPr>
          </w:p>
        </w:tc>
        <w:tc>
          <w:tcPr>
            <w:tcW w:w="7620" w:type="dxa"/>
            <w:vAlign w:val="bottom"/>
          </w:tcPr>
          <w:p>
            <w:pPr>
              <w:spacing w:after="0"/>
              <w:rPr>
                <w:sz w:val="3"/>
                <w:szCs w:val="3"/>
                <w:color w:val="auto"/>
              </w:rPr>
            </w:pPr>
          </w:p>
        </w:tc>
      </w:tr>
      <w:tr>
        <w:trPr>
          <w:trHeight w:val="264"/>
        </w:trPr>
        <w:tc>
          <w:tcPr>
            <w:tcW w:w="3400" w:type="dxa"/>
            <w:vAlign w:val="bottom"/>
            <w:tcBorders>
              <w:bottom w:val="single" w:sz="8" w:color="E8EDF4"/>
            </w:tcBorders>
            <w:shd w:val="clear" w:color="auto" w:fill="E8EDF4"/>
          </w:tcPr>
          <w:p>
            <w:pPr>
              <w:ind w:left="40"/>
              <w:spacing w:after="0"/>
              <w:rPr>
                <w:sz w:val="20"/>
                <w:szCs w:val="20"/>
                <w:color w:val="auto"/>
              </w:rPr>
            </w:pPr>
            <w:r>
              <w:rPr>
                <w:rFonts w:ascii="Arial" w:cs="Arial" w:eastAsia="Arial" w:hAnsi="Arial"/>
                <w:sz w:val="18"/>
                <w:szCs w:val="18"/>
                <w:color w:val="auto"/>
              </w:rPr>
              <w:t>John Hassett</w:t>
            </w:r>
          </w:p>
        </w:tc>
        <w:tc>
          <w:tcPr>
            <w:tcW w:w="7620" w:type="dxa"/>
            <w:vAlign w:val="bottom"/>
            <w:tcBorders>
              <w:bottom w:val="single" w:sz="8" w:color="E8EDF4"/>
            </w:tcBorders>
            <w:shd w:val="clear" w:color="auto" w:fill="E8EDF4"/>
          </w:tcPr>
          <w:p>
            <w:pPr>
              <w:ind w:left="180"/>
              <w:spacing w:after="0"/>
              <w:rPr>
                <w:sz w:val="20"/>
                <w:szCs w:val="20"/>
                <w:color w:val="auto"/>
              </w:rPr>
            </w:pPr>
            <w:r>
              <w:rPr>
                <w:rFonts w:ascii="Arial" w:cs="Arial" w:eastAsia="Arial" w:hAnsi="Arial"/>
                <w:sz w:val="18"/>
                <w:szCs w:val="18"/>
                <w:color w:val="auto"/>
              </w:rPr>
              <w:t>Senior Vice President, Industrial and Consumer</w:t>
            </w:r>
          </w:p>
        </w:tc>
      </w:tr>
      <w:tr>
        <w:trPr>
          <w:trHeight w:val="243"/>
        </w:trPr>
        <w:tc>
          <w:tcPr>
            <w:tcW w:w="3400" w:type="dxa"/>
            <w:vAlign w:val="bottom"/>
          </w:tcPr>
          <w:p>
            <w:pPr>
              <w:ind w:left="40"/>
              <w:spacing w:after="0"/>
              <w:rPr>
                <w:sz w:val="20"/>
                <w:szCs w:val="20"/>
                <w:color w:val="auto"/>
              </w:rPr>
            </w:pPr>
            <w:r>
              <w:rPr>
                <w:rFonts w:ascii="Arial" w:cs="Arial" w:eastAsia="Arial" w:hAnsi="Arial"/>
                <w:sz w:val="18"/>
                <w:szCs w:val="18"/>
                <w:color w:val="auto"/>
              </w:rPr>
              <w:t>Steve Pietkiewicz</w:t>
            </w:r>
          </w:p>
        </w:tc>
        <w:tc>
          <w:tcPr>
            <w:tcW w:w="7620" w:type="dxa"/>
            <w:vAlign w:val="bottom"/>
          </w:tcPr>
          <w:p>
            <w:pPr>
              <w:ind w:left="180"/>
              <w:spacing w:after="0"/>
              <w:rPr>
                <w:sz w:val="20"/>
                <w:szCs w:val="20"/>
                <w:color w:val="auto"/>
              </w:rPr>
            </w:pPr>
            <w:r>
              <w:rPr>
                <w:rFonts w:ascii="Arial" w:cs="Arial" w:eastAsia="Arial" w:hAnsi="Arial"/>
                <w:sz w:val="18"/>
                <w:szCs w:val="18"/>
                <w:color w:val="auto"/>
              </w:rPr>
              <w:t>Senior Vice President, Power Products</w:t>
            </w:r>
          </w:p>
        </w:tc>
      </w:tr>
    </w:tbl>
    <w:p>
      <w:pPr>
        <w:spacing w:after="0" w:line="34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Processes and Philosophy</w:t>
      </w:r>
    </w:p>
    <w:p>
      <w:pPr>
        <w:spacing w:after="0" w:line="126" w:lineRule="exact"/>
        <w:rPr>
          <w:sz w:val="20"/>
          <w:szCs w:val="20"/>
          <w:color w:val="auto"/>
        </w:rPr>
      </w:pPr>
    </w:p>
    <w:p>
      <w:pPr>
        <w:ind w:left="200" w:right="200" w:firstLine="441"/>
        <w:spacing w:after="0" w:line="246" w:lineRule="auto"/>
        <w:rPr>
          <w:sz w:val="20"/>
          <w:szCs w:val="20"/>
          <w:color w:val="auto"/>
        </w:rPr>
      </w:pPr>
      <w:r>
        <w:rPr>
          <w:rFonts w:ascii="Arial" w:cs="Arial" w:eastAsia="Arial" w:hAnsi="Arial"/>
          <w:sz w:val="18"/>
          <w:szCs w:val="18"/>
          <w:color w:val="auto"/>
        </w:rPr>
        <w:t>Our executive compensation program is designed to attract and retain top executive talent and align the interests of our executives and our shareholders. We accomplish this through the following steps: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1548765</wp:posOffset>
            </wp:positionH>
            <wp:positionV relativeFrom="paragraph">
              <wp:posOffset>142875</wp:posOffset>
            </wp:positionV>
            <wp:extent cx="4159250" cy="22123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159250" cy="2212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0" w:right="160" w:firstLine="441"/>
        <w:spacing w:after="0" w:line="246" w:lineRule="auto"/>
        <w:rPr>
          <w:sz w:val="20"/>
          <w:szCs w:val="20"/>
          <w:color w:val="auto"/>
        </w:rPr>
      </w:pPr>
      <w:r>
        <w:rPr>
          <w:rFonts w:ascii="Arial" w:cs="Arial" w:eastAsia="Arial" w:hAnsi="Arial"/>
          <w:sz w:val="18"/>
          <w:szCs w:val="18"/>
          <w:color w:val="auto"/>
        </w:rPr>
        <w:t>Our Chief Executive Officer’s compensation is described in more detail below under “—Chief Executive Officer Compensation.” Our other NEOs’ compensation is described in more detail below under “—Compensation for Other Named Executive Officers.”</w:t>
      </w:r>
    </w:p>
    <w:p>
      <w:pPr>
        <w:spacing w:after="0" w:line="127" w:lineRule="exact"/>
        <w:rPr>
          <w:sz w:val="20"/>
          <w:szCs w:val="20"/>
          <w:color w:val="auto"/>
        </w:rPr>
      </w:pPr>
    </w:p>
    <w:p>
      <w:pPr>
        <w:ind w:left="600" w:hanging="396"/>
        <w:spacing w:after="0"/>
        <w:tabs>
          <w:tab w:leader="none" w:pos="600" w:val="left"/>
        </w:tabs>
        <w:numPr>
          <w:ilvl w:val="0"/>
          <w:numId w:val="68"/>
        </w:numPr>
        <w:rPr>
          <w:rFonts w:ascii="Arial" w:cs="Arial" w:eastAsia="Arial" w:hAnsi="Arial"/>
          <w:sz w:val="18"/>
          <w:szCs w:val="18"/>
          <w:color w:val="999999"/>
        </w:rPr>
      </w:pPr>
      <w:r>
        <w:rPr>
          <w:rFonts w:ascii="Arial" w:cs="Arial" w:eastAsia="Arial" w:hAnsi="Arial"/>
          <w:sz w:val="14"/>
          <w:szCs w:val="14"/>
          <w:b w:val="1"/>
          <w:bCs w:val="1"/>
          <w:color w:val="052B82"/>
        </w:rPr>
        <w:t>Analog Devices, Inc.</w:t>
      </w:r>
    </w:p>
    <w:p>
      <w:pPr>
        <w:sectPr>
          <w:pgSz w:w="11900" w:h="16838" w:orient="portrait"/>
          <w:cols w:equalWidth="0" w:num="1">
            <w:col w:w="11240"/>
          </w:cols>
          <w:pgMar w:left="240" w:top="459" w:right="4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205740</wp:posOffset>
            </wp:positionV>
            <wp:extent cx="2649855"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Pay and Governance Practices</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pay and governance practices are designed to align our executives’ interests with our shareholders. For example:</w:t>
      </w:r>
    </w:p>
    <w:p>
      <w:pPr>
        <w:spacing w:after="0" w:line="226" w:lineRule="exact"/>
        <w:rPr>
          <w:sz w:val="20"/>
          <w:szCs w:val="20"/>
          <w:color w:val="auto"/>
        </w:rPr>
      </w:pPr>
    </w:p>
    <w:p>
      <w:pPr>
        <w:ind w:left="200"/>
        <w:spacing w:after="0"/>
        <w:tabs>
          <w:tab w:leader="none" w:pos="5920" w:val="left"/>
        </w:tabs>
        <w:rPr>
          <w:sz w:val="20"/>
          <w:szCs w:val="20"/>
          <w:color w:val="auto"/>
        </w:rPr>
      </w:pPr>
      <w:r>
        <w:rPr>
          <w:rFonts w:ascii="Arial" w:cs="Arial" w:eastAsia="Arial" w:hAnsi="Arial"/>
          <w:sz w:val="14"/>
          <w:szCs w:val="14"/>
          <w:b w:val="1"/>
          <w:bCs w:val="1"/>
          <w:color w:val="191919"/>
        </w:rPr>
        <w:t>WHAT WE DO</w:t>
      </w:r>
      <w:r>
        <w:rPr>
          <w:sz w:val="20"/>
          <w:szCs w:val="20"/>
          <w:color w:val="auto"/>
        </w:rPr>
        <w:tab/>
      </w:r>
      <w:r>
        <w:rPr>
          <w:rFonts w:ascii="Arial" w:cs="Arial" w:eastAsia="Arial" w:hAnsi="Arial"/>
          <w:sz w:val="14"/>
          <w:szCs w:val="14"/>
          <w:b w:val="1"/>
          <w:bCs w:val="1"/>
          <w:color w:val="191919"/>
        </w:rPr>
        <w:t>WHAT WE DO NOT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8890</wp:posOffset>
            </wp:positionV>
            <wp:extent cx="6997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30" w:lineRule="exact"/>
        <w:rPr>
          <w:sz w:val="20"/>
          <w:szCs w:val="20"/>
          <w:color w:val="auto"/>
        </w:rPr>
      </w:pPr>
    </w:p>
    <w:p>
      <w:pPr>
        <w:ind w:left="640" w:hanging="436"/>
        <w:spacing w:after="0" w:line="180" w:lineRule="auto"/>
        <w:tabs>
          <w:tab w:leader="none" w:pos="640" w:val="left"/>
        </w:tabs>
        <w:numPr>
          <w:ilvl w:val="0"/>
          <w:numId w:val="69"/>
        </w:numPr>
        <w:rPr>
          <w:rFonts w:ascii="MS PGothic" w:cs="MS PGothic" w:eastAsia="MS PGothic" w:hAnsi="MS PGothic"/>
          <w:sz w:val="35"/>
          <w:szCs w:val="35"/>
          <w:color w:val="1E408E"/>
          <w:vertAlign w:val="subscript"/>
        </w:rPr>
      </w:pPr>
      <w:r>
        <w:rPr>
          <w:rFonts w:ascii="Arial" w:cs="Arial" w:eastAsia="Arial" w:hAnsi="Arial"/>
          <w:sz w:val="14"/>
          <w:szCs w:val="14"/>
          <w:color w:val="191919"/>
        </w:rPr>
        <w:t>Our cash incentive bonus awards for our executives are based solely on our financial performance</w:t>
      </w:r>
    </w:p>
    <w:p>
      <w:pPr>
        <w:spacing w:after="0" w:line="21" w:lineRule="exact"/>
        <w:rPr>
          <w:rFonts w:ascii="MS PGothic" w:cs="MS PGothic" w:eastAsia="MS PGothic" w:hAnsi="MS PGothic"/>
          <w:sz w:val="35"/>
          <w:szCs w:val="35"/>
          <w:color w:val="1E408E"/>
          <w:vertAlign w:val="subscript"/>
        </w:rPr>
      </w:pPr>
    </w:p>
    <w:p>
      <w:pPr>
        <w:ind w:left="640" w:right="60" w:hanging="436"/>
        <w:spacing w:after="0" w:line="185" w:lineRule="auto"/>
        <w:tabs>
          <w:tab w:leader="none" w:pos="640" w:val="left"/>
        </w:tabs>
        <w:numPr>
          <w:ilvl w:val="0"/>
          <w:numId w:val="69"/>
        </w:numPr>
        <w:rPr>
          <w:rFonts w:ascii="MS PGothic" w:cs="MS PGothic" w:eastAsia="MS PGothic" w:hAnsi="MS PGothic"/>
          <w:sz w:val="42"/>
          <w:szCs w:val="42"/>
          <w:color w:val="1E408E"/>
          <w:vertAlign w:val="subscript"/>
        </w:rPr>
      </w:pPr>
      <w:r>
        <w:rPr>
          <w:rFonts w:ascii="Arial" w:cs="Arial" w:eastAsia="Arial" w:hAnsi="Arial"/>
          <w:sz w:val="14"/>
          <w:szCs w:val="14"/>
          <w:color w:val="191919"/>
        </w:rPr>
        <w:t>We have a specific policy regarding the grant dates of stock options, RSUs and other stock-based awards for our directors, executive officers and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-381000</wp:posOffset>
            </wp:positionV>
            <wp:extent cx="349059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90595"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-3810</wp:posOffset>
            </wp:positionV>
            <wp:extent cx="349059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ind w:left="308" w:right="260" w:hanging="308"/>
        <w:spacing w:after="0" w:line="190" w:lineRule="auto"/>
        <w:tabs>
          <w:tab w:leader="none" w:pos="308" w:val="left"/>
        </w:tabs>
        <w:numPr>
          <w:ilvl w:val="0"/>
          <w:numId w:val="70"/>
        </w:numPr>
        <w:rPr>
          <w:rFonts w:ascii="Arial" w:cs="Arial" w:eastAsia="Arial" w:hAnsi="Arial"/>
          <w:sz w:val="42"/>
          <w:szCs w:val="42"/>
          <w:color w:val="191919"/>
          <w:vertAlign w:val="subscript"/>
        </w:rPr>
      </w:pPr>
      <w:r>
        <w:rPr>
          <w:rFonts w:ascii="Arial" w:cs="Arial" w:eastAsia="Arial" w:hAnsi="Arial"/>
          <w:sz w:val="14"/>
          <w:szCs w:val="14"/>
          <w:color w:val="191919"/>
        </w:rPr>
        <w:t>We do not guarantee salary increases or non-performance-based bonuses</w:t>
      </w:r>
    </w:p>
    <w:p>
      <w:pPr>
        <w:spacing w:after="0" w:line="22" w:lineRule="exact"/>
        <w:rPr>
          <w:rFonts w:ascii="Arial" w:cs="Arial" w:eastAsia="Arial" w:hAnsi="Arial"/>
          <w:sz w:val="42"/>
          <w:szCs w:val="42"/>
          <w:color w:val="191919"/>
          <w:vertAlign w:val="subscript"/>
        </w:rPr>
      </w:pPr>
    </w:p>
    <w:p>
      <w:pPr>
        <w:ind w:left="308" w:right="200" w:hanging="308"/>
        <w:spacing w:after="0" w:line="182" w:lineRule="auto"/>
        <w:tabs>
          <w:tab w:leader="none" w:pos="308" w:val="left"/>
        </w:tabs>
        <w:numPr>
          <w:ilvl w:val="0"/>
          <w:numId w:val="70"/>
        </w:numPr>
        <w:rPr>
          <w:rFonts w:ascii="Arial" w:cs="Arial" w:eastAsia="Arial" w:hAnsi="Arial"/>
          <w:sz w:val="31"/>
          <w:szCs w:val="31"/>
          <w:color w:val="191919"/>
          <w:vertAlign w:val="subscript"/>
        </w:rPr>
      </w:pPr>
      <w:r>
        <w:rPr>
          <w:rFonts w:ascii="Arial" w:cs="Arial" w:eastAsia="Arial" w:hAnsi="Arial"/>
          <w:sz w:val="13"/>
          <w:szCs w:val="13"/>
          <w:color w:val="191919"/>
        </w:rPr>
        <w:t>We do not modify our performance targets during the performance period, even in challenging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-261620</wp:posOffset>
            </wp:positionV>
            <wp:extent cx="335343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5343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115570</wp:posOffset>
            </wp:positionV>
            <wp:extent cx="335343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189" w:lineRule="exact"/>
        <w:rPr>
          <w:sz w:val="20"/>
          <w:szCs w:val="20"/>
          <w:color w:val="auto"/>
        </w:rPr>
      </w:pPr>
    </w:p>
    <w:p>
      <w:pPr>
        <w:sectPr>
          <w:pgSz w:w="11900" w:h="16838" w:orient="portrait"/>
          <w:cols w:equalWidth="0" w:num="2">
            <w:col w:w="5580" w:space="372"/>
            <w:col w:w="5268"/>
          </w:cols>
          <w:pgMar w:left="240" w:top="459" w:right="439" w:bottom="1440" w:gutter="0" w:footer="0" w:header="0"/>
          <w:type w:val="continuous"/>
        </w:sectPr>
      </w:pPr>
    </w:p>
    <w:p>
      <w:pPr>
        <w:ind w:left="640" w:hanging="436"/>
        <w:spacing w:after="0" w:line="185" w:lineRule="auto"/>
        <w:tabs>
          <w:tab w:leader="none" w:pos="640" w:val="left"/>
        </w:tabs>
        <w:numPr>
          <w:ilvl w:val="0"/>
          <w:numId w:val="71"/>
        </w:numPr>
        <w:rPr>
          <w:rFonts w:ascii="MS PGothic" w:cs="MS PGothic" w:eastAsia="MS PGothic" w:hAnsi="MS PGothic"/>
          <w:sz w:val="28"/>
          <w:szCs w:val="28"/>
          <w:color w:val="1E408E"/>
          <w:vertAlign w:val="subscript"/>
        </w:rPr>
      </w:pPr>
      <w:r>
        <w:rPr>
          <w:rFonts w:ascii="Arial" w:cs="Arial" w:eastAsia="Arial" w:hAnsi="Arial"/>
          <w:sz w:val="13"/>
          <w:szCs w:val="13"/>
          <w:color w:val="191919"/>
        </w:rPr>
        <w:t>We have stock ownership guidelines for all officers and directors</w:t>
      </w:r>
    </w:p>
    <w:p>
      <w:pPr>
        <w:spacing w:after="0" w:line="211" w:lineRule="exact"/>
        <w:rPr>
          <w:rFonts w:ascii="MS PGothic" w:cs="MS PGothic" w:eastAsia="MS PGothic" w:hAnsi="MS PGothic"/>
          <w:sz w:val="28"/>
          <w:szCs w:val="28"/>
          <w:color w:val="1E408E"/>
          <w:vertAlign w:val="subscript"/>
        </w:rPr>
      </w:pPr>
    </w:p>
    <w:p>
      <w:pPr>
        <w:ind w:left="640" w:hanging="436"/>
        <w:spacing w:after="0" w:line="224" w:lineRule="auto"/>
        <w:tabs>
          <w:tab w:leader="none" w:pos="640" w:val="left"/>
        </w:tabs>
        <w:numPr>
          <w:ilvl w:val="0"/>
          <w:numId w:val="71"/>
        </w:numPr>
        <w:rPr>
          <w:rFonts w:ascii="MS PGothic" w:cs="MS PGothic" w:eastAsia="MS PGothic" w:hAnsi="MS PGothic"/>
          <w:sz w:val="41"/>
          <w:szCs w:val="41"/>
          <w:color w:val="1E408E"/>
          <w:vertAlign w:val="subscript"/>
        </w:rPr>
      </w:pPr>
      <w:r>
        <w:rPr>
          <w:rFonts w:ascii="Arial" w:cs="Arial" w:eastAsia="Arial" w:hAnsi="Arial"/>
          <w:sz w:val="14"/>
          <w:szCs w:val="14"/>
          <w:color w:val="191919"/>
        </w:rPr>
        <w:t>We</w:t>
      </w:r>
      <w:r>
        <w:rPr>
          <w:rFonts w:ascii="Arial" w:cs="Arial" w:eastAsia="Arial" w:hAnsi="Arial"/>
          <w:sz w:val="23"/>
          <w:szCs w:val="23"/>
          <w:color w:val="191919"/>
          <w:vertAlign w:val="subscript"/>
        </w:rPr>
        <w:t>securities</w:t>
      </w:r>
      <w:r>
        <w:rPr>
          <w:rFonts w:ascii="Arial" w:cs="Arial" w:eastAsia="Arial" w:hAnsi="Arial"/>
          <w:sz w:val="14"/>
          <w:szCs w:val="14"/>
          <w:color w:val="191919"/>
        </w:rPr>
        <w:t>prohibit hedging transactions and “short sales” involving ADI</w:t>
      </w:r>
    </w:p>
    <w:p>
      <w:pPr>
        <w:spacing w:after="0" w:line="46" w:lineRule="exact"/>
        <w:rPr>
          <w:rFonts w:ascii="MS PGothic" w:cs="MS PGothic" w:eastAsia="MS PGothic" w:hAnsi="MS PGothic"/>
          <w:sz w:val="41"/>
          <w:szCs w:val="41"/>
          <w:color w:val="1E408E"/>
          <w:vertAlign w:val="subscript"/>
        </w:rPr>
      </w:pPr>
    </w:p>
    <w:p>
      <w:pPr>
        <w:ind w:left="640" w:hanging="436"/>
        <w:spacing w:after="0" w:line="183" w:lineRule="auto"/>
        <w:tabs>
          <w:tab w:leader="none" w:pos="640" w:val="left"/>
        </w:tabs>
        <w:numPr>
          <w:ilvl w:val="0"/>
          <w:numId w:val="71"/>
        </w:numPr>
        <w:rPr>
          <w:rFonts w:ascii="MS PGothic" w:cs="MS PGothic" w:eastAsia="MS PGothic" w:hAnsi="MS PGothic"/>
          <w:sz w:val="47"/>
          <w:szCs w:val="47"/>
          <w:color w:val="1E408E"/>
          <w:vertAlign w:val="subscript"/>
        </w:rPr>
      </w:pPr>
      <w:r>
        <w:rPr>
          <w:rFonts w:ascii="Arial" w:cs="Arial" w:eastAsia="Arial" w:hAnsi="Arial"/>
          <w:sz w:val="15"/>
          <w:szCs w:val="15"/>
          <w:color w:val="191919"/>
        </w:rPr>
        <w:t>We prohibit holding ADI securities in margin accounts</w:t>
      </w:r>
    </w:p>
    <w:p>
      <w:pPr>
        <w:spacing w:after="0" w:line="211" w:lineRule="exact"/>
        <w:rPr>
          <w:rFonts w:ascii="MS PGothic" w:cs="MS PGothic" w:eastAsia="MS PGothic" w:hAnsi="MS PGothic"/>
          <w:sz w:val="47"/>
          <w:szCs w:val="47"/>
          <w:color w:val="1E408E"/>
          <w:vertAlign w:val="subscript"/>
        </w:rPr>
      </w:pPr>
    </w:p>
    <w:p>
      <w:pPr>
        <w:ind w:left="640" w:hanging="436"/>
        <w:spacing w:after="0" w:line="186" w:lineRule="auto"/>
        <w:tabs>
          <w:tab w:leader="none" w:pos="640" w:val="left"/>
        </w:tabs>
        <w:numPr>
          <w:ilvl w:val="0"/>
          <w:numId w:val="71"/>
        </w:numPr>
        <w:rPr>
          <w:rFonts w:ascii="MS PGothic" w:cs="MS PGothic" w:eastAsia="MS PGothic" w:hAnsi="MS PGothic"/>
          <w:sz w:val="25"/>
          <w:szCs w:val="25"/>
          <w:color w:val="1E408E"/>
          <w:vertAlign w:val="subscript"/>
        </w:rPr>
      </w:pPr>
      <w:r>
        <w:rPr>
          <w:rFonts w:ascii="Arial" w:cs="Arial" w:eastAsia="Arial" w:hAnsi="Arial"/>
          <w:sz w:val="13"/>
          <w:szCs w:val="13"/>
          <w:color w:val="191919"/>
        </w:rPr>
        <w:t>We prohibit pledging ADI securities as collateral for a loan</w:t>
      </w:r>
    </w:p>
    <w:p>
      <w:pPr>
        <w:spacing w:after="0" w:line="211" w:lineRule="exact"/>
        <w:rPr>
          <w:rFonts w:ascii="MS PGothic" w:cs="MS PGothic" w:eastAsia="MS PGothic" w:hAnsi="MS PGothic"/>
          <w:sz w:val="25"/>
          <w:szCs w:val="25"/>
          <w:color w:val="1E408E"/>
          <w:vertAlign w:val="subscript"/>
        </w:rPr>
      </w:pPr>
    </w:p>
    <w:p>
      <w:pPr>
        <w:ind w:left="640" w:hanging="436"/>
        <w:spacing w:after="0" w:line="186" w:lineRule="auto"/>
        <w:tabs>
          <w:tab w:leader="none" w:pos="640" w:val="left"/>
        </w:tabs>
        <w:numPr>
          <w:ilvl w:val="0"/>
          <w:numId w:val="71"/>
        </w:numPr>
        <w:rPr>
          <w:rFonts w:ascii="MS PGothic" w:cs="MS PGothic" w:eastAsia="MS PGothic" w:hAnsi="MS PGothic"/>
          <w:sz w:val="25"/>
          <w:szCs w:val="25"/>
          <w:color w:val="1E408E"/>
          <w:vertAlign w:val="subscript"/>
        </w:rPr>
      </w:pPr>
      <w:r>
        <w:rPr>
          <w:rFonts w:ascii="Arial" w:cs="Arial" w:eastAsia="Arial" w:hAnsi="Arial"/>
          <w:sz w:val="13"/>
          <w:szCs w:val="13"/>
          <w:color w:val="191919"/>
        </w:rPr>
        <w:t>Annual “say on pay”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-1032510</wp:posOffset>
            </wp:positionV>
            <wp:extent cx="349059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90595"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-655320</wp:posOffset>
            </wp:positionV>
            <wp:extent cx="349059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90595"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-398145</wp:posOffset>
            </wp:positionV>
            <wp:extent cx="349059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90595"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-140970</wp:posOffset>
            </wp:positionV>
            <wp:extent cx="349059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308" w:hanging="308"/>
        <w:spacing w:after="0" w:line="188" w:lineRule="auto"/>
        <w:tabs>
          <w:tab w:leader="none" w:pos="308" w:val="left"/>
        </w:tabs>
        <w:numPr>
          <w:ilvl w:val="0"/>
          <w:numId w:val="72"/>
        </w:numPr>
        <w:rPr>
          <w:rFonts w:ascii="Arial" w:cs="Arial" w:eastAsia="Arial" w:hAnsi="Arial"/>
          <w:sz w:val="24"/>
          <w:szCs w:val="24"/>
          <w:color w:val="191919"/>
          <w:vertAlign w:val="subscript"/>
        </w:rPr>
      </w:pPr>
      <w:r>
        <w:rPr>
          <w:rFonts w:ascii="Arial" w:cs="Arial" w:eastAsia="Arial" w:hAnsi="Arial"/>
          <w:sz w:val="13"/>
          <w:szCs w:val="13"/>
          <w:color w:val="191919"/>
        </w:rPr>
        <w:t>We do not provide new tax gross-ups for executive officers</w:t>
      </w:r>
    </w:p>
    <w:p>
      <w:pPr>
        <w:spacing w:after="0" w:line="211" w:lineRule="exact"/>
        <w:rPr>
          <w:rFonts w:ascii="Arial" w:cs="Arial" w:eastAsia="Arial" w:hAnsi="Arial"/>
          <w:sz w:val="24"/>
          <w:szCs w:val="24"/>
          <w:color w:val="191919"/>
          <w:vertAlign w:val="subscript"/>
        </w:rPr>
      </w:pPr>
    </w:p>
    <w:p>
      <w:pPr>
        <w:ind w:left="308" w:right="40" w:hanging="308"/>
        <w:spacing w:after="0" w:line="181" w:lineRule="auto"/>
        <w:tabs>
          <w:tab w:leader="none" w:pos="308" w:val="left"/>
        </w:tabs>
        <w:numPr>
          <w:ilvl w:val="0"/>
          <w:numId w:val="72"/>
        </w:numPr>
        <w:rPr>
          <w:rFonts w:ascii="Arial" w:cs="Arial" w:eastAsia="Arial" w:hAnsi="Arial"/>
          <w:sz w:val="38"/>
          <w:szCs w:val="38"/>
          <w:color w:val="191919"/>
          <w:vertAlign w:val="subscript"/>
        </w:rPr>
      </w:pPr>
      <w:r>
        <w:rPr>
          <w:rFonts w:ascii="Arial" w:cs="Arial" w:eastAsia="Arial" w:hAnsi="Arial"/>
          <w:sz w:val="14"/>
          <w:szCs w:val="14"/>
          <w:color w:val="191919"/>
        </w:rPr>
        <w:t>With the exception of restricted stock awards assumed in connection with the Linear Technology acquisition, we do not pay dividends on unvested equity awards</w:t>
      </w:r>
    </w:p>
    <w:p>
      <w:pPr>
        <w:ind w:left="308" w:hanging="308"/>
        <w:spacing w:after="0" w:line="187" w:lineRule="auto"/>
        <w:tabs>
          <w:tab w:leader="none" w:pos="308" w:val="left"/>
        </w:tabs>
        <w:numPr>
          <w:ilvl w:val="0"/>
          <w:numId w:val="72"/>
        </w:numPr>
        <w:rPr>
          <w:rFonts w:ascii="Arial" w:cs="Arial" w:eastAsia="Arial" w:hAnsi="Arial"/>
          <w:sz w:val="24"/>
          <w:szCs w:val="24"/>
          <w:color w:val="191919"/>
          <w:vertAlign w:val="subscript"/>
        </w:rPr>
      </w:pPr>
      <w:r>
        <w:rPr>
          <w:rFonts w:ascii="Arial" w:cs="Arial" w:eastAsia="Arial" w:hAnsi="Arial"/>
          <w:sz w:val="13"/>
          <w:szCs w:val="13"/>
          <w:color w:val="191919"/>
        </w:rPr>
        <w:t>We do not provide extensive perquisites to our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-518160</wp:posOffset>
            </wp:positionV>
            <wp:extent cx="335343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5343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-140970</wp:posOffset>
            </wp:positionV>
            <wp:extent cx="335343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53435" cy="8890"/>
                    </a:xfrm>
                    <a:prstGeom prst="rect">
                      <a:avLst/>
                    </a:prstGeom>
                    <a:noFill/>
                  </pic:spPr>
                </pic:pic>
              </a:graphicData>
            </a:graphic>
          </wp:anchor>
        </w:drawing>
        <w:drawing>
          <wp:anchor simplePos="0" relativeHeight="251657728" behindDoc="1" locked="0" layoutInCell="0" allowOverlap="1">
            <wp:simplePos x="0" y="0"/>
            <wp:positionH relativeFrom="column">
              <wp:posOffset>-3644900</wp:posOffset>
            </wp:positionH>
            <wp:positionV relativeFrom="paragraph">
              <wp:posOffset>630555</wp:posOffset>
            </wp:positionV>
            <wp:extent cx="6997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010" w:lineRule="exact"/>
        <w:rPr>
          <w:sz w:val="20"/>
          <w:szCs w:val="20"/>
          <w:color w:val="auto"/>
        </w:rPr>
      </w:pPr>
    </w:p>
    <w:p>
      <w:pPr>
        <w:sectPr>
          <w:pgSz w:w="11900" w:h="16838" w:orient="portrait"/>
          <w:cols w:equalWidth="0" w:num="2">
            <w:col w:w="5240" w:space="712"/>
            <w:col w:w="5268"/>
          </w:cols>
          <w:pgMar w:left="240" w:top="459" w:right="439" w:bottom="1440" w:gutter="0" w:footer="0" w:header="0"/>
          <w:type w:val="continuous"/>
        </w:sectPr>
      </w:pPr>
    </w:p>
    <w:p>
      <w:pPr>
        <w:spacing w:after="0" w:line="29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Pay for Performance</w:t>
      </w:r>
    </w:p>
    <w:p>
      <w:pPr>
        <w:spacing w:after="0" w:line="126" w:lineRule="exact"/>
        <w:rPr>
          <w:sz w:val="20"/>
          <w:szCs w:val="20"/>
          <w:color w:val="auto"/>
        </w:rPr>
      </w:pPr>
    </w:p>
    <w:p>
      <w:pPr>
        <w:ind w:left="200" w:right="20" w:firstLine="441"/>
        <w:spacing w:after="0" w:line="238" w:lineRule="auto"/>
        <w:rPr>
          <w:sz w:val="20"/>
          <w:szCs w:val="20"/>
          <w:color w:val="auto"/>
        </w:rPr>
      </w:pPr>
      <w:r>
        <w:rPr>
          <w:rFonts w:ascii="Arial" w:cs="Arial" w:eastAsia="Arial" w:hAnsi="Arial"/>
          <w:sz w:val="18"/>
          <w:szCs w:val="18"/>
          <w:color w:val="auto"/>
        </w:rPr>
        <w:t>A significant portion of the total target compensation for our executives is in the form of variable, performance-based incentive compensation, with only a small portion of the total target compensation provided in the form of “fixed” compensation. We believe this provides our executives an opportunity to earn above peer average compensation if ADI delivers strong results, and conversely, if the Company delivers weaker results, our executives would earn less compensation. The target pay mix for our NEOs for fiscal 2019 is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146685</wp:posOffset>
            </wp:positionV>
            <wp:extent cx="5162550" cy="22809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62550" cy="2280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00" w:firstLine="441"/>
        <w:spacing w:after="0"/>
        <w:rPr>
          <w:sz w:val="20"/>
          <w:szCs w:val="20"/>
          <w:color w:val="auto"/>
        </w:rPr>
      </w:pPr>
      <w:r>
        <w:rPr>
          <w:rFonts w:ascii="Arial" w:cs="Arial" w:eastAsia="Arial" w:hAnsi="Arial"/>
          <w:sz w:val="18"/>
          <w:szCs w:val="18"/>
          <w:color w:val="auto"/>
        </w:rPr>
        <w:t>The pay mix charts above are based on target compensation consisting of the annual rate of base salary and short-term and long-term incentive targets approved by the Compensation Committee. The pay mix for the “other NEOs” in the chart above excludes the equity award granted to Mr. Pietkiewicz in June</w:t>
      </w:r>
    </w:p>
    <w:p>
      <w:pPr>
        <w:spacing w:after="0" w:line="13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4"/>
          <w:szCs w:val="14"/>
          <w:b w:val="1"/>
          <w:bCs w:val="1"/>
          <w:color w:val="052B82"/>
        </w:rPr>
        <w:t>2020 Proxy Statement</w:t>
      </w:r>
      <w:r>
        <w:rPr>
          <w:sz w:val="20"/>
          <w:szCs w:val="20"/>
          <w:color w:val="auto"/>
        </w:rPr>
        <w:tab/>
      </w:r>
      <w:r>
        <w:rPr>
          <w:rFonts w:ascii="Arial" w:cs="Arial" w:eastAsia="Arial" w:hAnsi="Arial"/>
          <w:sz w:val="17"/>
          <w:szCs w:val="17"/>
          <w:color w:val="999999"/>
        </w:rPr>
        <w:t>41</w:t>
      </w:r>
    </w:p>
    <w:p>
      <w:pPr>
        <w:sectPr>
          <w:pgSz w:w="11900" w:h="16838" w:orient="portrait"/>
          <w:cols w:equalWidth="0" w:num="1">
            <w:col w:w="11220"/>
          </w:cols>
          <w:pgMar w:left="240" w:top="459" w:right="43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2649855" cy="1371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0" w:right="80"/>
        <w:spacing w:after="0" w:line="239" w:lineRule="auto"/>
        <w:rPr>
          <w:sz w:val="20"/>
          <w:szCs w:val="20"/>
          <w:color w:val="auto"/>
        </w:rPr>
      </w:pPr>
      <w:r>
        <w:rPr>
          <w:rFonts w:ascii="Arial" w:cs="Arial" w:eastAsia="Arial" w:hAnsi="Arial"/>
          <w:sz w:val="18"/>
          <w:szCs w:val="18"/>
          <w:color w:val="auto"/>
        </w:rPr>
        <w:t>2019 as the final portion of the alignment of the compensation programs of our legacy ADI and Linear Technology employees. Taking that equity award into account, the percentage of performance-based incentives would increase for Mr. Pietkiewicz. For more information about the components of the performance and incentive pay mix for our Named Executive Officer Compensation, see “Compensation Discussion and Analysis—Components of Executive Compensation.”</w:t>
      </w:r>
    </w:p>
    <w:p>
      <w:pPr>
        <w:spacing w:after="0" w:line="202" w:lineRule="exact"/>
        <w:rPr>
          <w:sz w:val="20"/>
          <w:szCs w:val="20"/>
          <w:color w:val="auto"/>
        </w:rPr>
      </w:pPr>
    </w:p>
    <w:p>
      <w:pPr>
        <w:ind w:left="200" w:firstLine="441"/>
        <w:spacing w:after="0" w:line="237" w:lineRule="auto"/>
        <w:rPr>
          <w:sz w:val="20"/>
          <w:szCs w:val="20"/>
          <w:color w:val="auto"/>
        </w:rPr>
      </w:pPr>
      <w:r>
        <w:rPr>
          <w:rFonts w:ascii="Arial" w:cs="Arial" w:eastAsia="Arial" w:hAnsi="Arial"/>
          <w:sz w:val="18"/>
          <w:szCs w:val="18"/>
          <w:u w:val="single" w:color="auto"/>
          <w:color w:val="auto"/>
        </w:rPr>
        <w:t>Variable Cash Incentive Bonus Payments</w:t>
      </w:r>
      <w:r>
        <w:rPr>
          <w:rFonts w:ascii="Arial" w:cs="Arial" w:eastAsia="Arial" w:hAnsi="Arial"/>
          <w:sz w:val="18"/>
          <w:szCs w:val="18"/>
          <w:color w:val="auto"/>
        </w:rPr>
        <w:t>. For fiscal 2019, we linked a significant portion of our executives’ cash compensation to ADI’s performance, measured by our operating profit before taxes as a percentage of revenue, or OPBT margin and year-over-year revenue growth on a quarterly basis, through our executive performance incentive plan. For fiscal 2019, the Compensation Committee set target percentages of 150% of base salary for our Chief Executive Officer and between 90%-100% of base salary for our remaining NEOs. The Compensation Committee selected these target bonus percentages to ensure that a substantial portion of each executive’s cash compensation is directly linked to our business performance.</w:t>
      </w:r>
    </w:p>
    <w:p>
      <w:pPr>
        <w:spacing w:after="0" w:line="205" w:lineRule="exact"/>
        <w:rPr>
          <w:sz w:val="20"/>
          <w:szCs w:val="20"/>
          <w:color w:val="auto"/>
        </w:rPr>
      </w:pPr>
    </w:p>
    <w:p>
      <w:pPr>
        <w:ind w:left="200" w:right="20" w:firstLine="441"/>
        <w:spacing w:after="0" w:line="236" w:lineRule="auto"/>
        <w:rPr>
          <w:sz w:val="20"/>
          <w:szCs w:val="20"/>
          <w:color w:val="auto"/>
        </w:rPr>
      </w:pPr>
      <w:r>
        <w:rPr>
          <w:rFonts w:ascii="Arial" w:cs="Arial" w:eastAsia="Arial" w:hAnsi="Arial"/>
          <w:sz w:val="18"/>
          <w:szCs w:val="18"/>
          <w:color w:val="auto"/>
        </w:rPr>
        <w:t>In setting performance targets for our executive performance incentive plan, multiple factors are considered including our actual past business results, estimates of multi-year performance from our long-term strategic planning, and the performance of market competitors. Based on our evaluation of these factors, we develop a range of performance scenarios and then set goals at threshold, target and maximum performance levels. Based on analyses of our peer group performance over the past three years, as presented by our Compensation Committee’s independent consultant, Pearl Meyer, our OPBT margin target of 39% was well above our peer group median performance, while our year-over-year revenue growth target of 5% was well aligned with our peer group median performance. Our fiscal 2019 OPBT margin and year-over-year revenue growth targets were the same as compared to the third and fourth quarters of fiscal 2018 and align with our long-term financial model, which we announced at our Investor Day in June 2017.</w:t>
      </w:r>
    </w:p>
    <w:p>
      <w:pPr>
        <w:spacing w:after="0" w:line="208" w:lineRule="exact"/>
        <w:rPr>
          <w:sz w:val="20"/>
          <w:szCs w:val="20"/>
          <w:color w:val="auto"/>
        </w:rPr>
      </w:pPr>
    </w:p>
    <w:p>
      <w:pPr>
        <w:jc w:val="both"/>
        <w:ind w:left="200" w:right="200" w:firstLine="441"/>
        <w:spacing w:after="0" w:line="239" w:lineRule="auto"/>
        <w:rPr>
          <w:sz w:val="20"/>
          <w:szCs w:val="20"/>
          <w:color w:val="auto"/>
        </w:rPr>
      </w:pPr>
      <w:r>
        <w:rPr>
          <w:rFonts w:ascii="Arial" w:cs="Arial" w:eastAsia="Arial" w:hAnsi="Arial"/>
          <w:sz w:val="18"/>
          <w:szCs w:val="18"/>
          <w:u w:val="single" w:color="auto"/>
          <w:color w:val="auto"/>
        </w:rPr>
        <w:t>Equity Awards</w:t>
      </w:r>
      <w:r>
        <w:rPr>
          <w:rFonts w:ascii="Arial" w:cs="Arial" w:eastAsia="Arial" w:hAnsi="Arial"/>
          <w:sz w:val="18"/>
          <w:szCs w:val="18"/>
          <w:color w:val="auto"/>
        </w:rPr>
        <w:t>. We also link pay and performance by providing a significant amount of our executives’ compensation in the form of equity awards, the value of which is directly tied to our stock price performance over the long term. In fiscal 2019, approximately 72% of the average total target compensation of our NEOs was in the form of equity. In fiscal 2019, the form and mix of equity awards delivered as part of our annual equity award program for our NEOs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146050</wp:posOffset>
            </wp:positionV>
            <wp:extent cx="5171440" cy="23069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71440" cy="2306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600" w:hanging="396"/>
        <w:spacing w:after="0"/>
        <w:tabs>
          <w:tab w:leader="none" w:pos="600" w:val="left"/>
        </w:tabs>
        <w:numPr>
          <w:ilvl w:val="0"/>
          <w:numId w:val="73"/>
        </w:numPr>
        <w:rPr>
          <w:rFonts w:ascii="Arial" w:cs="Arial" w:eastAsia="Arial" w:hAnsi="Arial"/>
          <w:sz w:val="18"/>
          <w:szCs w:val="18"/>
          <w:color w:val="999999"/>
        </w:rPr>
      </w:pPr>
      <w:r>
        <w:rPr>
          <w:rFonts w:ascii="Arial" w:cs="Arial" w:eastAsia="Arial" w:hAnsi="Arial"/>
          <w:sz w:val="14"/>
          <w:szCs w:val="14"/>
          <w:b w:val="1"/>
          <w:bCs w:val="1"/>
          <w:color w:val="052B82"/>
        </w:rPr>
        <w:t>Analog Devices, Inc.</w:t>
      </w:r>
    </w:p>
    <w:p>
      <w:pPr>
        <w:sectPr>
          <w:pgSz w:w="11900" w:h="16838" w:orient="portrait"/>
          <w:cols w:equalWidth="0" w:num="1">
            <w:col w:w="11200"/>
          </w:cols>
          <w:pgMar w:left="24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205740</wp:posOffset>
            </wp:positionV>
            <wp:extent cx="2649855" cy="1371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Benchmarking</w:t>
      </w:r>
    </w:p>
    <w:p>
      <w:pPr>
        <w:spacing w:after="0" w:line="126" w:lineRule="exact"/>
        <w:rPr>
          <w:sz w:val="20"/>
          <w:szCs w:val="20"/>
          <w:color w:val="auto"/>
        </w:rPr>
      </w:pPr>
    </w:p>
    <w:p>
      <w:pPr>
        <w:ind w:left="200" w:right="100" w:firstLine="441"/>
        <w:spacing w:after="0" w:line="236" w:lineRule="auto"/>
        <w:rPr>
          <w:sz w:val="20"/>
          <w:szCs w:val="20"/>
          <w:color w:val="auto"/>
        </w:rPr>
      </w:pPr>
      <w:r>
        <w:rPr>
          <w:rFonts w:ascii="Arial" w:cs="Arial" w:eastAsia="Arial" w:hAnsi="Arial"/>
          <w:sz w:val="18"/>
          <w:szCs w:val="18"/>
          <w:color w:val="auto"/>
        </w:rPr>
        <w:t>In making its compensation determinations, including base salary, cash incentive bonus award targets and long-term equity compensation, the Compensation Committee annually reviews the total compensation that each of our executives is eligible to receive against the compensation levels of comparable positions of a peer group of companies. The composition of the peer group is also reviewed annually by the Compensation Committee. In fiscal 2018, the Compensation Committee engaged Pearl Meyer to conduct a review of the composition of the Company’s peer group for fiscal 2019. The Compensation Committee has sought to select peer companies that are publicly traded, are headquartered in the United States, compete with us for talent, and are similar to ADI in their product and services offerings, business model, revenue size and market capitalization. As a result of rapid consolidation in the semiconductor industry over the last several years, in addition to companies that meet the criteria outlined above, the peer group for 2019 included companies outside of the semiconductor industry. These additional companies are similar in size and have similar gross margins and research and development spend as the Company, include peers of peers and peers of other companies in our sector, and often compete with the Company for talent.</w:t>
      </w:r>
    </w:p>
    <w:p>
      <w:pPr>
        <w:spacing w:after="0" w:line="206" w:lineRule="exact"/>
        <w:rPr>
          <w:sz w:val="20"/>
          <w:szCs w:val="20"/>
          <w:color w:val="auto"/>
        </w:rPr>
      </w:pPr>
    </w:p>
    <w:p>
      <w:pPr>
        <w:ind w:left="200" w:right="180" w:firstLine="441"/>
        <w:spacing w:after="0" w:line="246" w:lineRule="auto"/>
        <w:rPr>
          <w:sz w:val="20"/>
          <w:szCs w:val="20"/>
          <w:color w:val="auto"/>
        </w:rPr>
      </w:pPr>
      <w:r>
        <w:rPr>
          <w:rFonts w:ascii="Arial" w:cs="Arial" w:eastAsia="Arial" w:hAnsi="Arial"/>
          <w:sz w:val="18"/>
          <w:szCs w:val="18"/>
          <w:color w:val="auto"/>
        </w:rPr>
        <w:t>The peer group used by the Compensation Committee in fiscal 2019 to evaluate executive compensation consisted of the following companies:</w:t>
      </w:r>
    </w:p>
    <w:p>
      <w:pPr>
        <w:spacing w:after="0" w:line="103" w:lineRule="exact"/>
        <w:rPr>
          <w:sz w:val="20"/>
          <w:szCs w:val="20"/>
          <w:color w:val="auto"/>
        </w:rPr>
      </w:pPr>
    </w:p>
    <w:tbl>
      <w:tblPr>
        <w:tblLayout w:type="fixed"/>
        <w:tblInd w:w="230" w:type="dxa"/>
        <w:tblCellMar>
          <w:top w:w="0" w:type="dxa"/>
          <w:left w:w="0" w:type="dxa"/>
          <w:bottom w:w="0" w:type="dxa"/>
          <w:right w:w="0" w:type="dxa"/>
        </w:tblCellMar>
      </w:tblPr>
      <w:tr>
        <w:trPr>
          <w:trHeight w:val="297"/>
        </w:trPr>
        <w:tc>
          <w:tcPr>
            <w:tcW w:w="460" w:type="dxa"/>
            <w:vAlign w:val="bottom"/>
            <w:tcBorders>
              <w:left w:val="single" w:sz="8" w:color="052B82"/>
              <w:right w:val="single" w:sz="8" w:color="052B82"/>
            </w:tcBorders>
            <w:shd w:val="clear" w:color="auto" w:fill="052B82"/>
          </w:tcPr>
          <w:p>
            <w:pPr>
              <w:spacing w:after="0"/>
              <w:rPr>
                <w:sz w:val="24"/>
                <w:szCs w:val="24"/>
                <w:color w:val="auto"/>
              </w:rPr>
            </w:pPr>
          </w:p>
        </w:tc>
        <w:tc>
          <w:tcPr>
            <w:tcW w:w="3460" w:type="dxa"/>
            <w:vAlign w:val="bottom"/>
            <w:tcBorders>
              <w:right w:val="single" w:sz="8" w:color="052B82"/>
            </w:tcBorders>
            <w:shd w:val="clear" w:color="auto" w:fill="052B82"/>
          </w:tcPr>
          <w:p>
            <w:pPr>
              <w:spacing w:after="0"/>
              <w:rPr>
                <w:sz w:val="24"/>
                <w:szCs w:val="24"/>
                <w:color w:val="auto"/>
              </w:rPr>
            </w:pPr>
          </w:p>
        </w:tc>
        <w:tc>
          <w:tcPr>
            <w:tcW w:w="3320" w:type="dxa"/>
            <w:vAlign w:val="bottom"/>
            <w:tcBorders>
              <w:right w:val="single" w:sz="8" w:color="052B82"/>
            </w:tcBorders>
            <w:gridSpan w:val="2"/>
            <w:shd w:val="clear" w:color="auto" w:fill="052B82"/>
          </w:tcPr>
          <w:p>
            <w:pPr>
              <w:ind w:left="960"/>
              <w:spacing w:after="0"/>
              <w:rPr>
                <w:sz w:val="20"/>
                <w:szCs w:val="20"/>
                <w:color w:val="auto"/>
              </w:rPr>
            </w:pPr>
            <w:r>
              <w:rPr>
                <w:rFonts w:ascii="Arial" w:cs="Arial" w:eastAsia="Arial" w:hAnsi="Arial"/>
                <w:sz w:val="17"/>
                <w:szCs w:val="17"/>
                <w:b w:val="1"/>
                <w:bCs w:val="1"/>
                <w:color w:val="FFFFFF"/>
              </w:rPr>
              <w:t>2019 Peer Group</w:t>
            </w:r>
          </w:p>
        </w:tc>
        <w:tc>
          <w:tcPr>
            <w:tcW w:w="3340" w:type="dxa"/>
            <w:vAlign w:val="bottom"/>
            <w:tcBorders>
              <w:right w:val="single" w:sz="8" w:color="052B82"/>
            </w:tcBorders>
            <w:shd w:val="clear" w:color="auto" w:fill="052B82"/>
          </w:tcPr>
          <w:p>
            <w:pPr>
              <w:spacing w:after="0"/>
              <w:rPr>
                <w:sz w:val="24"/>
                <w:szCs w:val="24"/>
                <w:color w:val="auto"/>
              </w:rPr>
            </w:pPr>
          </w:p>
        </w:tc>
        <w:tc>
          <w:tcPr>
            <w:tcW w:w="460" w:type="dxa"/>
            <w:vAlign w:val="bottom"/>
            <w:tcBorders>
              <w:right w:val="single" w:sz="8" w:color="052B82"/>
            </w:tcBorders>
            <w:shd w:val="clear" w:color="auto" w:fill="052B82"/>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20" w:type="dxa"/>
            <w:vAlign w:val="bottom"/>
            <w:tcBorders>
              <w:left w:val="single" w:sz="8" w:color="052B82"/>
              <w:bottom w:val="single" w:sz="8" w:color="506AA7"/>
            </w:tcBorders>
            <w:gridSpan w:val="2"/>
          </w:tcPr>
          <w:p>
            <w:pPr>
              <w:ind w:left="140"/>
              <w:spacing w:after="0"/>
              <w:rPr>
                <w:sz w:val="20"/>
                <w:szCs w:val="20"/>
                <w:color w:val="auto"/>
              </w:rPr>
            </w:pPr>
            <w:r>
              <w:rPr>
                <w:rFonts w:ascii="Arial" w:cs="Arial" w:eastAsia="Arial" w:hAnsi="Arial"/>
                <w:sz w:val="16"/>
                <w:szCs w:val="16"/>
                <w:color w:val="auto"/>
              </w:rPr>
              <w:t>Advanced Micro Devices, Inc.</w:t>
            </w:r>
          </w:p>
        </w:tc>
        <w:tc>
          <w:tcPr>
            <w:tcW w:w="1620" w:type="dxa"/>
            <w:vAlign w:val="bottom"/>
            <w:tcBorders>
              <w:bottom w:val="single" w:sz="8" w:color="506AA7"/>
              <w:right w:val="single" w:sz="8" w:color="052B82"/>
            </w:tcBorders>
          </w:tcPr>
          <w:p>
            <w:pPr>
              <w:spacing w:after="0"/>
              <w:rPr>
                <w:sz w:val="18"/>
                <w:szCs w:val="18"/>
                <w:color w:val="auto"/>
              </w:rPr>
            </w:pPr>
          </w:p>
        </w:tc>
        <w:tc>
          <w:tcPr>
            <w:tcW w:w="5500" w:type="dxa"/>
            <w:vAlign w:val="bottom"/>
            <w:tcBorders>
              <w:bottom w:val="single" w:sz="8" w:color="506AA7"/>
              <w:right w:val="single" w:sz="8" w:color="052B82"/>
            </w:tcBorders>
            <w:gridSpan w:val="3"/>
          </w:tcPr>
          <w:p>
            <w:pPr>
              <w:ind w:left="180"/>
              <w:spacing w:after="0"/>
              <w:rPr>
                <w:sz w:val="20"/>
                <w:szCs w:val="20"/>
                <w:color w:val="auto"/>
              </w:rPr>
            </w:pPr>
            <w:r>
              <w:rPr>
                <w:rFonts w:ascii="Arial" w:cs="Arial" w:eastAsia="Arial" w:hAnsi="Arial"/>
                <w:sz w:val="16"/>
                <w:szCs w:val="16"/>
                <w:color w:val="auto"/>
              </w:rPr>
              <w:t>Maxim Integrated Products, Inc.</w:t>
            </w:r>
          </w:p>
        </w:tc>
        <w:tc>
          <w:tcPr>
            <w:tcW w:w="0" w:type="dxa"/>
            <w:vAlign w:val="bottom"/>
          </w:tcPr>
          <w:p>
            <w:pPr>
              <w:spacing w:after="0"/>
              <w:rPr>
                <w:sz w:val="1"/>
                <w:szCs w:val="1"/>
                <w:color w:val="auto"/>
              </w:rPr>
            </w:pPr>
          </w:p>
        </w:tc>
      </w:tr>
      <w:tr>
        <w:trPr>
          <w:trHeight w:val="183"/>
        </w:trPr>
        <w:tc>
          <w:tcPr>
            <w:tcW w:w="3920" w:type="dxa"/>
            <w:vAlign w:val="bottom"/>
            <w:tcBorders>
              <w:left w:val="single" w:sz="8" w:color="052B82"/>
              <w:bottom w:val="single" w:sz="8" w:color="506AA7"/>
            </w:tcBorders>
            <w:gridSpan w:val="2"/>
          </w:tcPr>
          <w:p>
            <w:pPr>
              <w:ind w:left="140"/>
              <w:spacing w:after="0" w:line="183" w:lineRule="exact"/>
              <w:rPr>
                <w:sz w:val="20"/>
                <w:szCs w:val="20"/>
                <w:color w:val="auto"/>
              </w:rPr>
            </w:pPr>
            <w:r>
              <w:rPr>
                <w:rFonts w:ascii="Arial" w:cs="Arial" w:eastAsia="Arial" w:hAnsi="Arial"/>
                <w:sz w:val="16"/>
                <w:szCs w:val="16"/>
                <w:color w:val="auto"/>
              </w:rPr>
              <w:t>Agilent Technologies, Inc.</w:t>
            </w:r>
          </w:p>
        </w:tc>
        <w:tc>
          <w:tcPr>
            <w:tcW w:w="1620" w:type="dxa"/>
            <w:vAlign w:val="bottom"/>
            <w:tcBorders>
              <w:bottom w:val="single" w:sz="8" w:color="506AA7"/>
              <w:right w:val="single" w:sz="8" w:color="052B82"/>
            </w:tcBorders>
          </w:tcPr>
          <w:p>
            <w:pPr>
              <w:spacing w:after="0"/>
              <w:rPr>
                <w:sz w:val="15"/>
                <w:szCs w:val="15"/>
                <w:color w:val="auto"/>
              </w:rPr>
            </w:pPr>
          </w:p>
        </w:tc>
        <w:tc>
          <w:tcPr>
            <w:tcW w:w="5500" w:type="dxa"/>
            <w:vAlign w:val="bottom"/>
            <w:tcBorders>
              <w:bottom w:val="single" w:sz="8" w:color="506AA7"/>
              <w:right w:val="single" w:sz="8" w:color="052B82"/>
            </w:tcBorders>
            <w:gridSpan w:val="3"/>
          </w:tcPr>
          <w:p>
            <w:pPr>
              <w:ind w:left="180"/>
              <w:spacing w:after="0" w:line="183" w:lineRule="exact"/>
              <w:rPr>
                <w:sz w:val="20"/>
                <w:szCs w:val="20"/>
                <w:color w:val="auto"/>
              </w:rPr>
            </w:pPr>
            <w:r>
              <w:rPr>
                <w:rFonts w:ascii="Arial" w:cs="Arial" w:eastAsia="Arial" w:hAnsi="Arial"/>
                <w:sz w:val="16"/>
                <w:szCs w:val="16"/>
                <w:color w:val="auto"/>
              </w:rPr>
              <w:t>Microchip Technology Inc.</w:t>
            </w:r>
          </w:p>
        </w:tc>
        <w:tc>
          <w:tcPr>
            <w:tcW w:w="0" w:type="dxa"/>
            <w:vAlign w:val="bottom"/>
          </w:tcPr>
          <w:p>
            <w:pPr>
              <w:spacing w:after="0"/>
              <w:rPr>
                <w:sz w:val="1"/>
                <w:szCs w:val="1"/>
                <w:color w:val="auto"/>
              </w:rPr>
            </w:pPr>
          </w:p>
        </w:tc>
      </w:tr>
      <w:tr>
        <w:trPr>
          <w:trHeight w:val="183"/>
        </w:trPr>
        <w:tc>
          <w:tcPr>
            <w:tcW w:w="3920" w:type="dxa"/>
            <w:vAlign w:val="bottom"/>
            <w:tcBorders>
              <w:left w:val="single" w:sz="8" w:color="052B82"/>
              <w:bottom w:val="single" w:sz="8" w:color="506AA7"/>
            </w:tcBorders>
            <w:gridSpan w:val="2"/>
          </w:tcPr>
          <w:p>
            <w:pPr>
              <w:ind w:left="140"/>
              <w:spacing w:after="0" w:line="183" w:lineRule="exact"/>
              <w:rPr>
                <w:sz w:val="20"/>
                <w:szCs w:val="20"/>
                <w:color w:val="auto"/>
              </w:rPr>
            </w:pPr>
            <w:r>
              <w:rPr>
                <w:rFonts w:ascii="Arial" w:cs="Arial" w:eastAsia="Arial" w:hAnsi="Arial"/>
                <w:sz w:val="16"/>
                <w:szCs w:val="16"/>
                <w:color w:val="auto"/>
              </w:rPr>
              <w:t>Applied Materials, Inc.</w:t>
            </w:r>
          </w:p>
        </w:tc>
        <w:tc>
          <w:tcPr>
            <w:tcW w:w="1620" w:type="dxa"/>
            <w:vAlign w:val="bottom"/>
            <w:tcBorders>
              <w:bottom w:val="single" w:sz="8" w:color="506AA7"/>
              <w:right w:val="single" w:sz="8" w:color="052B82"/>
            </w:tcBorders>
          </w:tcPr>
          <w:p>
            <w:pPr>
              <w:spacing w:after="0"/>
              <w:rPr>
                <w:sz w:val="15"/>
                <w:szCs w:val="15"/>
                <w:color w:val="auto"/>
              </w:rPr>
            </w:pPr>
          </w:p>
        </w:tc>
        <w:tc>
          <w:tcPr>
            <w:tcW w:w="1700" w:type="dxa"/>
            <w:vAlign w:val="bottom"/>
            <w:tcBorders>
              <w:bottom w:val="single" w:sz="8" w:color="506AA7"/>
            </w:tcBorders>
          </w:tcPr>
          <w:p>
            <w:pPr>
              <w:ind w:left="180"/>
              <w:spacing w:after="0" w:line="183" w:lineRule="exact"/>
              <w:rPr>
                <w:sz w:val="20"/>
                <w:szCs w:val="20"/>
                <w:color w:val="auto"/>
              </w:rPr>
            </w:pPr>
            <w:r>
              <w:rPr>
                <w:rFonts w:ascii="Arial" w:cs="Arial" w:eastAsia="Arial" w:hAnsi="Arial"/>
                <w:sz w:val="16"/>
                <w:szCs w:val="16"/>
                <w:color w:val="auto"/>
              </w:rPr>
              <w:t>NetApp, Inc.</w:t>
            </w:r>
          </w:p>
        </w:tc>
        <w:tc>
          <w:tcPr>
            <w:tcW w:w="3340" w:type="dxa"/>
            <w:vAlign w:val="bottom"/>
            <w:tcBorders>
              <w:bottom w:val="single" w:sz="8" w:color="506AA7"/>
            </w:tcBorders>
          </w:tcPr>
          <w:p>
            <w:pPr>
              <w:spacing w:after="0"/>
              <w:rPr>
                <w:sz w:val="15"/>
                <w:szCs w:val="15"/>
                <w:color w:val="auto"/>
              </w:rPr>
            </w:pPr>
          </w:p>
        </w:tc>
        <w:tc>
          <w:tcPr>
            <w:tcW w:w="460" w:type="dxa"/>
            <w:vAlign w:val="bottom"/>
            <w:tcBorders>
              <w:bottom w:val="single" w:sz="8" w:color="506AA7"/>
              <w:right w:val="single" w:sz="8" w:color="052B82"/>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920" w:type="dxa"/>
            <w:vAlign w:val="bottom"/>
            <w:tcBorders>
              <w:left w:val="single" w:sz="8" w:color="052B82"/>
              <w:bottom w:val="single" w:sz="8" w:color="506AA7"/>
            </w:tcBorders>
            <w:gridSpan w:val="2"/>
          </w:tcPr>
          <w:p>
            <w:pPr>
              <w:ind w:left="140"/>
              <w:spacing w:after="0" w:line="183" w:lineRule="exact"/>
              <w:rPr>
                <w:sz w:val="20"/>
                <w:szCs w:val="20"/>
                <w:color w:val="auto"/>
              </w:rPr>
            </w:pPr>
            <w:r>
              <w:rPr>
                <w:rFonts w:ascii="Arial" w:cs="Arial" w:eastAsia="Arial" w:hAnsi="Arial"/>
                <w:sz w:val="16"/>
                <w:szCs w:val="16"/>
                <w:color w:val="auto"/>
              </w:rPr>
              <w:t>Boston Scientific Corporation</w:t>
            </w:r>
          </w:p>
        </w:tc>
        <w:tc>
          <w:tcPr>
            <w:tcW w:w="1620" w:type="dxa"/>
            <w:vAlign w:val="bottom"/>
            <w:tcBorders>
              <w:bottom w:val="single" w:sz="8" w:color="506AA7"/>
              <w:right w:val="single" w:sz="8" w:color="052B82"/>
            </w:tcBorders>
          </w:tcPr>
          <w:p>
            <w:pPr>
              <w:spacing w:after="0"/>
              <w:rPr>
                <w:sz w:val="15"/>
                <w:szCs w:val="15"/>
                <w:color w:val="auto"/>
              </w:rPr>
            </w:pPr>
          </w:p>
        </w:tc>
        <w:tc>
          <w:tcPr>
            <w:tcW w:w="1700" w:type="dxa"/>
            <w:vAlign w:val="bottom"/>
            <w:tcBorders>
              <w:bottom w:val="single" w:sz="8" w:color="506AA7"/>
            </w:tcBorders>
          </w:tcPr>
          <w:p>
            <w:pPr>
              <w:ind w:left="180"/>
              <w:spacing w:after="0" w:line="183" w:lineRule="exact"/>
              <w:rPr>
                <w:sz w:val="20"/>
                <w:szCs w:val="20"/>
                <w:color w:val="auto"/>
              </w:rPr>
            </w:pPr>
            <w:r>
              <w:rPr>
                <w:rFonts w:ascii="Arial" w:cs="Arial" w:eastAsia="Arial" w:hAnsi="Arial"/>
                <w:sz w:val="16"/>
                <w:szCs w:val="16"/>
                <w:color w:val="auto"/>
              </w:rPr>
              <w:t>NVIDIA Corporation</w:t>
            </w:r>
          </w:p>
        </w:tc>
        <w:tc>
          <w:tcPr>
            <w:tcW w:w="3340" w:type="dxa"/>
            <w:vAlign w:val="bottom"/>
            <w:tcBorders>
              <w:bottom w:val="single" w:sz="8" w:color="506AA7"/>
            </w:tcBorders>
          </w:tcPr>
          <w:p>
            <w:pPr>
              <w:spacing w:after="0"/>
              <w:rPr>
                <w:sz w:val="15"/>
                <w:szCs w:val="15"/>
                <w:color w:val="auto"/>
              </w:rPr>
            </w:pPr>
          </w:p>
        </w:tc>
        <w:tc>
          <w:tcPr>
            <w:tcW w:w="460" w:type="dxa"/>
            <w:vAlign w:val="bottom"/>
            <w:tcBorders>
              <w:bottom w:val="single" w:sz="8" w:color="506AA7"/>
              <w:right w:val="single" w:sz="8" w:color="052B82"/>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920" w:type="dxa"/>
            <w:vAlign w:val="bottom"/>
            <w:tcBorders>
              <w:left w:val="single" w:sz="8" w:color="052B82"/>
              <w:bottom w:val="single" w:sz="8" w:color="506AA7"/>
            </w:tcBorders>
            <w:gridSpan w:val="2"/>
          </w:tcPr>
          <w:p>
            <w:pPr>
              <w:ind w:left="140"/>
              <w:spacing w:after="0" w:line="183" w:lineRule="exact"/>
              <w:rPr>
                <w:sz w:val="20"/>
                <w:szCs w:val="20"/>
                <w:color w:val="auto"/>
              </w:rPr>
            </w:pPr>
            <w:r>
              <w:rPr>
                <w:rFonts w:ascii="Arial" w:cs="Arial" w:eastAsia="Arial" w:hAnsi="Arial"/>
                <w:sz w:val="16"/>
                <w:szCs w:val="16"/>
                <w:color w:val="auto"/>
              </w:rPr>
              <w:t>Broadcom Limited</w:t>
            </w:r>
          </w:p>
        </w:tc>
        <w:tc>
          <w:tcPr>
            <w:tcW w:w="1620" w:type="dxa"/>
            <w:vAlign w:val="bottom"/>
            <w:tcBorders>
              <w:bottom w:val="single" w:sz="8" w:color="506AA7"/>
              <w:right w:val="single" w:sz="8" w:color="052B82"/>
            </w:tcBorders>
          </w:tcPr>
          <w:p>
            <w:pPr>
              <w:spacing w:after="0"/>
              <w:rPr>
                <w:sz w:val="15"/>
                <w:szCs w:val="15"/>
                <w:color w:val="auto"/>
              </w:rPr>
            </w:pPr>
          </w:p>
        </w:tc>
        <w:tc>
          <w:tcPr>
            <w:tcW w:w="5500" w:type="dxa"/>
            <w:vAlign w:val="bottom"/>
            <w:tcBorders>
              <w:bottom w:val="single" w:sz="8" w:color="506AA7"/>
              <w:right w:val="single" w:sz="8" w:color="052B82"/>
            </w:tcBorders>
            <w:gridSpan w:val="3"/>
          </w:tcPr>
          <w:p>
            <w:pPr>
              <w:ind w:left="180"/>
              <w:spacing w:after="0" w:line="183" w:lineRule="exact"/>
              <w:rPr>
                <w:sz w:val="20"/>
                <w:szCs w:val="20"/>
                <w:color w:val="auto"/>
              </w:rPr>
            </w:pPr>
            <w:r>
              <w:rPr>
                <w:rFonts w:ascii="Arial" w:cs="Arial" w:eastAsia="Arial" w:hAnsi="Arial"/>
                <w:sz w:val="16"/>
                <w:szCs w:val="16"/>
                <w:color w:val="auto"/>
              </w:rPr>
              <w:t>Skyworks Solutions Inc.</w:t>
            </w:r>
          </w:p>
        </w:tc>
        <w:tc>
          <w:tcPr>
            <w:tcW w:w="0" w:type="dxa"/>
            <w:vAlign w:val="bottom"/>
          </w:tcPr>
          <w:p>
            <w:pPr>
              <w:spacing w:after="0"/>
              <w:rPr>
                <w:sz w:val="1"/>
                <w:szCs w:val="1"/>
                <w:color w:val="auto"/>
              </w:rPr>
            </w:pPr>
          </w:p>
        </w:tc>
      </w:tr>
      <w:tr>
        <w:trPr>
          <w:trHeight w:val="183"/>
        </w:trPr>
        <w:tc>
          <w:tcPr>
            <w:tcW w:w="3920" w:type="dxa"/>
            <w:vAlign w:val="bottom"/>
            <w:tcBorders>
              <w:left w:val="single" w:sz="8" w:color="052B82"/>
              <w:bottom w:val="single" w:sz="8" w:color="506AA7"/>
            </w:tcBorders>
            <w:gridSpan w:val="2"/>
          </w:tcPr>
          <w:p>
            <w:pPr>
              <w:ind w:left="140"/>
              <w:spacing w:after="0" w:line="183" w:lineRule="exact"/>
              <w:rPr>
                <w:sz w:val="20"/>
                <w:szCs w:val="20"/>
                <w:color w:val="auto"/>
              </w:rPr>
            </w:pPr>
            <w:r>
              <w:rPr>
                <w:rFonts w:ascii="Arial" w:cs="Arial" w:eastAsia="Arial" w:hAnsi="Arial"/>
                <w:sz w:val="16"/>
                <w:szCs w:val="16"/>
                <w:color w:val="auto"/>
              </w:rPr>
              <w:t>KLA-Tencor Corporation</w:t>
            </w:r>
          </w:p>
        </w:tc>
        <w:tc>
          <w:tcPr>
            <w:tcW w:w="1620" w:type="dxa"/>
            <w:vAlign w:val="bottom"/>
            <w:tcBorders>
              <w:bottom w:val="single" w:sz="8" w:color="506AA7"/>
              <w:right w:val="single" w:sz="8" w:color="052B82"/>
            </w:tcBorders>
          </w:tcPr>
          <w:p>
            <w:pPr>
              <w:spacing w:after="0"/>
              <w:rPr>
                <w:sz w:val="15"/>
                <w:szCs w:val="15"/>
                <w:color w:val="auto"/>
              </w:rPr>
            </w:pPr>
          </w:p>
        </w:tc>
        <w:tc>
          <w:tcPr>
            <w:tcW w:w="5500" w:type="dxa"/>
            <w:vAlign w:val="bottom"/>
            <w:tcBorders>
              <w:bottom w:val="single" w:sz="8" w:color="506AA7"/>
              <w:right w:val="single" w:sz="8" w:color="052B82"/>
            </w:tcBorders>
            <w:gridSpan w:val="3"/>
          </w:tcPr>
          <w:p>
            <w:pPr>
              <w:ind w:left="180"/>
              <w:spacing w:after="0" w:line="183" w:lineRule="exact"/>
              <w:rPr>
                <w:sz w:val="20"/>
                <w:szCs w:val="20"/>
                <w:color w:val="auto"/>
              </w:rPr>
            </w:pPr>
            <w:r>
              <w:rPr>
                <w:rFonts w:ascii="Arial" w:cs="Arial" w:eastAsia="Arial" w:hAnsi="Arial"/>
                <w:sz w:val="16"/>
                <w:szCs w:val="16"/>
                <w:color w:val="auto"/>
              </w:rPr>
              <w:t>Texas Instruments Incorporated</w:t>
            </w:r>
          </w:p>
        </w:tc>
        <w:tc>
          <w:tcPr>
            <w:tcW w:w="0" w:type="dxa"/>
            <w:vAlign w:val="bottom"/>
          </w:tcPr>
          <w:p>
            <w:pPr>
              <w:spacing w:after="0"/>
              <w:rPr>
                <w:sz w:val="1"/>
                <w:szCs w:val="1"/>
                <w:color w:val="auto"/>
              </w:rPr>
            </w:pPr>
          </w:p>
        </w:tc>
      </w:tr>
      <w:tr>
        <w:trPr>
          <w:trHeight w:val="183"/>
        </w:trPr>
        <w:tc>
          <w:tcPr>
            <w:tcW w:w="3920" w:type="dxa"/>
            <w:vAlign w:val="bottom"/>
            <w:tcBorders>
              <w:left w:val="single" w:sz="8" w:color="052B82"/>
              <w:bottom w:val="single" w:sz="8" w:color="506AA7"/>
            </w:tcBorders>
            <w:gridSpan w:val="2"/>
          </w:tcPr>
          <w:p>
            <w:pPr>
              <w:ind w:left="140"/>
              <w:spacing w:after="0" w:line="183" w:lineRule="exact"/>
              <w:rPr>
                <w:sz w:val="20"/>
                <w:szCs w:val="20"/>
                <w:color w:val="auto"/>
              </w:rPr>
            </w:pPr>
            <w:r>
              <w:rPr>
                <w:rFonts w:ascii="Arial" w:cs="Arial" w:eastAsia="Arial" w:hAnsi="Arial"/>
                <w:sz w:val="16"/>
                <w:szCs w:val="16"/>
                <w:color w:val="auto"/>
              </w:rPr>
              <w:t>Lam Research Corporation</w:t>
            </w:r>
          </w:p>
        </w:tc>
        <w:tc>
          <w:tcPr>
            <w:tcW w:w="1620" w:type="dxa"/>
            <w:vAlign w:val="bottom"/>
            <w:tcBorders>
              <w:bottom w:val="single" w:sz="8" w:color="506AA7"/>
              <w:right w:val="single" w:sz="8" w:color="052B82"/>
            </w:tcBorders>
          </w:tcPr>
          <w:p>
            <w:pPr>
              <w:spacing w:after="0"/>
              <w:rPr>
                <w:sz w:val="15"/>
                <w:szCs w:val="15"/>
                <w:color w:val="auto"/>
              </w:rPr>
            </w:pPr>
          </w:p>
        </w:tc>
        <w:tc>
          <w:tcPr>
            <w:tcW w:w="1700" w:type="dxa"/>
            <w:vAlign w:val="bottom"/>
            <w:tcBorders>
              <w:bottom w:val="single" w:sz="8" w:color="506AA7"/>
            </w:tcBorders>
          </w:tcPr>
          <w:p>
            <w:pPr>
              <w:ind w:left="180"/>
              <w:spacing w:after="0" w:line="183" w:lineRule="exact"/>
              <w:rPr>
                <w:sz w:val="20"/>
                <w:szCs w:val="20"/>
                <w:color w:val="auto"/>
              </w:rPr>
            </w:pPr>
            <w:r>
              <w:rPr>
                <w:rFonts w:ascii="Arial" w:cs="Arial" w:eastAsia="Arial" w:hAnsi="Arial"/>
                <w:sz w:val="16"/>
                <w:szCs w:val="16"/>
                <w:color w:val="auto"/>
              </w:rPr>
              <w:t>Xilinx Inc.</w:t>
            </w:r>
          </w:p>
        </w:tc>
        <w:tc>
          <w:tcPr>
            <w:tcW w:w="3340" w:type="dxa"/>
            <w:vAlign w:val="bottom"/>
            <w:tcBorders>
              <w:bottom w:val="single" w:sz="8" w:color="506AA7"/>
            </w:tcBorders>
          </w:tcPr>
          <w:p>
            <w:pPr>
              <w:spacing w:after="0"/>
              <w:rPr>
                <w:sz w:val="15"/>
                <w:szCs w:val="15"/>
                <w:color w:val="auto"/>
              </w:rPr>
            </w:pPr>
          </w:p>
        </w:tc>
        <w:tc>
          <w:tcPr>
            <w:tcW w:w="460" w:type="dxa"/>
            <w:vAlign w:val="bottom"/>
            <w:tcBorders>
              <w:bottom w:val="single" w:sz="8" w:color="506AA7"/>
              <w:right w:val="single" w:sz="8" w:color="052B82"/>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920" w:type="dxa"/>
            <w:vAlign w:val="bottom"/>
            <w:tcBorders>
              <w:left w:val="single" w:sz="8" w:color="052B82"/>
              <w:bottom w:val="single" w:sz="8" w:color="506AA7"/>
            </w:tcBorders>
            <w:gridSpan w:val="2"/>
          </w:tcPr>
          <w:p>
            <w:pPr>
              <w:ind w:left="140"/>
              <w:spacing w:after="0" w:line="183" w:lineRule="exact"/>
              <w:rPr>
                <w:sz w:val="20"/>
                <w:szCs w:val="20"/>
                <w:color w:val="auto"/>
              </w:rPr>
            </w:pPr>
            <w:r>
              <w:rPr>
                <w:rFonts w:ascii="Arial" w:cs="Arial" w:eastAsia="Arial" w:hAnsi="Arial"/>
                <w:sz w:val="16"/>
                <w:szCs w:val="16"/>
                <w:color w:val="auto"/>
              </w:rPr>
              <w:t>Marvell Technology Group Ltd.</w:t>
            </w:r>
          </w:p>
        </w:tc>
        <w:tc>
          <w:tcPr>
            <w:tcW w:w="1620" w:type="dxa"/>
            <w:vAlign w:val="bottom"/>
            <w:tcBorders>
              <w:bottom w:val="single" w:sz="8" w:color="506AA7"/>
              <w:right w:val="single" w:sz="8" w:color="052B82"/>
            </w:tcBorders>
          </w:tcPr>
          <w:p>
            <w:pPr>
              <w:spacing w:after="0"/>
              <w:rPr>
                <w:sz w:val="15"/>
                <w:szCs w:val="15"/>
                <w:color w:val="auto"/>
              </w:rPr>
            </w:pPr>
          </w:p>
        </w:tc>
        <w:tc>
          <w:tcPr>
            <w:tcW w:w="170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3320" w:type="dxa"/>
            <w:vAlign w:val="bottom"/>
            <w:gridSpan w:val="2"/>
          </w:tcPr>
          <w:p>
            <w:pPr>
              <w:spacing w:after="0"/>
              <w:rPr>
                <w:sz w:val="20"/>
                <w:szCs w:val="20"/>
                <w:color w:val="auto"/>
              </w:rPr>
            </w:pPr>
          </w:p>
        </w:tc>
        <w:tc>
          <w:tcPr>
            <w:tcW w:w="3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0" w:type="dxa"/>
            <w:vAlign w:val="bottom"/>
            <w:tcBorders>
              <w:right w:val="single" w:sz="8" w:color="052B82"/>
            </w:tcBorders>
          </w:tcPr>
          <w:p>
            <w:pPr>
              <w:spacing w:after="0"/>
              <w:rPr>
                <w:sz w:val="21"/>
                <w:szCs w:val="21"/>
                <w:color w:val="auto"/>
              </w:rPr>
            </w:pPr>
          </w:p>
        </w:tc>
        <w:tc>
          <w:tcPr>
            <w:tcW w:w="3460" w:type="dxa"/>
            <w:vAlign w:val="bottom"/>
            <w:tcBorders>
              <w:right w:val="single" w:sz="8" w:color="052B82"/>
            </w:tcBorders>
            <w:shd w:val="clear" w:color="auto" w:fill="052B82"/>
          </w:tcPr>
          <w:p>
            <w:pPr>
              <w:spacing w:after="0"/>
              <w:rPr>
                <w:sz w:val="21"/>
                <w:szCs w:val="21"/>
                <w:color w:val="auto"/>
              </w:rPr>
            </w:pPr>
          </w:p>
        </w:tc>
        <w:tc>
          <w:tcPr>
            <w:tcW w:w="3320" w:type="dxa"/>
            <w:vAlign w:val="bottom"/>
            <w:tcBorders>
              <w:right w:val="single" w:sz="8" w:color="052B82"/>
            </w:tcBorders>
            <w:gridSpan w:val="2"/>
            <w:shd w:val="clear" w:color="auto" w:fill="052B82"/>
          </w:tcPr>
          <w:p>
            <w:pPr>
              <w:ind w:left="360"/>
              <w:spacing w:after="0"/>
              <w:rPr>
                <w:sz w:val="20"/>
                <w:szCs w:val="20"/>
                <w:color w:val="auto"/>
              </w:rPr>
            </w:pPr>
            <w:r>
              <w:rPr>
                <w:rFonts w:ascii="Arial" w:cs="Arial" w:eastAsia="Arial" w:hAnsi="Arial"/>
                <w:sz w:val="17"/>
                <w:szCs w:val="17"/>
                <w:b w:val="1"/>
                <w:bCs w:val="1"/>
                <w:color w:val="FFFFFF"/>
              </w:rPr>
              <w:t>2018 Market Capitalization</w:t>
            </w:r>
          </w:p>
        </w:tc>
        <w:tc>
          <w:tcPr>
            <w:tcW w:w="3340" w:type="dxa"/>
            <w:vAlign w:val="bottom"/>
            <w:tcBorders>
              <w:right w:val="single" w:sz="8" w:color="052B82"/>
            </w:tcBorders>
            <w:vMerge w:val="restart"/>
            <w:shd w:val="clear" w:color="auto" w:fill="052B82"/>
          </w:tcPr>
          <w:p>
            <w:pPr>
              <w:ind w:left="180"/>
              <w:spacing w:after="0"/>
              <w:rPr>
                <w:sz w:val="20"/>
                <w:szCs w:val="20"/>
                <w:color w:val="auto"/>
              </w:rPr>
            </w:pPr>
            <w:r>
              <w:rPr>
                <w:rFonts w:ascii="Arial" w:cs="Arial" w:eastAsia="Arial" w:hAnsi="Arial"/>
                <w:sz w:val="17"/>
                <w:szCs w:val="17"/>
                <w:b w:val="1"/>
                <w:bCs w:val="1"/>
                <w:color w:val="FFFFFF"/>
              </w:rPr>
              <w:t>2018 Revenues</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460" w:type="dxa"/>
            <w:vAlign w:val="bottom"/>
            <w:tcBorders>
              <w:right w:val="single" w:sz="8" w:color="052B82"/>
            </w:tcBorders>
          </w:tcPr>
          <w:p>
            <w:pPr>
              <w:spacing w:after="0"/>
              <w:rPr>
                <w:sz w:val="18"/>
                <w:szCs w:val="18"/>
                <w:color w:val="auto"/>
              </w:rPr>
            </w:pPr>
          </w:p>
        </w:tc>
        <w:tc>
          <w:tcPr>
            <w:tcW w:w="3460" w:type="dxa"/>
            <w:vAlign w:val="bottom"/>
            <w:tcBorders>
              <w:bottom w:val="single" w:sz="8" w:color="506AA7"/>
              <w:right w:val="single" w:sz="8" w:color="052B82"/>
            </w:tcBorders>
            <w:shd w:val="clear" w:color="auto" w:fill="052B82"/>
          </w:tcPr>
          <w:p>
            <w:pPr>
              <w:spacing w:after="0"/>
              <w:rPr>
                <w:sz w:val="18"/>
                <w:szCs w:val="18"/>
                <w:color w:val="auto"/>
              </w:rPr>
            </w:pPr>
          </w:p>
        </w:tc>
        <w:tc>
          <w:tcPr>
            <w:tcW w:w="3320" w:type="dxa"/>
            <w:vAlign w:val="bottom"/>
            <w:tcBorders>
              <w:bottom w:val="single" w:sz="8" w:color="506AA7"/>
              <w:right w:val="single" w:sz="8" w:color="052B82"/>
            </w:tcBorders>
            <w:gridSpan w:val="2"/>
            <w:shd w:val="clear" w:color="auto" w:fill="052B82"/>
          </w:tcPr>
          <w:p>
            <w:pPr>
              <w:ind w:left="860"/>
              <w:spacing w:after="0"/>
              <w:rPr>
                <w:sz w:val="20"/>
                <w:szCs w:val="20"/>
                <w:color w:val="auto"/>
              </w:rPr>
            </w:pPr>
            <w:r>
              <w:rPr>
                <w:rFonts w:ascii="Arial" w:cs="Arial" w:eastAsia="Arial" w:hAnsi="Arial"/>
                <w:sz w:val="14"/>
                <w:szCs w:val="14"/>
                <w:b w:val="1"/>
                <w:bCs w:val="1"/>
                <w:color w:val="FFFFFF"/>
              </w:rPr>
              <w:t>(as of June 2018)</w:t>
            </w:r>
          </w:p>
        </w:tc>
        <w:tc>
          <w:tcPr>
            <w:tcW w:w="3340" w:type="dxa"/>
            <w:vAlign w:val="bottom"/>
            <w:tcBorders>
              <w:bottom w:val="single" w:sz="8" w:color="506AA7"/>
              <w:right w:val="single" w:sz="8" w:color="052B82"/>
            </w:tcBorders>
            <w:vMerge w:val="continue"/>
            <w:shd w:val="clear" w:color="auto" w:fill="052B82"/>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0" w:type="dxa"/>
            <w:vAlign w:val="bottom"/>
            <w:tcBorders>
              <w:right w:val="single" w:sz="8" w:color="052B82"/>
            </w:tcBorders>
          </w:tcPr>
          <w:p>
            <w:pPr>
              <w:spacing w:after="0"/>
              <w:rPr>
                <w:sz w:val="17"/>
                <w:szCs w:val="17"/>
                <w:color w:val="auto"/>
              </w:rPr>
            </w:pPr>
          </w:p>
        </w:tc>
        <w:tc>
          <w:tcPr>
            <w:tcW w:w="3460" w:type="dxa"/>
            <w:vAlign w:val="bottom"/>
            <w:tcBorders>
              <w:bottom w:val="single" w:sz="8" w:color="506AA7"/>
              <w:right w:val="single" w:sz="8" w:color="052B82"/>
            </w:tcBorders>
          </w:tcPr>
          <w:p>
            <w:pPr>
              <w:ind w:left="120"/>
              <w:spacing w:after="0"/>
              <w:rPr>
                <w:sz w:val="20"/>
                <w:szCs w:val="20"/>
                <w:color w:val="auto"/>
              </w:rPr>
            </w:pPr>
            <w:r>
              <w:rPr>
                <w:rFonts w:ascii="Arial" w:cs="Arial" w:eastAsia="Arial" w:hAnsi="Arial"/>
                <w:sz w:val="16"/>
                <w:szCs w:val="16"/>
                <w:color w:val="auto"/>
              </w:rPr>
              <w:t>Analog Devices</w:t>
            </w:r>
          </w:p>
        </w:tc>
        <w:tc>
          <w:tcPr>
            <w:tcW w:w="3320" w:type="dxa"/>
            <w:vAlign w:val="bottom"/>
            <w:tcBorders>
              <w:bottom w:val="single" w:sz="8" w:color="506AA7"/>
              <w:right w:val="single" w:sz="8" w:color="052B82"/>
            </w:tcBorders>
            <w:gridSpan w:val="2"/>
          </w:tcPr>
          <w:p>
            <w:pPr>
              <w:ind w:left="340"/>
              <w:spacing w:after="0"/>
              <w:rPr>
                <w:sz w:val="20"/>
                <w:szCs w:val="20"/>
                <w:color w:val="auto"/>
              </w:rPr>
            </w:pPr>
            <w:r>
              <w:rPr>
                <w:rFonts w:ascii="Arial" w:cs="Arial" w:eastAsia="Arial" w:hAnsi="Arial"/>
                <w:sz w:val="16"/>
                <w:szCs w:val="16"/>
                <w:color w:val="auto"/>
              </w:rPr>
              <w:t>$35.5 billion</w:t>
            </w:r>
          </w:p>
        </w:tc>
        <w:tc>
          <w:tcPr>
            <w:tcW w:w="3340" w:type="dxa"/>
            <w:vAlign w:val="bottom"/>
            <w:tcBorders>
              <w:bottom w:val="single" w:sz="8" w:color="506AA7"/>
              <w:right w:val="single" w:sz="8" w:color="052B82"/>
            </w:tcBorders>
          </w:tcPr>
          <w:p>
            <w:pPr>
              <w:ind w:left="180"/>
              <w:spacing w:after="0"/>
              <w:rPr>
                <w:sz w:val="20"/>
                <w:szCs w:val="20"/>
                <w:color w:val="auto"/>
              </w:rPr>
            </w:pPr>
            <w:r>
              <w:rPr>
                <w:rFonts w:ascii="Arial" w:cs="Arial" w:eastAsia="Arial" w:hAnsi="Arial"/>
                <w:sz w:val="16"/>
                <w:szCs w:val="16"/>
                <w:color w:val="auto"/>
              </w:rPr>
              <w:t>$6.2 billion</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Borders>
              <w:right w:val="single" w:sz="8" w:color="052B82"/>
            </w:tcBorders>
          </w:tcPr>
          <w:p>
            <w:pPr>
              <w:spacing w:after="0"/>
              <w:rPr>
                <w:sz w:val="17"/>
                <w:szCs w:val="17"/>
                <w:color w:val="auto"/>
              </w:rPr>
            </w:pPr>
          </w:p>
        </w:tc>
        <w:tc>
          <w:tcPr>
            <w:tcW w:w="3460" w:type="dxa"/>
            <w:vAlign w:val="bottom"/>
            <w:tcBorders>
              <w:bottom w:val="single" w:sz="8" w:color="506AA7"/>
              <w:right w:val="single" w:sz="8" w:color="052B82"/>
            </w:tcBorders>
          </w:tcPr>
          <w:p>
            <w:pPr>
              <w:ind w:left="120"/>
              <w:spacing w:after="0"/>
              <w:rPr>
                <w:sz w:val="20"/>
                <w:szCs w:val="20"/>
                <w:color w:val="auto"/>
              </w:rPr>
            </w:pPr>
            <w:r>
              <w:rPr>
                <w:rFonts w:ascii="Arial" w:cs="Arial" w:eastAsia="Arial" w:hAnsi="Arial"/>
                <w:sz w:val="16"/>
                <w:szCs w:val="16"/>
                <w:color w:val="auto"/>
              </w:rPr>
              <w:t>2019 Peer Group Median</w:t>
            </w:r>
          </w:p>
        </w:tc>
        <w:tc>
          <w:tcPr>
            <w:tcW w:w="3320" w:type="dxa"/>
            <w:vAlign w:val="bottom"/>
            <w:tcBorders>
              <w:bottom w:val="single" w:sz="8" w:color="506AA7"/>
              <w:right w:val="single" w:sz="8" w:color="052B82"/>
            </w:tcBorders>
            <w:gridSpan w:val="2"/>
          </w:tcPr>
          <w:p>
            <w:pPr>
              <w:ind w:left="340"/>
              <w:spacing w:after="0"/>
              <w:rPr>
                <w:sz w:val="20"/>
                <w:szCs w:val="20"/>
                <w:color w:val="auto"/>
              </w:rPr>
            </w:pPr>
            <w:r>
              <w:rPr>
                <w:rFonts w:ascii="Arial" w:cs="Arial" w:eastAsia="Arial" w:hAnsi="Arial"/>
                <w:sz w:val="16"/>
                <w:szCs w:val="16"/>
                <w:color w:val="auto"/>
              </w:rPr>
              <w:t>$20.7 billion</w:t>
            </w:r>
          </w:p>
        </w:tc>
        <w:tc>
          <w:tcPr>
            <w:tcW w:w="3340" w:type="dxa"/>
            <w:vAlign w:val="bottom"/>
            <w:tcBorders>
              <w:bottom w:val="single" w:sz="8" w:color="506AA7"/>
              <w:right w:val="single" w:sz="8" w:color="052B82"/>
            </w:tcBorders>
          </w:tcPr>
          <w:p>
            <w:pPr>
              <w:ind w:left="180"/>
              <w:spacing w:after="0"/>
              <w:rPr>
                <w:sz w:val="20"/>
                <w:szCs w:val="20"/>
                <w:color w:val="auto"/>
              </w:rPr>
            </w:pPr>
            <w:r>
              <w:rPr>
                <w:rFonts w:ascii="Arial" w:cs="Arial" w:eastAsia="Arial" w:hAnsi="Arial"/>
                <w:sz w:val="16"/>
                <w:szCs w:val="16"/>
                <w:color w:val="auto"/>
              </w:rPr>
              <w:t>$6.5 billion</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00" w:right="40" w:firstLine="441"/>
        <w:spacing w:after="0"/>
        <w:rPr>
          <w:sz w:val="20"/>
          <w:szCs w:val="20"/>
          <w:color w:val="auto"/>
        </w:rPr>
      </w:pPr>
      <w:r>
        <w:rPr>
          <w:rFonts w:ascii="Arial" w:cs="Arial" w:eastAsia="Arial" w:hAnsi="Arial"/>
          <w:sz w:val="18"/>
          <w:szCs w:val="18"/>
          <w:color w:val="auto"/>
        </w:rPr>
        <w:t>For officers in positions for which the fiscal 2019 peer group companies do not publicly disclose compensation data, the Compensation Committee reviewed data collected from Radford’s Global Technology Survey. This survey depicts executive compensation levels across a wide spectrum of technology sector companies comparable in annual revenue size.</w:t>
      </w:r>
    </w:p>
    <w:p>
      <w:pPr>
        <w:spacing w:after="0" w:line="135" w:lineRule="exact"/>
        <w:rPr>
          <w:sz w:val="20"/>
          <w:szCs w:val="20"/>
          <w:color w:val="auto"/>
        </w:rPr>
      </w:pPr>
    </w:p>
    <w:p>
      <w:pPr>
        <w:ind w:left="9320"/>
        <w:spacing w:after="0"/>
        <w:tabs>
          <w:tab w:leader="none" w:pos="11000" w:val="left"/>
        </w:tabs>
        <w:rPr>
          <w:sz w:val="20"/>
          <w:szCs w:val="20"/>
          <w:color w:val="auto"/>
        </w:rPr>
      </w:pPr>
      <w:r>
        <w:rPr>
          <w:rFonts w:ascii="Arial" w:cs="Arial" w:eastAsia="Arial" w:hAnsi="Arial"/>
          <w:sz w:val="14"/>
          <w:szCs w:val="14"/>
          <w:b w:val="1"/>
          <w:bCs w:val="1"/>
          <w:color w:val="052B82"/>
        </w:rPr>
        <w:t>2020 Proxy Statement</w:t>
      </w:r>
      <w:r>
        <w:rPr>
          <w:sz w:val="20"/>
          <w:szCs w:val="20"/>
          <w:color w:val="auto"/>
        </w:rPr>
        <w:tab/>
      </w:r>
      <w:r>
        <w:rPr>
          <w:rFonts w:ascii="Arial" w:cs="Arial" w:eastAsia="Arial" w:hAnsi="Arial"/>
          <w:sz w:val="17"/>
          <w:szCs w:val="17"/>
          <w:color w:val="999999"/>
        </w:rPr>
        <w:t>43</w:t>
      </w:r>
    </w:p>
    <w:p>
      <w:pPr>
        <w:sectPr>
          <w:pgSz w:w="11900" w:h="16838" w:orient="portrait"/>
          <w:cols w:equalWidth="0" w:num="1">
            <w:col w:w="11240"/>
          </w:cols>
          <w:pgMar w:left="240" w:top="459" w:right="41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2649855" cy="1371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Components of Executive Compensation</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fiscal 2019, compensation for our executive officers consisted of the following principal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1780540</wp:posOffset>
            </wp:positionH>
            <wp:positionV relativeFrom="paragraph">
              <wp:posOffset>152400</wp:posOffset>
            </wp:positionV>
            <wp:extent cx="3704590" cy="33959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704590" cy="339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Base Salary</w:t>
      </w:r>
    </w:p>
    <w:p>
      <w:pPr>
        <w:spacing w:after="0" w:line="126" w:lineRule="exact"/>
        <w:rPr>
          <w:sz w:val="20"/>
          <w:szCs w:val="20"/>
          <w:color w:val="auto"/>
        </w:rPr>
      </w:pPr>
    </w:p>
    <w:p>
      <w:pPr>
        <w:ind w:left="200" w:right="200" w:firstLine="441"/>
        <w:spacing w:after="0"/>
        <w:rPr>
          <w:sz w:val="20"/>
          <w:szCs w:val="20"/>
          <w:color w:val="auto"/>
        </w:rPr>
      </w:pPr>
      <w:r>
        <w:rPr>
          <w:rFonts w:ascii="Arial" w:cs="Arial" w:eastAsia="Arial" w:hAnsi="Arial"/>
          <w:sz w:val="18"/>
          <w:szCs w:val="18"/>
          <w:color w:val="auto"/>
        </w:rPr>
        <w:t>We use salaries for similar positions within our peer group as an important factor in setting a base salary that can attract and retain talent. When setting the fiscal 2019 base salary for each individual NEO, the Compensation Committee also considered other factors, including the scope of the role and the performance and experience of the individual.</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Fiscal 2019 Executive Performance Incentive Plan</w:t>
      </w:r>
    </w:p>
    <w:p>
      <w:pPr>
        <w:spacing w:after="0" w:line="126" w:lineRule="exact"/>
        <w:rPr>
          <w:sz w:val="20"/>
          <w:szCs w:val="20"/>
          <w:color w:val="auto"/>
        </w:rPr>
      </w:pPr>
    </w:p>
    <w:p>
      <w:pPr>
        <w:ind w:left="200" w:firstLine="441"/>
        <w:spacing w:after="0" w:line="239" w:lineRule="auto"/>
        <w:rPr>
          <w:sz w:val="20"/>
          <w:szCs w:val="20"/>
          <w:color w:val="auto"/>
        </w:rPr>
      </w:pPr>
      <w:r>
        <w:rPr>
          <w:rFonts w:ascii="Arial" w:cs="Arial" w:eastAsia="Arial" w:hAnsi="Arial"/>
          <w:sz w:val="18"/>
          <w:szCs w:val="18"/>
          <w:color w:val="auto"/>
        </w:rPr>
        <w:t>In September 2018, the Compensation Committee approved the terms of our executive performance incentive plan for fiscal 2019. In February 2019, the Compensation Committee approved the terms of the amended and restated executive performance incentive plan to clarify the methodology for measuring OPBT margin. No other changes were made to the plan. The plan is designed to be variable, depending on ADI’s operating results.</w:t>
      </w:r>
    </w:p>
    <w:p>
      <w:pPr>
        <w:spacing w:after="0" w:line="132" w:lineRule="exact"/>
        <w:rPr>
          <w:sz w:val="20"/>
          <w:szCs w:val="20"/>
          <w:color w:val="auto"/>
        </w:rPr>
      </w:pPr>
    </w:p>
    <w:p>
      <w:pPr>
        <w:ind w:left="600" w:hanging="396"/>
        <w:spacing w:after="0"/>
        <w:tabs>
          <w:tab w:leader="none" w:pos="600" w:val="left"/>
        </w:tabs>
        <w:numPr>
          <w:ilvl w:val="0"/>
          <w:numId w:val="74"/>
        </w:numPr>
        <w:rPr>
          <w:rFonts w:ascii="Arial" w:cs="Arial" w:eastAsia="Arial" w:hAnsi="Arial"/>
          <w:sz w:val="18"/>
          <w:szCs w:val="18"/>
          <w:color w:val="999999"/>
        </w:rPr>
      </w:pPr>
      <w:r>
        <w:rPr>
          <w:rFonts w:ascii="Arial" w:cs="Arial" w:eastAsia="Arial" w:hAnsi="Arial"/>
          <w:sz w:val="14"/>
          <w:szCs w:val="14"/>
          <w:b w:val="1"/>
          <w:bCs w:val="1"/>
          <w:color w:val="052B82"/>
        </w:rPr>
        <w:t>Analog Devices, Inc.</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205740</wp:posOffset>
            </wp:positionV>
            <wp:extent cx="2649855" cy="1371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0" w:right="240" w:firstLine="441"/>
        <w:spacing w:after="0" w:line="246" w:lineRule="auto"/>
        <w:rPr>
          <w:sz w:val="20"/>
          <w:szCs w:val="20"/>
          <w:color w:val="auto"/>
        </w:rPr>
      </w:pPr>
      <w:r>
        <w:rPr>
          <w:rFonts w:ascii="Arial" w:cs="Arial" w:eastAsia="Arial" w:hAnsi="Arial"/>
          <w:sz w:val="18"/>
          <w:szCs w:val="18"/>
          <w:color w:val="auto"/>
        </w:rPr>
        <w:t>All executive officers, including our NEOs, participated in our fiscal 2019 executive performance incentive plan. We calculated and paid bonuses under the fiscal 2019 plan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142875</wp:posOffset>
            </wp:positionV>
            <wp:extent cx="5213985" cy="11493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213985" cy="1149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7"/>
          <w:szCs w:val="17"/>
          <w:u w:val="single" w:color="auto"/>
          <w:color w:val="auto"/>
        </w:rPr>
        <w:t>Individual Target Bonus Percentage</w:t>
      </w:r>
      <w:r>
        <w:rPr>
          <w:rFonts w:ascii="Arial" w:cs="Arial" w:eastAsia="Arial" w:hAnsi="Arial"/>
          <w:sz w:val="17"/>
          <w:szCs w:val="17"/>
          <w:color w:val="auto"/>
        </w:rPr>
        <w:t>. For fiscal 2019, the Compensation Committee set target percentages of 150% of base salary for our Chief Executive Officer and between 90%-100% of base salary for our other NEOs. The Compensation Committee selected these target bonus percentages to ensure that a substantial portion of each NEO’s cash compensation is performance-based and linked directly to our business performance, and to ensure that total compensation is competitive with those in similar positions within our peer group. Setting our Chief Executive Officer’s target at 150% also ties the majority of his cash compensation directly to Company performance.</w:t>
      </w:r>
    </w:p>
    <w:p>
      <w:pPr>
        <w:spacing w:after="0" w:line="191" w:lineRule="exact"/>
        <w:rPr>
          <w:sz w:val="20"/>
          <w:szCs w:val="20"/>
          <w:color w:val="auto"/>
        </w:rPr>
      </w:pPr>
    </w:p>
    <w:p>
      <w:pPr>
        <w:ind w:left="200" w:right="40" w:firstLine="441"/>
        <w:spacing w:after="0" w:line="237" w:lineRule="auto"/>
        <w:rPr>
          <w:sz w:val="20"/>
          <w:szCs w:val="20"/>
          <w:color w:val="auto"/>
        </w:rPr>
      </w:pPr>
      <w:r>
        <w:rPr>
          <w:rFonts w:ascii="Arial" w:cs="Arial" w:eastAsia="Arial" w:hAnsi="Arial"/>
          <w:sz w:val="18"/>
          <w:szCs w:val="18"/>
          <w:u w:val="single" w:color="auto"/>
          <w:color w:val="auto"/>
        </w:rPr>
        <w:t>Bonus Payout Factor</w:t>
      </w:r>
      <w:r>
        <w:rPr>
          <w:rFonts w:ascii="Arial" w:cs="Arial" w:eastAsia="Arial" w:hAnsi="Arial"/>
          <w:sz w:val="18"/>
          <w:szCs w:val="18"/>
          <w:color w:val="auto"/>
        </w:rPr>
        <w:t>. For fiscal 2019, we based the Bonus Payout Factor for the applicable quarterly bonus period on our OPBT margin and year-over-year revenue growth compared to the same quarter in the prior year. While our executive performance incentive plan contains quarterly performance targets, the Compensation Committee designed this plan to drive long-term performance. The targets are directly linked to our long-term corporate strategy of profitable growth, which drives shareholder value. We believe this combination ensures that we encourage a long-term focus on our business objectives, while measuring and rewarding progress against those objectives on a quarterly basis.</w:t>
      </w:r>
    </w:p>
    <w:p>
      <w:pPr>
        <w:spacing w:after="0" w:line="205" w:lineRule="exact"/>
        <w:rPr>
          <w:sz w:val="20"/>
          <w:szCs w:val="20"/>
          <w:color w:val="auto"/>
        </w:rPr>
      </w:pPr>
    </w:p>
    <w:p>
      <w:pPr>
        <w:ind w:left="200" w:right="100" w:firstLine="441"/>
        <w:spacing w:after="0" w:line="236" w:lineRule="auto"/>
        <w:rPr>
          <w:sz w:val="20"/>
          <w:szCs w:val="20"/>
          <w:color w:val="auto"/>
        </w:rPr>
      </w:pPr>
      <w:r>
        <w:rPr>
          <w:rFonts w:ascii="Arial" w:cs="Arial" w:eastAsia="Arial" w:hAnsi="Arial"/>
          <w:sz w:val="18"/>
          <w:szCs w:val="18"/>
          <w:color w:val="auto"/>
        </w:rPr>
        <w:t>The Compensation Committee may adjust the OPBT margin and year-over-year revenue growth metrics in its sole discretion to exclude special items such as (but not limited to) restructuring-related expense, acquisition-related expense, amortization of intangibles, gain or loss on disposition of businesses, non-recurring royalty payments, and other similar non-cash or non-recurring items. The Compensation Committee may, in its discretion, exclude these items in order to prevent payments under the plan from being adversely or advantageously affected by special items. For purposes of determining the Bonus Payout Factor for each quarter of fiscal 2019, OPBT margin was adjusted to exclude acquisition-related expenses, acquisition-related transaction costs and restructuring-related expenses, consistent with the non-GAAP adjustments included in our fiscal 2019 quarterly earnings releases. When calculating year-over-year revenue growth in the first quarter of fiscal 2019, the Compensation Committee also normalized the financial results of the first quarter of fiscal 2018, which was a 14-week quarter, to a 13-week quarter.</w:t>
      </w:r>
    </w:p>
    <w:p>
      <w:pPr>
        <w:spacing w:after="0" w:line="207" w:lineRule="exact"/>
        <w:rPr>
          <w:sz w:val="20"/>
          <w:szCs w:val="20"/>
          <w:color w:val="auto"/>
        </w:rPr>
      </w:pPr>
    </w:p>
    <w:p>
      <w:pPr>
        <w:ind w:left="200" w:right="80" w:firstLine="441"/>
        <w:spacing w:after="0" w:line="237" w:lineRule="auto"/>
        <w:rPr>
          <w:sz w:val="20"/>
          <w:szCs w:val="20"/>
          <w:color w:val="auto"/>
        </w:rPr>
      </w:pPr>
      <w:r>
        <w:rPr>
          <w:rFonts w:ascii="Arial" w:cs="Arial" w:eastAsia="Arial" w:hAnsi="Arial"/>
          <w:sz w:val="18"/>
          <w:szCs w:val="18"/>
          <w:color w:val="auto"/>
        </w:rPr>
        <w:t>Until fiscal 2019, we measured revenue on a sell-through basis (also called POS). Commencing in fiscal 2019, pursuant to the adoption of ASC 606, we report revenue on a sell-in basis (also called POA). Because fiscal 2019 was a transition year, we continued to use sell-through revenue to measure year-over-year revenue growth for the 2019 executive performance incentive plan, as well as the fiscal 2019 incentive plan for other eligible employees. For fiscal 2020, the Compensation Committee determined that the executive performance incentive bonus plan and the employee performance incentive plan would be aligned with our sell-in revenue reported under ASC 606. The Company manages its inventory closely and thus the Compensation Committee believes using sell-in versus sell-through does not have a major impact on the bonuses paid and aligns the incentive plan results with the Company’s reported results.</w:t>
      </w:r>
    </w:p>
    <w:p>
      <w:pPr>
        <w:spacing w:after="0" w:line="203" w:lineRule="exact"/>
        <w:rPr>
          <w:sz w:val="20"/>
          <w:szCs w:val="20"/>
          <w:color w:val="auto"/>
        </w:rPr>
      </w:pPr>
    </w:p>
    <w:p>
      <w:pPr>
        <w:ind w:left="200" w:right="140" w:firstLine="441"/>
        <w:spacing w:after="0" w:line="237" w:lineRule="auto"/>
        <w:rPr>
          <w:sz w:val="20"/>
          <w:szCs w:val="20"/>
          <w:color w:val="auto"/>
        </w:rPr>
      </w:pPr>
      <w:r>
        <w:rPr>
          <w:rFonts w:ascii="Arial" w:cs="Arial" w:eastAsia="Arial" w:hAnsi="Arial"/>
          <w:sz w:val="18"/>
          <w:szCs w:val="18"/>
          <w:color w:val="auto"/>
        </w:rPr>
        <w:t>The Compensation Committee reviews and approves our performance targets, and historically these targets have not been re-set during the performance period, regardless of Company performance or economic conditions. We believe that this approach fosters accountability for our business results and is in keeping with our core belief that variable compensation expense, which increases when our performance is good and contracts when it is poor, gives us maximum flexibility to operate our business. While the OPBT margin and year-over-year revenue growth targets are typically set annually, we measure performance against those targets on a quarterly basis, applying the corresponding Bonus Payout Factor to base salary for that quarter, and pay the bonus amounts on a semi-annual basis following the end of the second and fourth quarters.</w:t>
      </w:r>
    </w:p>
    <w:p>
      <w:pPr>
        <w:spacing w:after="0" w:line="13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4"/>
          <w:szCs w:val="14"/>
          <w:b w:val="1"/>
          <w:bCs w:val="1"/>
          <w:color w:val="052B82"/>
        </w:rPr>
        <w:t>2020 Proxy Statement</w:t>
      </w:r>
      <w:r>
        <w:rPr>
          <w:sz w:val="20"/>
          <w:szCs w:val="20"/>
          <w:color w:val="auto"/>
        </w:rPr>
        <w:tab/>
      </w:r>
      <w:r>
        <w:rPr>
          <w:rFonts w:ascii="Arial" w:cs="Arial" w:eastAsia="Arial" w:hAnsi="Arial"/>
          <w:sz w:val="17"/>
          <w:szCs w:val="17"/>
          <w:color w:val="999999"/>
        </w:rPr>
        <w:t>45</w:t>
      </w:r>
    </w:p>
    <w:p>
      <w:pPr>
        <w:sectPr>
          <w:pgSz w:w="11900" w:h="16838" w:orient="portrait"/>
          <w:cols w:equalWidth="0" w:num="1">
            <w:col w:w="11220"/>
          </w:cols>
          <w:pgMar w:left="24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2649855" cy="1371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In setting performance targets for our executive performance incentive plan, multiple factors are considered including our actual past business results, estimates of multi-year performance from our long-term strategic planning, and the performance of market competitors. During fiscal 2018, our Compensation Committee, in conjunction with its independent consultant, Pearl Meyer, reviewed the Company’s historical OPBT margin and revenue growth as well as those for our peers to inform our incentive goal-setting process. The analyses also reviewed historical payout results and included scenario modeling to understand what historical payouts would have been under different goal structures. The Compensation Committee determined quarterly performance targets were sufficiently rigorous and consistent with the Company’s long-term financial model. Based on our evaluation of these factors, the Compensation Committee implemented the following targets for the second half of fiscal 2018 as well as for fiscal 2019:</w:t>
      </w:r>
    </w:p>
    <w:p>
      <w:pPr>
        <w:spacing w:after="0" w:line="224"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1660" w:type="dxa"/>
            <w:vAlign w:val="bottom"/>
            <w:shd w:val="clear" w:color="auto" w:fill="052B82"/>
          </w:tcPr>
          <w:p>
            <w:pPr>
              <w:jc w:val="center"/>
              <w:ind w:right="18"/>
              <w:spacing w:after="0"/>
              <w:rPr>
                <w:sz w:val="20"/>
                <w:szCs w:val="20"/>
                <w:color w:val="auto"/>
              </w:rPr>
            </w:pPr>
            <w:r>
              <w:rPr>
                <w:rFonts w:ascii="Arial" w:cs="Arial" w:eastAsia="Arial" w:hAnsi="Arial"/>
                <w:sz w:val="14"/>
                <w:szCs w:val="14"/>
                <w:b w:val="1"/>
                <w:bCs w:val="1"/>
                <w:color w:val="FFFFFF"/>
              </w:rPr>
              <w:t>50% of Bonus</w:t>
            </w:r>
          </w:p>
        </w:tc>
        <w:tc>
          <w:tcPr>
            <w:tcW w:w="1920" w:type="dxa"/>
            <w:vAlign w:val="bottom"/>
            <w:shd w:val="clear" w:color="auto" w:fill="052B82"/>
          </w:tcPr>
          <w:p>
            <w:pPr>
              <w:spacing w:after="0"/>
              <w:rPr>
                <w:sz w:val="14"/>
                <w:szCs w:val="14"/>
                <w:color w:val="auto"/>
              </w:rPr>
            </w:pPr>
          </w:p>
        </w:tc>
        <w:tc>
          <w:tcPr>
            <w:tcW w:w="2300" w:type="dxa"/>
            <w:vAlign w:val="bottom"/>
            <w:shd w:val="clear" w:color="auto" w:fill="052B82"/>
          </w:tcPr>
          <w:p>
            <w:pPr>
              <w:jc w:val="center"/>
              <w:ind w:left="418"/>
              <w:spacing w:after="0"/>
              <w:rPr>
                <w:sz w:val="20"/>
                <w:szCs w:val="20"/>
                <w:color w:val="auto"/>
              </w:rPr>
            </w:pPr>
            <w:r>
              <w:rPr>
                <w:rFonts w:ascii="Arial" w:cs="Arial" w:eastAsia="Arial" w:hAnsi="Arial"/>
                <w:sz w:val="14"/>
                <w:szCs w:val="14"/>
                <w:b w:val="1"/>
                <w:bCs w:val="1"/>
                <w:color w:val="FFFFFF"/>
              </w:rPr>
              <w:t>50% of Bonus</w:t>
            </w:r>
          </w:p>
        </w:tc>
        <w:tc>
          <w:tcPr>
            <w:tcW w:w="1600" w:type="dxa"/>
            <w:vAlign w:val="bottom"/>
            <w:shd w:val="clear" w:color="auto" w:fill="052B82"/>
          </w:tcPr>
          <w:p>
            <w:pPr>
              <w:spacing w:after="0"/>
              <w:rPr>
                <w:sz w:val="14"/>
                <w:szCs w:val="14"/>
                <w:color w:val="auto"/>
              </w:rPr>
            </w:pPr>
          </w:p>
        </w:tc>
      </w:tr>
      <w:tr>
        <w:trPr>
          <w:trHeight w:val="162"/>
        </w:trPr>
        <w:tc>
          <w:tcPr>
            <w:tcW w:w="1660" w:type="dxa"/>
            <w:vAlign w:val="bottom"/>
            <w:shd w:val="clear" w:color="auto" w:fill="052B82"/>
          </w:tcPr>
          <w:p>
            <w:pPr>
              <w:jc w:val="center"/>
              <w:ind w:right="18"/>
              <w:spacing w:after="0"/>
              <w:rPr>
                <w:sz w:val="20"/>
                <w:szCs w:val="20"/>
                <w:color w:val="auto"/>
              </w:rPr>
            </w:pPr>
            <w:r>
              <w:rPr>
                <w:rFonts w:ascii="Arial" w:cs="Arial" w:eastAsia="Arial" w:hAnsi="Arial"/>
                <w:sz w:val="14"/>
                <w:szCs w:val="14"/>
                <w:b w:val="1"/>
                <w:bCs w:val="1"/>
                <w:color w:val="FFFFFF"/>
              </w:rPr>
              <w:t>Based on OPBT</w:t>
            </w:r>
          </w:p>
        </w:tc>
        <w:tc>
          <w:tcPr>
            <w:tcW w:w="1920" w:type="dxa"/>
            <w:vAlign w:val="bottom"/>
            <w:shd w:val="clear" w:color="auto" w:fill="052B82"/>
          </w:tcPr>
          <w:p>
            <w:pPr>
              <w:jc w:val="center"/>
              <w:ind w:right="176"/>
              <w:spacing w:after="0"/>
              <w:rPr>
                <w:sz w:val="20"/>
                <w:szCs w:val="20"/>
                <w:color w:val="auto"/>
              </w:rPr>
            </w:pPr>
            <w:r>
              <w:rPr>
                <w:rFonts w:ascii="Arial" w:cs="Arial" w:eastAsia="Arial" w:hAnsi="Arial"/>
                <w:sz w:val="14"/>
                <w:szCs w:val="14"/>
                <w:b w:val="1"/>
                <w:bCs w:val="1"/>
                <w:color w:val="FFFFFF"/>
              </w:rPr>
              <w:t>Bonus Payout</w:t>
            </w:r>
          </w:p>
        </w:tc>
        <w:tc>
          <w:tcPr>
            <w:tcW w:w="2300" w:type="dxa"/>
            <w:vAlign w:val="bottom"/>
            <w:shd w:val="clear" w:color="auto" w:fill="052B82"/>
          </w:tcPr>
          <w:p>
            <w:pPr>
              <w:jc w:val="center"/>
              <w:ind w:left="418"/>
              <w:spacing w:after="0"/>
              <w:rPr>
                <w:sz w:val="20"/>
                <w:szCs w:val="20"/>
                <w:color w:val="auto"/>
              </w:rPr>
            </w:pPr>
            <w:r>
              <w:rPr>
                <w:rFonts w:ascii="Arial" w:cs="Arial" w:eastAsia="Arial" w:hAnsi="Arial"/>
                <w:sz w:val="14"/>
                <w:szCs w:val="14"/>
                <w:b w:val="1"/>
                <w:bCs w:val="1"/>
                <w:color w:val="FFFFFF"/>
              </w:rPr>
              <w:t>Based on</w:t>
            </w:r>
          </w:p>
        </w:tc>
        <w:tc>
          <w:tcPr>
            <w:tcW w:w="160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Bonus Payout</w:t>
            </w:r>
          </w:p>
        </w:tc>
      </w:tr>
      <w:tr>
        <w:trPr>
          <w:trHeight w:val="175"/>
        </w:trPr>
        <w:tc>
          <w:tcPr>
            <w:tcW w:w="1660" w:type="dxa"/>
            <w:vAlign w:val="bottom"/>
            <w:shd w:val="clear" w:color="auto" w:fill="052B82"/>
          </w:tcPr>
          <w:p>
            <w:pPr>
              <w:jc w:val="center"/>
              <w:ind w:right="18"/>
              <w:spacing w:after="0"/>
              <w:rPr>
                <w:sz w:val="20"/>
                <w:szCs w:val="20"/>
                <w:color w:val="auto"/>
              </w:rPr>
            </w:pPr>
            <w:r>
              <w:rPr>
                <w:rFonts w:ascii="Arial" w:cs="Arial" w:eastAsia="Arial" w:hAnsi="Arial"/>
                <w:sz w:val="14"/>
                <w:szCs w:val="14"/>
                <w:b w:val="1"/>
                <w:bCs w:val="1"/>
                <w:color w:val="FFFFFF"/>
              </w:rPr>
              <w:t>Margin</w:t>
            </w:r>
          </w:p>
        </w:tc>
        <w:tc>
          <w:tcPr>
            <w:tcW w:w="1920" w:type="dxa"/>
            <w:vAlign w:val="bottom"/>
            <w:shd w:val="clear" w:color="auto" w:fill="052B82"/>
          </w:tcPr>
          <w:p>
            <w:pPr>
              <w:jc w:val="center"/>
              <w:ind w:right="156"/>
              <w:spacing w:after="0"/>
              <w:rPr>
                <w:sz w:val="20"/>
                <w:szCs w:val="20"/>
                <w:color w:val="auto"/>
              </w:rPr>
            </w:pPr>
            <w:r>
              <w:rPr>
                <w:rFonts w:ascii="Arial" w:cs="Arial" w:eastAsia="Arial" w:hAnsi="Arial"/>
                <w:sz w:val="14"/>
                <w:szCs w:val="14"/>
                <w:b w:val="1"/>
                <w:bCs w:val="1"/>
                <w:color w:val="FFFFFF"/>
              </w:rPr>
              <w:t>Factor</w:t>
            </w:r>
          </w:p>
        </w:tc>
        <w:tc>
          <w:tcPr>
            <w:tcW w:w="2300" w:type="dxa"/>
            <w:vAlign w:val="bottom"/>
            <w:shd w:val="clear" w:color="auto" w:fill="052B82"/>
          </w:tcPr>
          <w:p>
            <w:pPr>
              <w:jc w:val="center"/>
              <w:ind w:left="398"/>
              <w:spacing w:after="0"/>
              <w:rPr>
                <w:sz w:val="20"/>
                <w:szCs w:val="20"/>
                <w:color w:val="auto"/>
              </w:rPr>
            </w:pPr>
            <w:r>
              <w:rPr>
                <w:rFonts w:ascii="Arial" w:cs="Arial" w:eastAsia="Arial" w:hAnsi="Arial"/>
                <w:sz w:val="14"/>
                <w:szCs w:val="14"/>
                <w:b w:val="1"/>
                <w:bCs w:val="1"/>
                <w:color w:val="FFFFFF"/>
              </w:rPr>
              <w:t>Revenue Growth</w:t>
            </w:r>
          </w:p>
        </w:tc>
        <w:tc>
          <w:tcPr>
            <w:tcW w:w="160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Factor</w:t>
            </w:r>
          </w:p>
        </w:tc>
      </w:tr>
      <w:tr>
        <w:trPr>
          <w:trHeight w:val="304"/>
        </w:trPr>
        <w:tc>
          <w:tcPr>
            <w:tcW w:w="1660" w:type="dxa"/>
            <w:vAlign w:val="bottom"/>
          </w:tcPr>
          <w:p>
            <w:pPr>
              <w:ind w:left="40"/>
              <w:spacing w:after="0"/>
              <w:rPr>
                <w:sz w:val="20"/>
                <w:szCs w:val="20"/>
                <w:color w:val="auto"/>
              </w:rPr>
            </w:pPr>
            <w:r>
              <w:rPr>
                <w:rFonts w:ascii="Arial" w:cs="Arial" w:eastAsia="Arial" w:hAnsi="Arial"/>
                <w:sz w:val="18"/>
                <w:szCs w:val="18"/>
                <w:color w:val="auto"/>
              </w:rPr>
              <w:t>£ 36%</w:t>
            </w:r>
          </w:p>
        </w:tc>
        <w:tc>
          <w:tcPr>
            <w:tcW w:w="1920" w:type="dxa"/>
            <w:vAlign w:val="bottom"/>
          </w:tcPr>
          <w:p>
            <w:pPr>
              <w:jc w:val="center"/>
              <w:ind w:right="176"/>
              <w:spacing w:after="0"/>
              <w:rPr>
                <w:sz w:val="20"/>
                <w:szCs w:val="20"/>
                <w:color w:val="auto"/>
              </w:rPr>
            </w:pPr>
            <w:r>
              <w:rPr>
                <w:rFonts w:ascii="Arial" w:cs="Arial" w:eastAsia="Arial" w:hAnsi="Arial"/>
                <w:sz w:val="18"/>
                <w:szCs w:val="18"/>
                <w:color w:val="auto"/>
                <w:w w:val="99"/>
              </w:rPr>
              <w:t>0%</w:t>
            </w:r>
          </w:p>
        </w:tc>
        <w:tc>
          <w:tcPr>
            <w:tcW w:w="2300" w:type="dxa"/>
            <w:vAlign w:val="bottom"/>
          </w:tcPr>
          <w:p>
            <w:pPr>
              <w:ind w:left="620"/>
              <w:spacing w:after="0"/>
              <w:rPr>
                <w:sz w:val="20"/>
                <w:szCs w:val="20"/>
                <w:color w:val="auto"/>
              </w:rPr>
            </w:pPr>
            <w:r>
              <w:rPr>
                <w:rFonts w:ascii="Arial" w:cs="Arial" w:eastAsia="Arial" w:hAnsi="Arial"/>
                <w:sz w:val="18"/>
                <w:szCs w:val="18"/>
                <w:color w:val="auto"/>
              </w:rPr>
              <w:t>£ 0%</w:t>
            </w: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0%</w:t>
            </w:r>
          </w:p>
        </w:tc>
      </w:tr>
      <w:tr>
        <w:trPr>
          <w:trHeight w:val="304"/>
        </w:trPr>
        <w:tc>
          <w:tcPr>
            <w:tcW w:w="1660" w:type="dxa"/>
            <w:vAlign w:val="bottom"/>
            <w:shd w:val="clear" w:color="auto" w:fill="E8EDF4"/>
          </w:tcPr>
          <w:p>
            <w:pPr>
              <w:ind w:left="40"/>
              <w:spacing w:after="0"/>
              <w:rPr>
                <w:sz w:val="20"/>
                <w:szCs w:val="20"/>
                <w:color w:val="auto"/>
              </w:rPr>
            </w:pPr>
            <w:r>
              <w:rPr>
                <w:rFonts w:ascii="Arial" w:cs="Arial" w:eastAsia="Arial" w:hAnsi="Arial"/>
                <w:sz w:val="18"/>
                <w:szCs w:val="18"/>
                <w:color w:val="auto"/>
              </w:rPr>
              <w:t>39%</w:t>
            </w:r>
          </w:p>
        </w:tc>
        <w:tc>
          <w:tcPr>
            <w:tcW w:w="1920" w:type="dxa"/>
            <w:vAlign w:val="bottom"/>
            <w:shd w:val="clear" w:color="auto" w:fill="E8EDF4"/>
          </w:tcPr>
          <w:p>
            <w:pPr>
              <w:jc w:val="center"/>
              <w:ind w:right="176"/>
              <w:spacing w:after="0"/>
              <w:rPr>
                <w:sz w:val="20"/>
                <w:szCs w:val="20"/>
                <w:color w:val="auto"/>
              </w:rPr>
            </w:pPr>
            <w:r>
              <w:rPr>
                <w:rFonts w:ascii="Arial" w:cs="Arial" w:eastAsia="Arial" w:hAnsi="Arial"/>
                <w:sz w:val="18"/>
                <w:szCs w:val="18"/>
                <w:color w:val="auto"/>
                <w:w w:val="99"/>
              </w:rPr>
              <w:t>100%</w:t>
            </w:r>
          </w:p>
        </w:tc>
        <w:tc>
          <w:tcPr>
            <w:tcW w:w="2300" w:type="dxa"/>
            <w:vAlign w:val="bottom"/>
            <w:shd w:val="clear" w:color="auto" w:fill="E8EDF4"/>
          </w:tcPr>
          <w:p>
            <w:pPr>
              <w:ind w:left="620"/>
              <w:spacing w:after="0"/>
              <w:rPr>
                <w:sz w:val="20"/>
                <w:szCs w:val="20"/>
                <w:color w:val="auto"/>
              </w:rPr>
            </w:pPr>
            <w:r>
              <w:rPr>
                <w:rFonts w:ascii="Arial" w:cs="Arial" w:eastAsia="Arial" w:hAnsi="Arial"/>
                <w:sz w:val="18"/>
                <w:szCs w:val="18"/>
                <w:color w:val="auto"/>
              </w:rPr>
              <w:t>5%</w:t>
            </w:r>
          </w:p>
        </w:tc>
        <w:tc>
          <w:tcPr>
            <w:tcW w:w="1600" w:type="dxa"/>
            <w:vAlign w:val="bottom"/>
            <w:shd w:val="clear" w:color="auto" w:fill="E8EDF4"/>
          </w:tcPr>
          <w:p>
            <w:pPr>
              <w:jc w:val="center"/>
              <w:spacing w:after="0"/>
              <w:rPr>
                <w:sz w:val="20"/>
                <w:szCs w:val="20"/>
                <w:color w:val="auto"/>
              </w:rPr>
            </w:pPr>
            <w:r>
              <w:rPr>
                <w:rFonts w:ascii="Arial" w:cs="Arial" w:eastAsia="Arial" w:hAnsi="Arial"/>
                <w:sz w:val="18"/>
                <w:szCs w:val="18"/>
                <w:color w:val="auto"/>
                <w:w w:val="99"/>
              </w:rPr>
              <w:t>100%</w:t>
            </w:r>
          </w:p>
        </w:tc>
      </w:tr>
      <w:tr>
        <w:trPr>
          <w:trHeight w:val="290"/>
        </w:trPr>
        <w:tc>
          <w:tcPr>
            <w:tcW w:w="1660" w:type="dxa"/>
            <w:vAlign w:val="bottom"/>
          </w:tcPr>
          <w:p>
            <w:pPr>
              <w:ind w:left="40"/>
              <w:spacing w:after="0"/>
              <w:rPr>
                <w:sz w:val="20"/>
                <w:szCs w:val="20"/>
                <w:color w:val="auto"/>
              </w:rPr>
            </w:pPr>
            <w:r>
              <w:rPr>
                <w:rFonts w:ascii="Arial" w:cs="Arial" w:eastAsia="Arial" w:hAnsi="Arial"/>
                <w:sz w:val="18"/>
                <w:szCs w:val="18"/>
                <w:color w:val="auto"/>
              </w:rPr>
              <w:t>42%</w:t>
            </w:r>
          </w:p>
        </w:tc>
        <w:tc>
          <w:tcPr>
            <w:tcW w:w="1920" w:type="dxa"/>
            <w:vAlign w:val="bottom"/>
          </w:tcPr>
          <w:p>
            <w:pPr>
              <w:jc w:val="center"/>
              <w:ind w:right="176"/>
              <w:spacing w:after="0"/>
              <w:rPr>
                <w:sz w:val="20"/>
                <w:szCs w:val="20"/>
                <w:color w:val="auto"/>
              </w:rPr>
            </w:pPr>
            <w:r>
              <w:rPr>
                <w:rFonts w:ascii="Arial" w:cs="Arial" w:eastAsia="Arial" w:hAnsi="Arial"/>
                <w:sz w:val="18"/>
                <w:szCs w:val="18"/>
                <w:color w:val="auto"/>
                <w:w w:val="99"/>
              </w:rPr>
              <w:t>200%</w:t>
            </w:r>
          </w:p>
        </w:tc>
        <w:tc>
          <w:tcPr>
            <w:tcW w:w="2300" w:type="dxa"/>
            <w:vAlign w:val="bottom"/>
          </w:tcPr>
          <w:p>
            <w:pPr>
              <w:ind w:left="620"/>
              <w:spacing w:after="0"/>
              <w:rPr>
                <w:sz w:val="20"/>
                <w:szCs w:val="20"/>
                <w:color w:val="auto"/>
              </w:rPr>
            </w:pPr>
            <w:r>
              <w:rPr>
                <w:rFonts w:ascii="Arial" w:cs="Arial" w:eastAsia="Arial" w:hAnsi="Arial"/>
                <w:sz w:val="18"/>
                <w:szCs w:val="18"/>
                <w:color w:val="auto"/>
              </w:rPr>
              <w:t>10%</w:t>
            </w: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200%</w:t>
            </w:r>
          </w:p>
        </w:tc>
      </w:tr>
      <w:tr>
        <w:trPr>
          <w:trHeight w:val="317"/>
        </w:trPr>
        <w:tc>
          <w:tcPr>
            <w:tcW w:w="1660" w:type="dxa"/>
            <w:vAlign w:val="bottom"/>
            <w:shd w:val="clear" w:color="auto" w:fill="E8EDF4"/>
          </w:tcPr>
          <w:p>
            <w:pPr>
              <w:ind w:left="40"/>
              <w:spacing w:after="0"/>
              <w:rPr>
                <w:sz w:val="20"/>
                <w:szCs w:val="20"/>
                <w:color w:val="auto"/>
              </w:rPr>
            </w:pPr>
            <w:r>
              <w:rPr>
                <w:rFonts w:ascii="Arial" w:cs="Arial" w:eastAsia="Arial" w:hAnsi="Arial"/>
                <w:sz w:val="18"/>
                <w:szCs w:val="18"/>
                <w:color w:val="auto"/>
              </w:rPr>
              <w:t>³45%</w:t>
            </w:r>
          </w:p>
        </w:tc>
        <w:tc>
          <w:tcPr>
            <w:tcW w:w="1920" w:type="dxa"/>
            <w:vAlign w:val="bottom"/>
            <w:shd w:val="clear" w:color="auto" w:fill="E8EDF4"/>
          </w:tcPr>
          <w:p>
            <w:pPr>
              <w:jc w:val="center"/>
              <w:ind w:right="176"/>
              <w:spacing w:after="0"/>
              <w:rPr>
                <w:sz w:val="20"/>
                <w:szCs w:val="20"/>
                <w:color w:val="auto"/>
              </w:rPr>
            </w:pPr>
            <w:r>
              <w:rPr>
                <w:rFonts w:ascii="Arial" w:cs="Arial" w:eastAsia="Arial" w:hAnsi="Arial"/>
                <w:sz w:val="18"/>
                <w:szCs w:val="18"/>
                <w:color w:val="auto"/>
                <w:w w:val="99"/>
              </w:rPr>
              <w:t>300%</w:t>
            </w:r>
          </w:p>
        </w:tc>
        <w:tc>
          <w:tcPr>
            <w:tcW w:w="2300" w:type="dxa"/>
            <w:vAlign w:val="bottom"/>
            <w:shd w:val="clear" w:color="auto" w:fill="E8EDF4"/>
          </w:tcPr>
          <w:p>
            <w:pPr>
              <w:ind w:left="620"/>
              <w:spacing w:after="0"/>
              <w:rPr>
                <w:sz w:val="20"/>
                <w:szCs w:val="20"/>
                <w:color w:val="auto"/>
              </w:rPr>
            </w:pPr>
            <w:r>
              <w:rPr>
                <w:rFonts w:ascii="Arial" w:cs="Arial" w:eastAsia="Arial" w:hAnsi="Arial"/>
                <w:sz w:val="18"/>
                <w:szCs w:val="18"/>
                <w:color w:val="auto"/>
              </w:rPr>
              <w:t>³15%</w:t>
            </w:r>
          </w:p>
        </w:tc>
        <w:tc>
          <w:tcPr>
            <w:tcW w:w="1600" w:type="dxa"/>
            <w:vAlign w:val="bottom"/>
            <w:shd w:val="clear" w:color="auto" w:fill="E8EDF4"/>
          </w:tcPr>
          <w:p>
            <w:pPr>
              <w:jc w:val="center"/>
              <w:spacing w:after="0"/>
              <w:rPr>
                <w:sz w:val="20"/>
                <w:szCs w:val="20"/>
                <w:color w:val="auto"/>
              </w:rPr>
            </w:pPr>
            <w:r>
              <w:rPr>
                <w:rFonts w:ascii="Arial" w:cs="Arial" w:eastAsia="Arial" w:hAnsi="Arial"/>
                <w:sz w:val="18"/>
                <w:szCs w:val="18"/>
                <w:color w:val="auto"/>
                <w:w w:val="99"/>
              </w:rPr>
              <w:t>300%</w:t>
            </w:r>
          </w:p>
        </w:tc>
      </w:tr>
    </w:tbl>
    <w:p>
      <w:pPr>
        <w:spacing w:after="0" w:line="215" w:lineRule="exact"/>
        <w:rPr>
          <w:sz w:val="20"/>
          <w:szCs w:val="20"/>
          <w:color w:val="auto"/>
        </w:rPr>
      </w:pPr>
    </w:p>
    <w:p>
      <w:pPr>
        <w:ind w:left="200" w:firstLine="441"/>
        <w:spacing w:after="0" w:line="246" w:lineRule="auto"/>
        <w:rPr>
          <w:sz w:val="20"/>
          <w:szCs w:val="20"/>
          <w:color w:val="auto"/>
        </w:rPr>
      </w:pPr>
      <w:r>
        <w:rPr>
          <w:rFonts w:ascii="Arial" w:cs="Arial" w:eastAsia="Arial" w:hAnsi="Arial"/>
          <w:sz w:val="18"/>
          <w:szCs w:val="18"/>
          <w:color w:val="auto"/>
        </w:rPr>
        <w:t>We also have a floor on the OPBT margin target so that profitability below 36% will result in no bonus payments for that performance period, regardless of revenue growth levels.</w:t>
      </w:r>
    </w:p>
    <w:p>
      <w:pPr>
        <w:spacing w:after="0" w:line="197" w:lineRule="exact"/>
        <w:rPr>
          <w:sz w:val="20"/>
          <w:szCs w:val="20"/>
          <w:color w:val="auto"/>
        </w:rPr>
      </w:pPr>
    </w:p>
    <w:p>
      <w:pPr>
        <w:ind w:left="200" w:right="40" w:firstLine="441"/>
        <w:spacing w:after="0" w:line="238" w:lineRule="auto"/>
        <w:rPr>
          <w:sz w:val="20"/>
          <w:szCs w:val="20"/>
          <w:color w:val="auto"/>
        </w:rPr>
      </w:pPr>
      <w:r>
        <w:rPr>
          <w:rFonts w:ascii="Arial" w:cs="Arial" w:eastAsia="Arial" w:hAnsi="Arial"/>
          <w:sz w:val="18"/>
          <w:szCs w:val="18"/>
          <w:color w:val="auto"/>
        </w:rPr>
        <w:t>Fiscal 2019 was a year in which we met or exceeded our quarterly profitability targets, exceeded our year-over-year revenue growth target in the first quarter, but did not meet our year-over-year revenue growth targets for the remainder of the year amidst significant macroeconomic uncertainty. For a summary of our fiscal 2019 financial results, see page 49 of this proxy statement. For fiscal 2019, the calculated OPBT Margin, Year-Over-Year Revenue Growth and Bonus Payout Factor under our executive performance incentive program for each quarter were as follows:</w:t>
      </w:r>
    </w:p>
    <w:p>
      <w:pPr>
        <w:spacing w:after="0" w:line="231"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300" w:type="dxa"/>
            <w:vAlign w:val="bottom"/>
            <w:shd w:val="clear" w:color="auto" w:fill="052B82"/>
          </w:tcPr>
          <w:p>
            <w:pPr>
              <w:spacing w:after="0"/>
              <w:rPr>
                <w:sz w:val="14"/>
                <w:szCs w:val="14"/>
                <w:color w:val="auto"/>
              </w:rPr>
            </w:pPr>
          </w:p>
        </w:tc>
        <w:tc>
          <w:tcPr>
            <w:tcW w:w="4180" w:type="dxa"/>
            <w:vAlign w:val="bottom"/>
            <w:gridSpan w:val="2"/>
            <w:shd w:val="clear" w:color="auto" w:fill="052B82"/>
          </w:tcPr>
          <w:p>
            <w:pPr>
              <w:ind w:left="1180"/>
              <w:spacing w:after="0"/>
              <w:rPr>
                <w:sz w:val="20"/>
                <w:szCs w:val="20"/>
                <w:color w:val="auto"/>
              </w:rPr>
            </w:pPr>
            <w:r>
              <w:rPr>
                <w:rFonts w:ascii="Arial" w:cs="Arial" w:eastAsia="Arial" w:hAnsi="Arial"/>
                <w:sz w:val="14"/>
                <w:szCs w:val="14"/>
                <w:b w:val="1"/>
                <w:bCs w:val="1"/>
                <w:color w:val="FFFFFF"/>
              </w:rPr>
              <w:t>OPBT Margin (50% weight)</w:t>
            </w:r>
          </w:p>
        </w:tc>
        <w:tc>
          <w:tcPr>
            <w:tcW w:w="3840" w:type="dxa"/>
            <w:vAlign w:val="bottom"/>
            <w:gridSpan w:val="2"/>
            <w:shd w:val="clear" w:color="auto" w:fill="052B82"/>
          </w:tcPr>
          <w:p>
            <w:pPr>
              <w:ind w:left="1040"/>
              <w:spacing w:after="0"/>
              <w:rPr>
                <w:sz w:val="20"/>
                <w:szCs w:val="20"/>
                <w:color w:val="auto"/>
              </w:rPr>
            </w:pPr>
            <w:r>
              <w:rPr>
                <w:rFonts w:ascii="Arial" w:cs="Arial" w:eastAsia="Arial" w:hAnsi="Arial"/>
                <w:sz w:val="14"/>
                <w:szCs w:val="14"/>
                <w:b w:val="1"/>
                <w:bCs w:val="1"/>
                <w:color w:val="FFFFFF"/>
              </w:rPr>
              <w:t>Revenue Growth (50% weight)</w:t>
            </w:r>
          </w:p>
        </w:tc>
        <w:tc>
          <w:tcPr>
            <w:tcW w:w="180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Quarterly Bonus</w:t>
            </w:r>
          </w:p>
        </w:tc>
      </w:tr>
      <w:tr>
        <w:trPr>
          <w:trHeight w:val="149"/>
        </w:trPr>
        <w:tc>
          <w:tcPr>
            <w:tcW w:w="300" w:type="dxa"/>
            <w:vAlign w:val="bottom"/>
            <w:shd w:val="clear" w:color="auto" w:fill="052B82"/>
          </w:tcPr>
          <w:p>
            <w:pPr>
              <w:spacing w:after="0"/>
              <w:rPr>
                <w:sz w:val="12"/>
                <w:szCs w:val="12"/>
                <w:color w:val="auto"/>
              </w:rPr>
            </w:pPr>
          </w:p>
        </w:tc>
        <w:tc>
          <w:tcPr>
            <w:tcW w:w="2080" w:type="dxa"/>
            <w:vAlign w:val="bottom"/>
            <w:shd w:val="clear" w:color="auto" w:fill="052B82"/>
          </w:tcPr>
          <w:p>
            <w:pPr>
              <w:jc w:val="center"/>
              <w:ind w:left="199"/>
              <w:spacing w:after="0" w:line="149" w:lineRule="exact"/>
              <w:rPr>
                <w:sz w:val="20"/>
                <w:szCs w:val="20"/>
                <w:color w:val="auto"/>
              </w:rPr>
            </w:pPr>
            <w:r>
              <w:rPr>
                <w:rFonts w:ascii="Arial" w:cs="Arial" w:eastAsia="Arial" w:hAnsi="Arial"/>
                <w:sz w:val="14"/>
                <w:szCs w:val="14"/>
                <w:color w:val="FFFFFF"/>
              </w:rPr>
              <w:t>OPBT</w:t>
            </w:r>
          </w:p>
        </w:tc>
        <w:tc>
          <w:tcPr>
            <w:tcW w:w="2100" w:type="dxa"/>
            <w:vAlign w:val="bottom"/>
            <w:shd w:val="clear" w:color="auto" w:fill="052B82"/>
          </w:tcPr>
          <w:p>
            <w:pPr>
              <w:jc w:val="center"/>
              <w:ind w:right="78"/>
              <w:spacing w:after="0" w:line="149" w:lineRule="exact"/>
              <w:rPr>
                <w:sz w:val="20"/>
                <w:szCs w:val="20"/>
                <w:color w:val="auto"/>
              </w:rPr>
            </w:pPr>
            <w:r>
              <w:rPr>
                <w:rFonts w:ascii="Arial" w:cs="Arial" w:eastAsia="Arial" w:hAnsi="Arial"/>
                <w:sz w:val="14"/>
                <w:szCs w:val="14"/>
                <w:color w:val="FFFFFF"/>
              </w:rPr>
              <w:t>Bonus Payout</w:t>
            </w:r>
          </w:p>
        </w:tc>
        <w:tc>
          <w:tcPr>
            <w:tcW w:w="2080" w:type="dxa"/>
            <w:vAlign w:val="bottom"/>
            <w:shd w:val="clear" w:color="auto" w:fill="052B82"/>
          </w:tcPr>
          <w:p>
            <w:pPr>
              <w:jc w:val="center"/>
              <w:ind w:left="159"/>
              <w:spacing w:after="0" w:line="149" w:lineRule="exact"/>
              <w:rPr>
                <w:sz w:val="20"/>
                <w:szCs w:val="20"/>
                <w:color w:val="auto"/>
              </w:rPr>
            </w:pPr>
            <w:r>
              <w:rPr>
                <w:rFonts w:ascii="Arial" w:cs="Arial" w:eastAsia="Arial" w:hAnsi="Arial"/>
                <w:sz w:val="14"/>
                <w:szCs w:val="14"/>
                <w:color w:val="FFFFFF"/>
              </w:rPr>
              <w:t>YOY Revenue</w:t>
            </w:r>
          </w:p>
        </w:tc>
        <w:tc>
          <w:tcPr>
            <w:tcW w:w="1760" w:type="dxa"/>
            <w:vAlign w:val="bottom"/>
            <w:shd w:val="clear" w:color="auto" w:fill="052B82"/>
          </w:tcPr>
          <w:p>
            <w:pPr>
              <w:jc w:val="center"/>
              <w:spacing w:after="0" w:line="149" w:lineRule="exact"/>
              <w:rPr>
                <w:sz w:val="20"/>
                <w:szCs w:val="20"/>
                <w:color w:val="auto"/>
              </w:rPr>
            </w:pPr>
            <w:r>
              <w:rPr>
                <w:rFonts w:ascii="Arial" w:cs="Arial" w:eastAsia="Arial" w:hAnsi="Arial"/>
                <w:sz w:val="14"/>
                <w:szCs w:val="14"/>
                <w:color w:val="FFFFFF"/>
              </w:rPr>
              <w:t>Bonus Payout</w:t>
            </w:r>
          </w:p>
        </w:tc>
        <w:tc>
          <w:tcPr>
            <w:tcW w:w="1800" w:type="dxa"/>
            <w:vAlign w:val="bottom"/>
            <w:shd w:val="clear" w:color="auto" w:fill="052B82"/>
          </w:tcPr>
          <w:p>
            <w:pPr>
              <w:jc w:val="center"/>
              <w:spacing w:after="0" w:line="149" w:lineRule="exact"/>
              <w:rPr>
                <w:sz w:val="20"/>
                <w:szCs w:val="20"/>
                <w:color w:val="auto"/>
              </w:rPr>
            </w:pPr>
            <w:r>
              <w:rPr>
                <w:rFonts w:ascii="Arial" w:cs="Arial" w:eastAsia="Arial" w:hAnsi="Arial"/>
                <w:sz w:val="14"/>
                <w:szCs w:val="14"/>
                <w:b w:val="1"/>
                <w:bCs w:val="1"/>
                <w:color w:val="FFFFFF"/>
              </w:rPr>
              <w:t>Payout Factor</w:t>
            </w:r>
          </w:p>
        </w:tc>
      </w:tr>
      <w:tr>
        <w:trPr>
          <w:trHeight w:val="194"/>
        </w:trPr>
        <w:tc>
          <w:tcPr>
            <w:tcW w:w="300" w:type="dxa"/>
            <w:vAlign w:val="bottom"/>
            <w:shd w:val="clear" w:color="auto" w:fill="052B82"/>
          </w:tcPr>
          <w:p>
            <w:pPr>
              <w:spacing w:after="0"/>
              <w:rPr>
                <w:sz w:val="16"/>
                <w:szCs w:val="16"/>
                <w:color w:val="auto"/>
              </w:rPr>
            </w:pPr>
          </w:p>
        </w:tc>
        <w:tc>
          <w:tcPr>
            <w:tcW w:w="2080" w:type="dxa"/>
            <w:vAlign w:val="bottom"/>
            <w:shd w:val="clear" w:color="auto" w:fill="052B82"/>
          </w:tcPr>
          <w:p>
            <w:pPr>
              <w:jc w:val="center"/>
              <w:ind w:left="199"/>
              <w:spacing w:after="0"/>
              <w:rPr>
                <w:sz w:val="20"/>
                <w:szCs w:val="20"/>
                <w:color w:val="auto"/>
              </w:rPr>
            </w:pPr>
            <w:r>
              <w:rPr>
                <w:rFonts w:ascii="Arial" w:cs="Arial" w:eastAsia="Arial" w:hAnsi="Arial"/>
                <w:sz w:val="14"/>
                <w:szCs w:val="14"/>
                <w:color w:val="FFFFFF"/>
              </w:rPr>
              <w:t>Margin</w:t>
            </w:r>
          </w:p>
        </w:tc>
        <w:tc>
          <w:tcPr>
            <w:tcW w:w="2100" w:type="dxa"/>
            <w:vAlign w:val="bottom"/>
            <w:shd w:val="clear" w:color="auto" w:fill="052B82"/>
          </w:tcPr>
          <w:p>
            <w:pPr>
              <w:jc w:val="center"/>
              <w:ind w:right="98"/>
              <w:spacing w:after="0"/>
              <w:rPr>
                <w:sz w:val="20"/>
                <w:szCs w:val="20"/>
                <w:color w:val="auto"/>
              </w:rPr>
            </w:pPr>
            <w:r>
              <w:rPr>
                <w:rFonts w:ascii="Arial" w:cs="Arial" w:eastAsia="Arial" w:hAnsi="Arial"/>
                <w:sz w:val="14"/>
                <w:szCs w:val="14"/>
                <w:color w:val="FFFFFF"/>
              </w:rPr>
              <w:t>Factor</w:t>
            </w:r>
          </w:p>
        </w:tc>
        <w:tc>
          <w:tcPr>
            <w:tcW w:w="2080" w:type="dxa"/>
            <w:vAlign w:val="bottom"/>
            <w:shd w:val="clear" w:color="auto" w:fill="052B82"/>
          </w:tcPr>
          <w:p>
            <w:pPr>
              <w:jc w:val="center"/>
              <w:ind w:left="159"/>
              <w:spacing w:after="0"/>
              <w:rPr>
                <w:sz w:val="20"/>
                <w:szCs w:val="20"/>
                <w:color w:val="auto"/>
              </w:rPr>
            </w:pPr>
            <w:r>
              <w:rPr>
                <w:rFonts w:ascii="Arial" w:cs="Arial" w:eastAsia="Arial" w:hAnsi="Arial"/>
                <w:sz w:val="14"/>
                <w:szCs w:val="14"/>
                <w:color w:val="FFFFFF"/>
              </w:rPr>
              <w:t>Growth</w:t>
            </w:r>
          </w:p>
        </w:tc>
        <w:tc>
          <w:tcPr>
            <w:tcW w:w="1760" w:type="dxa"/>
            <w:vAlign w:val="bottom"/>
            <w:shd w:val="clear" w:color="auto" w:fill="052B82"/>
          </w:tcPr>
          <w:p>
            <w:pPr>
              <w:jc w:val="center"/>
              <w:spacing w:after="0"/>
              <w:rPr>
                <w:sz w:val="20"/>
                <w:szCs w:val="20"/>
                <w:color w:val="auto"/>
              </w:rPr>
            </w:pPr>
            <w:r>
              <w:rPr>
                <w:rFonts w:ascii="Arial" w:cs="Arial" w:eastAsia="Arial" w:hAnsi="Arial"/>
                <w:sz w:val="14"/>
                <w:szCs w:val="14"/>
                <w:color w:val="FFFFFF"/>
              </w:rPr>
              <w:t>Factor</w:t>
            </w:r>
          </w:p>
        </w:tc>
        <w:tc>
          <w:tcPr>
            <w:tcW w:w="180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(average)</w:t>
            </w:r>
          </w:p>
        </w:tc>
      </w:tr>
      <w:tr>
        <w:trPr>
          <w:trHeight w:val="171"/>
        </w:trPr>
        <w:tc>
          <w:tcPr>
            <w:tcW w:w="300" w:type="dxa"/>
            <w:vAlign w:val="bottom"/>
            <w:shd w:val="clear" w:color="auto" w:fill="052B82"/>
          </w:tcPr>
          <w:p>
            <w:pPr>
              <w:spacing w:after="0"/>
              <w:rPr>
                <w:sz w:val="14"/>
                <w:szCs w:val="14"/>
                <w:color w:val="auto"/>
              </w:rPr>
            </w:pPr>
          </w:p>
        </w:tc>
        <w:tc>
          <w:tcPr>
            <w:tcW w:w="2080" w:type="dxa"/>
            <w:vAlign w:val="bottom"/>
            <w:shd w:val="clear" w:color="auto" w:fill="052B82"/>
          </w:tcPr>
          <w:p>
            <w:pPr>
              <w:jc w:val="center"/>
              <w:ind w:left="219"/>
              <w:spacing w:after="0"/>
              <w:rPr>
                <w:sz w:val="20"/>
                <w:szCs w:val="20"/>
                <w:color w:val="auto"/>
              </w:rPr>
            </w:pPr>
            <w:r>
              <w:rPr>
                <w:rFonts w:ascii="Arial" w:cs="Arial" w:eastAsia="Arial" w:hAnsi="Arial"/>
                <w:sz w:val="14"/>
                <w:szCs w:val="14"/>
                <w:color w:val="FFFFFF"/>
              </w:rPr>
              <w:t>(by quarter)</w:t>
            </w:r>
          </w:p>
        </w:tc>
        <w:tc>
          <w:tcPr>
            <w:tcW w:w="2100" w:type="dxa"/>
            <w:vAlign w:val="bottom"/>
            <w:shd w:val="clear" w:color="auto" w:fill="052B82"/>
          </w:tcPr>
          <w:p>
            <w:pPr>
              <w:jc w:val="center"/>
              <w:ind w:right="78"/>
              <w:spacing w:after="0"/>
              <w:rPr>
                <w:sz w:val="20"/>
                <w:szCs w:val="20"/>
                <w:color w:val="auto"/>
              </w:rPr>
            </w:pPr>
            <w:r>
              <w:rPr>
                <w:rFonts w:ascii="Arial" w:cs="Arial" w:eastAsia="Arial" w:hAnsi="Arial"/>
                <w:sz w:val="14"/>
                <w:szCs w:val="14"/>
                <w:color w:val="FFFFFF"/>
              </w:rPr>
              <w:t>(by quarter)</w:t>
            </w:r>
          </w:p>
        </w:tc>
        <w:tc>
          <w:tcPr>
            <w:tcW w:w="2080" w:type="dxa"/>
            <w:vAlign w:val="bottom"/>
            <w:shd w:val="clear" w:color="auto" w:fill="052B82"/>
          </w:tcPr>
          <w:p>
            <w:pPr>
              <w:jc w:val="center"/>
              <w:ind w:left="159"/>
              <w:spacing w:after="0"/>
              <w:rPr>
                <w:sz w:val="20"/>
                <w:szCs w:val="20"/>
                <w:color w:val="auto"/>
              </w:rPr>
            </w:pPr>
            <w:r>
              <w:rPr>
                <w:rFonts w:ascii="Arial" w:cs="Arial" w:eastAsia="Arial" w:hAnsi="Arial"/>
                <w:sz w:val="14"/>
                <w:szCs w:val="14"/>
                <w:color w:val="FFFFFF"/>
              </w:rPr>
              <w:t>(by quarter)</w:t>
            </w:r>
          </w:p>
        </w:tc>
        <w:tc>
          <w:tcPr>
            <w:tcW w:w="1760" w:type="dxa"/>
            <w:vAlign w:val="bottom"/>
            <w:shd w:val="clear" w:color="auto" w:fill="052B82"/>
          </w:tcPr>
          <w:p>
            <w:pPr>
              <w:jc w:val="center"/>
              <w:spacing w:after="0"/>
              <w:rPr>
                <w:sz w:val="20"/>
                <w:szCs w:val="20"/>
                <w:color w:val="auto"/>
              </w:rPr>
            </w:pPr>
            <w:r>
              <w:rPr>
                <w:rFonts w:ascii="Arial" w:cs="Arial" w:eastAsia="Arial" w:hAnsi="Arial"/>
                <w:sz w:val="14"/>
                <w:szCs w:val="14"/>
                <w:color w:val="FFFFFF"/>
              </w:rPr>
              <w:t>(by quarter)</w:t>
            </w:r>
          </w:p>
        </w:tc>
        <w:tc>
          <w:tcPr>
            <w:tcW w:w="1800" w:type="dxa"/>
            <w:vAlign w:val="bottom"/>
            <w:shd w:val="clear" w:color="auto" w:fill="052B82"/>
          </w:tcPr>
          <w:p>
            <w:pPr>
              <w:spacing w:after="0"/>
              <w:rPr>
                <w:sz w:val="14"/>
                <w:szCs w:val="14"/>
                <w:color w:val="auto"/>
              </w:rPr>
            </w:pPr>
          </w:p>
        </w:tc>
      </w:tr>
      <w:tr>
        <w:trPr>
          <w:trHeight w:val="290"/>
        </w:trPr>
        <w:tc>
          <w:tcPr>
            <w:tcW w:w="300" w:type="dxa"/>
            <w:vAlign w:val="bottom"/>
          </w:tcPr>
          <w:p>
            <w:pPr>
              <w:ind w:left="40"/>
              <w:spacing w:after="0"/>
              <w:rPr>
                <w:sz w:val="20"/>
                <w:szCs w:val="20"/>
                <w:color w:val="auto"/>
              </w:rPr>
            </w:pPr>
            <w:r>
              <w:rPr>
                <w:rFonts w:ascii="Arial" w:cs="Arial" w:eastAsia="Arial" w:hAnsi="Arial"/>
                <w:sz w:val="18"/>
                <w:szCs w:val="18"/>
                <w:color w:val="auto"/>
                <w:w w:val="99"/>
              </w:rPr>
              <w:t>Q1</w:t>
            </w:r>
          </w:p>
        </w:tc>
        <w:tc>
          <w:tcPr>
            <w:tcW w:w="2080" w:type="dxa"/>
            <w:vAlign w:val="bottom"/>
          </w:tcPr>
          <w:p>
            <w:pPr>
              <w:jc w:val="center"/>
              <w:ind w:left="199"/>
              <w:spacing w:after="0"/>
              <w:rPr>
                <w:sz w:val="20"/>
                <w:szCs w:val="20"/>
                <w:color w:val="auto"/>
              </w:rPr>
            </w:pPr>
            <w:r>
              <w:rPr>
                <w:rFonts w:ascii="Arial" w:cs="Arial" w:eastAsia="Arial" w:hAnsi="Arial"/>
                <w:sz w:val="18"/>
                <w:szCs w:val="18"/>
                <w:color w:val="auto"/>
              </w:rPr>
              <w:t>41.2%</w:t>
            </w:r>
          </w:p>
        </w:tc>
        <w:tc>
          <w:tcPr>
            <w:tcW w:w="2100" w:type="dxa"/>
            <w:vAlign w:val="bottom"/>
          </w:tcPr>
          <w:p>
            <w:pPr>
              <w:jc w:val="center"/>
              <w:ind w:right="78"/>
              <w:spacing w:after="0"/>
              <w:rPr>
                <w:sz w:val="20"/>
                <w:szCs w:val="20"/>
                <w:color w:val="auto"/>
              </w:rPr>
            </w:pPr>
            <w:r>
              <w:rPr>
                <w:rFonts w:ascii="Arial" w:cs="Arial" w:eastAsia="Arial" w:hAnsi="Arial"/>
                <w:sz w:val="18"/>
                <w:szCs w:val="18"/>
                <w:color w:val="auto"/>
                <w:w w:val="99"/>
              </w:rPr>
              <w:t>173%</w:t>
            </w:r>
          </w:p>
        </w:tc>
        <w:tc>
          <w:tcPr>
            <w:tcW w:w="2080" w:type="dxa"/>
            <w:vAlign w:val="bottom"/>
          </w:tcPr>
          <w:p>
            <w:pPr>
              <w:jc w:val="center"/>
              <w:ind w:left="159"/>
              <w:spacing w:after="0"/>
              <w:rPr>
                <w:sz w:val="20"/>
                <w:szCs w:val="20"/>
                <w:color w:val="auto"/>
              </w:rPr>
            </w:pPr>
            <w:r>
              <w:rPr>
                <w:rFonts w:ascii="Arial" w:cs="Arial" w:eastAsia="Arial" w:hAnsi="Arial"/>
                <w:sz w:val="18"/>
                <w:szCs w:val="18"/>
                <w:color w:val="auto"/>
                <w:w w:val="97"/>
              </w:rPr>
              <w:t>7.5%</w:t>
            </w:r>
          </w:p>
        </w:tc>
        <w:tc>
          <w:tcPr>
            <w:tcW w:w="1760" w:type="dxa"/>
            <w:vAlign w:val="bottom"/>
          </w:tcPr>
          <w:p>
            <w:pPr>
              <w:jc w:val="center"/>
              <w:spacing w:after="0"/>
              <w:rPr>
                <w:sz w:val="20"/>
                <w:szCs w:val="20"/>
                <w:color w:val="auto"/>
              </w:rPr>
            </w:pPr>
            <w:r>
              <w:rPr>
                <w:rFonts w:ascii="Arial" w:cs="Arial" w:eastAsia="Arial" w:hAnsi="Arial"/>
                <w:sz w:val="18"/>
                <w:szCs w:val="18"/>
                <w:color w:val="auto"/>
                <w:w w:val="99"/>
              </w:rPr>
              <w:t>150%</w:t>
            </w:r>
          </w:p>
        </w:tc>
        <w:tc>
          <w:tcPr>
            <w:tcW w:w="1800" w:type="dxa"/>
            <w:vAlign w:val="bottom"/>
          </w:tcPr>
          <w:p>
            <w:pPr>
              <w:jc w:val="center"/>
              <w:ind w:left="18"/>
              <w:spacing w:after="0"/>
              <w:rPr>
                <w:sz w:val="20"/>
                <w:szCs w:val="20"/>
                <w:color w:val="auto"/>
              </w:rPr>
            </w:pPr>
            <w:r>
              <w:rPr>
                <w:rFonts w:ascii="Arial" w:cs="Arial" w:eastAsia="Arial" w:hAnsi="Arial"/>
                <w:sz w:val="18"/>
                <w:szCs w:val="18"/>
                <w:color w:val="auto"/>
                <w:w w:val="99"/>
              </w:rPr>
              <w:t>162%</w:t>
            </w:r>
          </w:p>
        </w:tc>
      </w:tr>
      <w:tr>
        <w:trPr>
          <w:trHeight w:val="304"/>
        </w:trPr>
        <w:tc>
          <w:tcPr>
            <w:tcW w:w="300" w:type="dxa"/>
            <w:vAlign w:val="bottom"/>
            <w:shd w:val="clear" w:color="auto" w:fill="E8EDF4"/>
          </w:tcPr>
          <w:p>
            <w:pPr>
              <w:ind w:left="40"/>
              <w:spacing w:after="0"/>
              <w:rPr>
                <w:sz w:val="20"/>
                <w:szCs w:val="20"/>
                <w:color w:val="auto"/>
              </w:rPr>
            </w:pPr>
            <w:r>
              <w:rPr>
                <w:rFonts w:ascii="Arial" w:cs="Arial" w:eastAsia="Arial" w:hAnsi="Arial"/>
                <w:sz w:val="18"/>
                <w:szCs w:val="18"/>
                <w:color w:val="auto"/>
                <w:w w:val="99"/>
              </w:rPr>
              <w:t>Q2</w:t>
            </w:r>
          </w:p>
        </w:tc>
        <w:tc>
          <w:tcPr>
            <w:tcW w:w="2080" w:type="dxa"/>
            <w:vAlign w:val="bottom"/>
            <w:shd w:val="clear" w:color="auto" w:fill="E8EDF4"/>
          </w:tcPr>
          <w:p>
            <w:pPr>
              <w:jc w:val="center"/>
              <w:ind w:left="199"/>
              <w:spacing w:after="0"/>
              <w:rPr>
                <w:sz w:val="20"/>
                <w:szCs w:val="20"/>
                <w:color w:val="auto"/>
              </w:rPr>
            </w:pPr>
            <w:r>
              <w:rPr>
                <w:rFonts w:ascii="Arial" w:cs="Arial" w:eastAsia="Arial" w:hAnsi="Arial"/>
                <w:sz w:val="18"/>
                <w:szCs w:val="18"/>
                <w:color w:val="auto"/>
              </w:rPr>
              <w:t>41.5%</w:t>
            </w:r>
          </w:p>
        </w:tc>
        <w:tc>
          <w:tcPr>
            <w:tcW w:w="2100" w:type="dxa"/>
            <w:vAlign w:val="bottom"/>
            <w:shd w:val="clear" w:color="auto" w:fill="E8EDF4"/>
          </w:tcPr>
          <w:p>
            <w:pPr>
              <w:jc w:val="center"/>
              <w:ind w:right="78"/>
              <w:spacing w:after="0"/>
              <w:rPr>
                <w:sz w:val="20"/>
                <w:szCs w:val="20"/>
                <w:color w:val="auto"/>
              </w:rPr>
            </w:pPr>
            <w:r>
              <w:rPr>
                <w:rFonts w:ascii="Arial" w:cs="Arial" w:eastAsia="Arial" w:hAnsi="Arial"/>
                <w:sz w:val="18"/>
                <w:szCs w:val="18"/>
                <w:color w:val="auto"/>
                <w:w w:val="99"/>
              </w:rPr>
              <w:t>184%</w:t>
            </w:r>
          </w:p>
        </w:tc>
        <w:tc>
          <w:tcPr>
            <w:tcW w:w="2080" w:type="dxa"/>
            <w:vAlign w:val="bottom"/>
            <w:shd w:val="clear" w:color="auto" w:fill="E8EDF4"/>
          </w:tcPr>
          <w:p>
            <w:pPr>
              <w:jc w:val="center"/>
              <w:ind w:left="179"/>
              <w:spacing w:after="0"/>
              <w:rPr>
                <w:sz w:val="20"/>
                <w:szCs w:val="20"/>
                <w:color w:val="auto"/>
              </w:rPr>
            </w:pPr>
            <w:r>
              <w:rPr>
                <w:rFonts w:ascii="Arial" w:cs="Arial" w:eastAsia="Arial" w:hAnsi="Arial"/>
                <w:sz w:val="18"/>
                <w:szCs w:val="18"/>
                <w:color w:val="auto"/>
                <w:w w:val="99"/>
              </w:rPr>
              <w:t>0%</w:t>
            </w:r>
          </w:p>
        </w:tc>
        <w:tc>
          <w:tcPr>
            <w:tcW w:w="1760" w:type="dxa"/>
            <w:vAlign w:val="bottom"/>
            <w:shd w:val="clear" w:color="auto" w:fill="E8EDF4"/>
          </w:tcPr>
          <w:p>
            <w:pPr>
              <w:jc w:val="center"/>
              <w:spacing w:after="0"/>
              <w:rPr>
                <w:sz w:val="20"/>
                <w:szCs w:val="20"/>
                <w:color w:val="auto"/>
              </w:rPr>
            </w:pPr>
            <w:r>
              <w:rPr>
                <w:rFonts w:ascii="Arial" w:cs="Arial" w:eastAsia="Arial" w:hAnsi="Arial"/>
                <w:sz w:val="18"/>
                <w:szCs w:val="18"/>
                <w:color w:val="auto"/>
                <w:w w:val="99"/>
              </w:rPr>
              <w:t>0%</w:t>
            </w:r>
          </w:p>
        </w:tc>
        <w:tc>
          <w:tcPr>
            <w:tcW w:w="1800" w:type="dxa"/>
            <w:vAlign w:val="bottom"/>
            <w:shd w:val="clear" w:color="auto" w:fill="E8EDF4"/>
          </w:tcPr>
          <w:p>
            <w:pPr>
              <w:jc w:val="center"/>
              <w:spacing w:after="0"/>
              <w:rPr>
                <w:sz w:val="20"/>
                <w:szCs w:val="20"/>
                <w:color w:val="auto"/>
              </w:rPr>
            </w:pPr>
            <w:r>
              <w:rPr>
                <w:rFonts w:ascii="Arial" w:cs="Arial" w:eastAsia="Arial" w:hAnsi="Arial"/>
                <w:sz w:val="18"/>
                <w:szCs w:val="18"/>
                <w:color w:val="auto"/>
                <w:w w:val="99"/>
              </w:rPr>
              <w:t>92%</w:t>
            </w:r>
          </w:p>
        </w:tc>
      </w:tr>
      <w:tr>
        <w:trPr>
          <w:trHeight w:val="290"/>
        </w:trPr>
        <w:tc>
          <w:tcPr>
            <w:tcW w:w="300" w:type="dxa"/>
            <w:vAlign w:val="bottom"/>
          </w:tcPr>
          <w:p>
            <w:pPr>
              <w:ind w:left="40"/>
              <w:spacing w:after="0"/>
              <w:rPr>
                <w:sz w:val="20"/>
                <w:szCs w:val="20"/>
                <w:color w:val="auto"/>
              </w:rPr>
            </w:pPr>
            <w:r>
              <w:rPr>
                <w:rFonts w:ascii="Arial" w:cs="Arial" w:eastAsia="Arial" w:hAnsi="Arial"/>
                <w:sz w:val="18"/>
                <w:szCs w:val="18"/>
                <w:color w:val="auto"/>
                <w:w w:val="99"/>
              </w:rPr>
              <w:t>Q3</w:t>
            </w:r>
          </w:p>
        </w:tc>
        <w:tc>
          <w:tcPr>
            <w:tcW w:w="2080" w:type="dxa"/>
            <w:vAlign w:val="bottom"/>
          </w:tcPr>
          <w:p>
            <w:pPr>
              <w:jc w:val="center"/>
              <w:ind w:left="199"/>
              <w:spacing w:after="0"/>
              <w:rPr>
                <w:sz w:val="20"/>
                <w:szCs w:val="20"/>
                <w:color w:val="auto"/>
              </w:rPr>
            </w:pPr>
            <w:r>
              <w:rPr>
                <w:rFonts w:ascii="Arial" w:cs="Arial" w:eastAsia="Arial" w:hAnsi="Arial"/>
                <w:sz w:val="18"/>
                <w:szCs w:val="18"/>
                <w:color w:val="auto"/>
              </w:rPr>
              <w:t>40.8%</w:t>
            </w:r>
          </w:p>
        </w:tc>
        <w:tc>
          <w:tcPr>
            <w:tcW w:w="2100" w:type="dxa"/>
            <w:vAlign w:val="bottom"/>
          </w:tcPr>
          <w:p>
            <w:pPr>
              <w:jc w:val="center"/>
              <w:ind w:right="78"/>
              <w:spacing w:after="0"/>
              <w:rPr>
                <w:sz w:val="20"/>
                <w:szCs w:val="20"/>
                <w:color w:val="auto"/>
              </w:rPr>
            </w:pPr>
            <w:r>
              <w:rPr>
                <w:rFonts w:ascii="Arial" w:cs="Arial" w:eastAsia="Arial" w:hAnsi="Arial"/>
                <w:sz w:val="18"/>
                <w:szCs w:val="18"/>
                <w:color w:val="auto"/>
                <w:w w:val="99"/>
              </w:rPr>
              <w:t>160%</w:t>
            </w:r>
          </w:p>
        </w:tc>
        <w:tc>
          <w:tcPr>
            <w:tcW w:w="2080" w:type="dxa"/>
            <w:vAlign w:val="bottom"/>
          </w:tcPr>
          <w:p>
            <w:pPr>
              <w:jc w:val="center"/>
              <w:ind w:left="179"/>
              <w:spacing w:after="0"/>
              <w:rPr>
                <w:sz w:val="20"/>
                <w:szCs w:val="20"/>
                <w:color w:val="auto"/>
              </w:rPr>
            </w:pPr>
            <w:r>
              <w:rPr>
                <w:rFonts w:ascii="Arial" w:cs="Arial" w:eastAsia="Arial" w:hAnsi="Arial"/>
                <w:sz w:val="18"/>
                <w:szCs w:val="18"/>
                <w:color w:val="auto"/>
                <w:w w:val="99"/>
              </w:rPr>
              <w:t>(6)%</w:t>
            </w:r>
          </w:p>
        </w:tc>
        <w:tc>
          <w:tcPr>
            <w:tcW w:w="17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800" w:type="dxa"/>
            <w:vAlign w:val="bottom"/>
          </w:tcPr>
          <w:p>
            <w:pPr>
              <w:jc w:val="center"/>
              <w:spacing w:after="0"/>
              <w:rPr>
                <w:sz w:val="20"/>
                <w:szCs w:val="20"/>
                <w:color w:val="auto"/>
              </w:rPr>
            </w:pPr>
            <w:r>
              <w:rPr>
                <w:rFonts w:ascii="Arial" w:cs="Arial" w:eastAsia="Arial" w:hAnsi="Arial"/>
                <w:sz w:val="18"/>
                <w:szCs w:val="18"/>
                <w:color w:val="auto"/>
                <w:w w:val="99"/>
              </w:rPr>
              <w:t>80%</w:t>
            </w:r>
          </w:p>
        </w:tc>
      </w:tr>
      <w:tr>
        <w:trPr>
          <w:trHeight w:val="304"/>
        </w:trPr>
        <w:tc>
          <w:tcPr>
            <w:tcW w:w="300" w:type="dxa"/>
            <w:vAlign w:val="bottom"/>
            <w:shd w:val="clear" w:color="auto" w:fill="E8EDF4"/>
          </w:tcPr>
          <w:p>
            <w:pPr>
              <w:ind w:left="40"/>
              <w:spacing w:after="0"/>
              <w:rPr>
                <w:sz w:val="20"/>
                <w:szCs w:val="20"/>
                <w:color w:val="auto"/>
              </w:rPr>
            </w:pPr>
            <w:r>
              <w:rPr>
                <w:rFonts w:ascii="Arial" w:cs="Arial" w:eastAsia="Arial" w:hAnsi="Arial"/>
                <w:sz w:val="18"/>
                <w:szCs w:val="18"/>
                <w:color w:val="auto"/>
                <w:w w:val="99"/>
              </w:rPr>
              <w:t>Q4</w:t>
            </w:r>
          </w:p>
        </w:tc>
        <w:tc>
          <w:tcPr>
            <w:tcW w:w="2080" w:type="dxa"/>
            <w:vAlign w:val="bottom"/>
            <w:shd w:val="clear" w:color="auto" w:fill="E8EDF4"/>
          </w:tcPr>
          <w:p>
            <w:pPr>
              <w:jc w:val="center"/>
              <w:ind w:left="199"/>
              <w:spacing w:after="0"/>
              <w:rPr>
                <w:sz w:val="20"/>
                <w:szCs w:val="20"/>
                <w:color w:val="auto"/>
              </w:rPr>
            </w:pPr>
            <w:r>
              <w:rPr>
                <w:rFonts w:ascii="Arial" w:cs="Arial" w:eastAsia="Arial" w:hAnsi="Arial"/>
                <w:sz w:val="18"/>
                <w:szCs w:val="18"/>
                <w:color w:val="auto"/>
              </w:rPr>
              <w:t>38.8%</w:t>
            </w:r>
          </w:p>
        </w:tc>
        <w:tc>
          <w:tcPr>
            <w:tcW w:w="2100" w:type="dxa"/>
            <w:vAlign w:val="bottom"/>
            <w:shd w:val="clear" w:color="auto" w:fill="E8EDF4"/>
          </w:tcPr>
          <w:p>
            <w:pPr>
              <w:jc w:val="center"/>
              <w:ind w:right="98"/>
              <w:spacing w:after="0"/>
              <w:rPr>
                <w:sz w:val="20"/>
                <w:szCs w:val="20"/>
                <w:color w:val="auto"/>
              </w:rPr>
            </w:pPr>
            <w:r>
              <w:rPr>
                <w:rFonts w:ascii="Arial" w:cs="Arial" w:eastAsia="Arial" w:hAnsi="Arial"/>
                <w:sz w:val="18"/>
                <w:szCs w:val="18"/>
                <w:color w:val="auto"/>
                <w:w w:val="99"/>
              </w:rPr>
              <w:t>94%</w:t>
            </w:r>
          </w:p>
        </w:tc>
        <w:tc>
          <w:tcPr>
            <w:tcW w:w="2080" w:type="dxa"/>
            <w:vAlign w:val="bottom"/>
            <w:shd w:val="clear" w:color="auto" w:fill="E8EDF4"/>
          </w:tcPr>
          <w:p>
            <w:pPr>
              <w:jc w:val="center"/>
              <w:ind w:left="179"/>
              <w:spacing w:after="0"/>
              <w:rPr>
                <w:sz w:val="20"/>
                <w:szCs w:val="20"/>
                <w:color w:val="auto"/>
              </w:rPr>
            </w:pPr>
            <w:r>
              <w:rPr>
                <w:rFonts w:ascii="Arial" w:cs="Arial" w:eastAsia="Arial" w:hAnsi="Arial"/>
                <w:sz w:val="18"/>
                <w:szCs w:val="18"/>
                <w:color w:val="auto"/>
                <w:w w:val="99"/>
              </w:rPr>
              <w:t>(9)%</w:t>
            </w:r>
          </w:p>
        </w:tc>
        <w:tc>
          <w:tcPr>
            <w:tcW w:w="1760" w:type="dxa"/>
            <w:vAlign w:val="bottom"/>
            <w:shd w:val="clear" w:color="auto" w:fill="E8EDF4"/>
          </w:tcPr>
          <w:p>
            <w:pPr>
              <w:jc w:val="center"/>
              <w:spacing w:after="0"/>
              <w:rPr>
                <w:sz w:val="20"/>
                <w:szCs w:val="20"/>
                <w:color w:val="auto"/>
              </w:rPr>
            </w:pPr>
            <w:r>
              <w:rPr>
                <w:rFonts w:ascii="Arial" w:cs="Arial" w:eastAsia="Arial" w:hAnsi="Arial"/>
                <w:sz w:val="18"/>
                <w:szCs w:val="18"/>
                <w:color w:val="auto"/>
                <w:w w:val="99"/>
              </w:rPr>
              <w:t>0%</w:t>
            </w:r>
          </w:p>
        </w:tc>
        <w:tc>
          <w:tcPr>
            <w:tcW w:w="1800" w:type="dxa"/>
            <w:vAlign w:val="bottom"/>
            <w:shd w:val="clear" w:color="auto" w:fill="E8EDF4"/>
          </w:tcPr>
          <w:p>
            <w:pPr>
              <w:jc w:val="center"/>
              <w:spacing w:after="0"/>
              <w:rPr>
                <w:sz w:val="20"/>
                <w:szCs w:val="20"/>
                <w:color w:val="auto"/>
              </w:rPr>
            </w:pPr>
            <w:r>
              <w:rPr>
                <w:rFonts w:ascii="Arial" w:cs="Arial" w:eastAsia="Arial" w:hAnsi="Arial"/>
                <w:sz w:val="18"/>
                <w:szCs w:val="18"/>
                <w:color w:val="auto"/>
                <w:w w:val="99"/>
              </w:rPr>
              <w:t>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-1080135</wp:posOffset>
            </wp:positionV>
            <wp:extent cx="509397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093970" cy="8890"/>
                    </a:xfrm>
                    <a:prstGeom prst="rect">
                      <a:avLst/>
                    </a:prstGeom>
                    <a:noFill/>
                  </pic:spPr>
                </pic:pic>
              </a:graphicData>
            </a:graphic>
          </wp:anchor>
        </w:drawing>
      </w:r>
    </w:p>
    <w:p>
      <w:pPr>
        <w:spacing w:after="0" w:line="195" w:lineRule="exact"/>
        <w:rPr>
          <w:sz w:val="20"/>
          <w:szCs w:val="20"/>
          <w:color w:val="auto"/>
        </w:rPr>
      </w:pPr>
    </w:p>
    <w:p>
      <w:pPr>
        <w:ind w:left="200" w:right="60" w:firstLine="441"/>
        <w:spacing w:after="0" w:line="246" w:lineRule="auto"/>
        <w:rPr>
          <w:sz w:val="20"/>
          <w:szCs w:val="20"/>
          <w:color w:val="auto"/>
        </w:rPr>
      </w:pPr>
      <w:r>
        <w:rPr>
          <w:rFonts w:ascii="Arial" w:cs="Arial" w:eastAsia="Arial" w:hAnsi="Arial"/>
          <w:sz w:val="18"/>
          <w:szCs w:val="18"/>
          <w:color w:val="auto"/>
        </w:rPr>
        <w:t>Aggregate payments under our executive performance incentive plan were made at 95% of target, compared to 183% in fiscal 2018 and 248% in fiscal 2017.</w:t>
      </w:r>
    </w:p>
    <w:p>
      <w:pPr>
        <w:spacing w:after="0" w:line="28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26" w:lineRule="exact"/>
        <w:rPr>
          <w:sz w:val="20"/>
          <w:szCs w:val="20"/>
          <w:color w:val="auto"/>
        </w:rPr>
      </w:pPr>
    </w:p>
    <w:p>
      <w:pPr>
        <w:ind w:left="200" w:right="340" w:firstLine="441"/>
        <w:spacing w:after="0" w:line="239" w:lineRule="auto"/>
        <w:rPr>
          <w:sz w:val="20"/>
          <w:szCs w:val="20"/>
          <w:color w:val="auto"/>
        </w:rPr>
      </w:pPr>
      <w:r>
        <w:rPr>
          <w:rFonts w:ascii="Arial" w:cs="Arial" w:eastAsia="Arial" w:hAnsi="Arial"/>
          <w:sz w:val="18"/>
          <w:szCs w:val="18"/>
          <w:color w:val="auto"/>
        </w:rPr>
        <w:t>Our equity compensation program is a broad-based, long-term employee rewards program that is intended to attract, retain and motivate our employees, officers and directors and to align their interests with those of our shareholders. We believe that our equity program is critical to our efforts to hire and retain the best talent in the extremely competitive analog semiconductor industry. All equity awards granted to our executive officers are made under the Company’s 2006 Equity Incentive Plan.</w:t>
      </w:r>
    </w:p>
    <w:p>
      <w:pPr>
        <w:spacing w:after="0" w:line="202" w:lineRule="exact"/>
        <w:rPr>
          <w:sz w:val="20"/>
          <w:szCs w:val="20"/>
          <w:color w:val="auto"/>
        </w:rPr>
      </w:pPr>
    </w:p>
    <w:p>
      <w:pPr>
        <w:jc w:val="both"/>
        <w:ind w:left="200" w:right="120" w:firstLine="441"/>
        <w:spacing w:after="0"/>
        <w:rPr>
          <w:sz w:val="20"/>
          <w:szCs w:val="20"/>
          <w:color w:val="auto"/>
        </w:rPr>
      </w:pPr>
      <w:r>
        <w:rPr>
          <w:rFonts w:ascii="Arial" w:cs="Arial" w:eastAsia="Arial" w:hAnsi="Arial"/>
          <w:sz w:val="18"/>
          <w:szCs w:val="18"/>
          <w:color w:val="auto"/>
        </w:rPr>
        <w:t>For fiscal 2019, the value of our annual equity awards to our NEOs was comprised of four equity vehicles, each approximately 25% of the target value delivered to each NEO: two forms of performance-based RSUs, or PRSUs, (relative total shareholder return, or TSR, PRSUs and financial metric PRSUs), options and time-based RSUs.</w:t>
      </w:r>
    </w:p>
    <w:p>
      <w:pPr>
        <w:spacing w:after="0" w:line="133" w:lineRule="exact"/>
        <w:rPr>
          <w:sz w:val="20"/>
          <w:szCs w:val="20"/>
          <w:color w:val="auto"/>
        </w:rPr>
      </w:pPr>
    </w:p>
    <w:p>
      <w:pPr>
        <w:ind w:left="600" w:hanging="396"/>
        <w:spacing w:after="0"/>
        <w:tabs>
          <w:tab w:leader="none" w:pos="600" w:val="left"/>
        </w:tabs>
        <w:numPr>
          <w:ilvl w:val="0"/>
          <w:numId w:val="75"/>
        </w:numPr>
        <w:rPr>
          <w:rFonts w:ascii="Arial" w:cs="Arial" w:eastAsia="Arial" w:hAnsi="Arial"/>
          <w:sz w:val="18"/>
          <w:szCs w:val="18"/>
          <w:color w:val="999999"/>
        </w:rPr>
      </w:pPr>
      <w:r>
        <w:rPr>
          <w:rFonts w:ascii="Arial" w:cs="Arial" w:eastAsia="Arial" w:hAnsi="Arial"/>
          <w:sz w:val="14"/>
          <w:szCs w:val="14"/>
          <w:b w:val="1"/>
          <w:bCs w:val="1"/>
          <w:color w:val="052B82"/>
        </w:rPr>
        <w:t>Analog Devices, Inc.</w:t>
      </w:r>
    </w:p>
    <w:p>
      <w:pPr>
        <w:sectPr>
          <w:pgSz w:w="11900" w:h="16838" w:orient="portrait"/>
          <w:cols w:equalWidth="0" w:num="1">
            <w:col w:w="11180"/>
          </w:cols>
          <w:pgMar w:left="240" w:top="459" w:right="4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205740</wp:posOffset>
            </wp:positionV>
            <wp:extent cx="2649855" cy="1371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0" w:right="360" w:firstLine="441"/>
        <w:spacing w:after="0" w:line="272" w:lineRule="auto"/>
        <w:rPr>
          <w:sz w:val="20"/>
          <w:szCs w:val="20"/>
          <w:color w:val="auto"/>
        </w:rPr>
      </w:pPr>
      <w:r>
        <w:rPr>
          <w:rFonts w:ascii="Arial" w:cs="Arial" w:eastAsia="Arial" w:hAnsi="Arial"/>
          <w:sz w:val="17"/>
          <w:szCs w:val="17"/>
          <w:i w:val="1"/>
          <w:iCs w:val="1"/>
          <w:color w:val="auto"/>
        </w:rPr>
        <w:t xml:space="preserve">PRSUs. </w:t>
      </w:r>
      <w:r>
        <w:rPr>
          <w:rFonts w:ascii="Arial" w:cs="Arial" w:eastAsia="Arial" w:hAnsi="Arial"/>
          <w:sz w:val="17"/>
          <w:szCs w:val="17"/>
          <w:color w:val="auto"/>
        </w:rPr>
        <w:t>For fiscal 2019, approximately 50% of our annual equity awards to our NEOs was in the form of PRSUs. Our fiscal 2019</w:t>
      </w:r>
      <w:r>
        <w:rPr>
          <w:rFonts w:ascii="Arial" w:cs="Arial" w:eastAsia="Arial" w:hAnsi="Arial"/>
          <w:sz w:val="17"/>
          <w:szCs w:val="17"/>
          <w:i w:val="1"/>
          <w:iCs w:val="1"/>
          <w:color w:val="auto"/>
        </w:rPr>
        <w:t xml:space="preserve"> </w:t>
      </w:r>
      <w:r>
        <w:rPr>
          <w:rFonts w:ascii="Arial" w:cs="Arial" w:eastAsia="Arial" w:hAnsi="Arial"/>
          <w:sz w:val="17"/>
          <w:szCs w:val="17"/>
          <w:color w:val="auto"/>
        </w:rPr>
        <w:t>equity compensation program includes two types of PRSUs for our executives, relative TSR PRSUs and financial metric PRSUs, to ensure that a direct link exists between the value of our long-term incentives and the value that is created for our shareholders.</w:t>
      </w:r>
    </w:p>
    <w:p>
      <w:pPr>
        <w:spacing w:after="0" w:line="177" w:lineRule="exact"/>
        <w:rPr>
          <w:sz w:val="20"/>
          <w:szCs w:val="20"/>
          <w:color w:val="auto"/>
        </w:rPr>
      </w:pPr>
    </w:p>
    <w:p>
      <w:pPr>
        <w:ind w:left="200" w:right="120" w:firstLine="441"/>
        <w:spacing w:after="0" w:line="237" w:lineRule="auto"/>
        <w:rPr>
          <w:sz w:val="20"/>
          <w:szCs w:val="20"/>
          <w:color w:val="auto"/>
        </w:rPr>
      </w:pPr>
      <w:r>
        <w:rPr>
          <w:rFonts w:ascii="Arial" w:cs="Arial" w:eastAsia="Arial" w:hAnsi="Arial"/>
          <w:sz w:val="18"/>
          <w:szCs w:val="18"/>
          <w:u w:val="single" w:color="auto"/>
          <w:color w:val="auto"/>
        </w:rPr>
        <w:t>Relative TSR PRSUs</w:t>
      </w:r>
      <w:r>
        <w:rPr>
          <w:rFonts w:ascii="Arial" w:cs="Arial" w:eastAsia="Arial" w:hAnsi="Arial"/>
          <w:sz w:val="18"/>
          <w:szCs w:val="18"/>
          <w:color w:val="auto"/>
        </w:rPr>
        <w:t>. The number of shares of ADI common stock received by an executive officer following vesting of the relative TSR PRSUs will range from 0% to a maximum of 200% of the target amount based on ADI’s TSR performance measured against the median TSR of an established comparator group over a three-year period, capped at a maximum of 100% of the initial number of PRSUs granted if the Company’s TSR is negative. For fiscal 2019, the performance parameters established by the Compensation Committee were equal to 100% plus or minus one and one-half times the difference between the Company’s TSR and the comparator group median TSR. Attainment among performance parameters is subject to interpolation on a linear basis.</w:t>
      </w:r>
    </w:p>
    <w:p>
      <w:pPr>
        <w:spacing w:after="0" w:line="205" w:lineRule="exact"/>
        <w:rPr>
          <w:sz w:val="20"/>
          <w:szCs w:val="20"/>
          <w:color w:val="auto"/>
        </w:rPr>
      </w:pPr>
    </w:p>
    <w:p>
      <w:pPr>
        <w:ind w:left="200" w:right="260" w:firstLine="441"/>
        <w:spacing w:after="0" w:line="238" w:lineRule="auto"/>
        <w:rPr>
          <w:sz w:val="20"/>
          <w:szCs w:val="20"/>
          <w:color w:val="auto"/>
        </w:rPr>
      </w:pPr>
      <w:r>
        <w:rPr>
          <w:rFonts w:ascii="Arial" w:cs="Arial" w:eastAsia="Arial" w:hAnsi="Arial"/>
          <w:sz w:val="18"/>
          <w:szCs w:val="18"/>
          <w:color w:val="auto"/>
        </w:rPr>
        <w:t>The relative TSR PRSUs granted on March 9, 2016 had a three-year performance period that ended on March 9, 2019. The comparative peer group consisted of companies represented in the Philadelphia Semiconductor Index (SOX Index) as of the grant date that are included in the SOX Index for the entire performance period. On a three-year cumulative basis, our TSR performance was 74.53%, compared to the median comparative peer group TSR of 79.04%. The median comparative peer group TSR performance exceeded the Company’s TSR performance, which resulted in a payout percentage of 90.98% of target.</w:t>
      </w:r>
    </w:p>
    <w:p>
      <w:pPr>
        <w:spacing w:after="0" w:line="203" w:lineRule="exact"/>
        <w:rPr>
          <w:sz w:val="20"/>
          <w:szCs w:val="20"/>
          <w:color w:val="auto"/>
        </w:rPr>
      </w:pPr>
    </w:p>
    <w:p>
      <w:pPr>
        <w:ind w:left="200" w:right="120" w:firstLine="441"/>
        <w:spacing w:after="0" w:line="237" w:lineRule="auto"/>
        <w:rPr>
          <w:sz w:val="20"/>
          <w:szCs w:val="20"/>
          <w:color w:val="auto"/>
        </w:rPr>
      </w:pPr>
      <w:r>
        <w:rPr>
          <w:rFonts w:ascii="Arial" w:cs="Arial" w:eastAsia="Arial" w:hAnsi="Arial"/>
          <w:sz w:val="18"/>
          <w:szCs w:val="18"/>
          <w:color w:val="auto"/>
        </w:rPr>
        <w:t>The comparator group designated by the Compensation Committee for the relative TSR PRSUs granted in fiscal 2019 once again consisted of the companies represented in the SOX Index as of the grant date that are included in the SOX Index for the entire performance period. The Compensation Committee chose this comparator group because it consists of publicly traded companies, which compete in the semiconductor industry, are representative of likely alternative investment opportunities for our investors, compete with us for talent, and are similar to ADI in their product and services offerings and business models. Consistent with our Compensation Committee’s desire to tie pay to performance, the value of each of these awards is directly linked to the long-term performance of our stock price.</w:t>
      </w:r>
    </w:p>
    <w:p>
      <w:pPr>
        <w:spacing w:after="0" w:line="185" w:lineRule="exact"/>
        <w:rPr>
          <w:sz w:val="20"/>
          <w:szCs w:val="20"/>
          <w:color w:val="auto"/>
        </w:rPr>
      </w:pPr>
    </w:p>
    <w:p>
      <w:pPr>
        <w:ind w:left="200" w:firstLine="441"/>
        <w:spacing w:after="0" w:line="237" w:lineRule="auto"/>
        <w:rPr>
          <w:sz w:val="20"/>
          <w:szCs w:val="20"/>
          <w:color w:val="auto"/>
        </w:rPr>
      </w:pPr>
      <w:r>
        <w:rPr>
          <w:rFonts w:ascii="Arial" w:cs="Arial" w:eastAsia="Arial" w:hAnsi="Arial"/>
          <w:sz w:val="18"/>
          <w:szCs w:val="18"/>
          <w:u w:val="single" w:color="auto"/>
          <w:color w:val="auto"/>
        </w:rPr>
        <w:t>Financial Metric PRSUs</w:t>
      </w:r>
      <w:r>
        <w:rPr>
          <w:rFonts w:ascii="Arial" w:cs="Arial" w:eastAsia="Arial" w:hAnsi="Arial"/>
          <w:sz w:val="18"/>
          <w:szCs w:val="18"/>
          <w:i w:val="1"/>
          <w:iCs w:val="1"/>
          <w:color w:val="auto"/>
        </w:rPr>
        <w:t>.</w:t>
      </w:r>
      <w:r>
        <w:rPr>
          <w:rFonts w:ascii="Arial" w:cs="Arial" w:eastAsia="Arial" w:hAnsi="Arial"/>
          <w:sz w:val="18"/>
          <w:szCs w:val="18"/>
          <w:color w:val="auto"/>
        </w:rPr>
        <w:t xml:space="preserve"> New to our executive equity compensation program for fiscal 2019, the Compensation Committee included financial metric PRSUs, based on non-GAAP operating profit in dollars, for our executives to incentivize long-term profitable growth measured over one-year, two-year cumulative and three-year cumulative time periods. The Compensation Committee selected this metric because it is a key measure that executives use both internally to drive business decisions and externally when speaking to investors about Company results and progress against execution of the Company’s strategy. The number of shares of ADI common stock received by an executive officer following vesting of the financial metric PRSUs will range from 0% to a maximum of 200% of the target amount based on the Company’s one-year, two-year cumulative and three-year cumulative non-GAAP OPBT targets set by the Compensation Committee, measured as a dollar value. The Compensation Committee will determine the level of achievement of each tranche of financial metric PRSUs after the completion of each of the one-year, two-year cumulative and three-year cumulative performance periods. After such determination, the number of shares of ADI common stock earned by an executive remains subject to a time-based service requirement and will vest on the third anniversary of the grant date, subject to the executive’s employment through such date. In December 2019, the Compensation Committee determined that the one-year non-GAAP operating profit threshold set at the beginning of fiscal 2019 relating to the financial metric PRSUs granted in March 2019 had not been met, which resulted in zero shares being earned by the Company’s executives under this incentive compensation vehicle for that period.</w:t>
      </w:r>
    </w:p>
    <w:p>
      <w:pPr>
        <w:spacing w:after="0" w:line="19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We use stock options as a way to reward long-term value creation.</w:t>
      </w:r>
    </w:p>
    <w:p>
      <w:pPr>
        <w:spacing w:after="0" w:line="212" w:lineRule="exact"/>
        <w:rPr>
          <w:sz w:val="20"/>
          <w:szCs w:val="20"/>
          <w:color w:val="auto"/>
        </w:rPr>
      </w:pPr>
    </w:p>
    <w:p>
      <w:pPr>
        <w:ind w:left="200" w:right="80" w:firstLine="441"/>
        <w:spacing w:after="0" w:line="251" w:lineRule="auto"/>
        <w:rPr>
          <w:sz w:val="20"/>
          <w:szCs w:val="20"/>
          <w:color w:val="auto"/>
        </w:rPr>
      </w:pPr>
      <w:r>
        <w:rPr>
          <w:rFonts w:ascii="Arial" w:cs="Arial" w:eastAsia="Arial" w:hAnsi="Arial"/>
          <w:sz w:val="18"/>
          <w:szCs w:val="18"/>
          <w:i w:val="1"/>
          <w:iCs w:val="1"/>
          <w:color w:val="auto"/>
        </w:rPr>
        <w:t xml:space="preserve">Time-Based RSUs. </w:t>
      </w:r>
      <w:r>
        <w:rPr>
          <w:rFonts w:ascii="Arial" w:cs="Arial" w:eastAsia="Arial" w:hAnsi="Arial"/>
          <w:sz w:val="18"/>
          <w:szCs w:val="18"/>
          <w:color w:val="auto"/>
        </w:rPr>
        <w:t>In a volatile stock market, time-based RSUs continue to provide value when stock options may not, which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 believes will be useful in retaining talented executives and employees in uncertain economic times. In this way, we use time-based RSUs as a retention tool and to enable our executives to accumulate stock ownership in the Company.</w:t>
      </w:r>
    </w:p>
    <w:p>
      <w:pPr>
        <w:spacing w:after="0" w:line="192" w:lineRule="exact"/>
        <w:rPr>
          <w:sz w:val="20"/>
          <w:szCs w:val="20"/>
          <w:color w:val="auto"/>
        </w:rPr>
      </w:pPr>
    </w:p>
    <w:p>
      <w:pPr>
        <w:ind w:left="200" w:right="600" w:firstLine="441"/>
        <w:spacing w:after="0" w:line="246" w:lineRule="auto"/>
        <w:rPr>
          <w:sz w:val="20"/>
          <w:szCs w:val="20"/>
          <w:color w:val="auto"/>
        </w:rPr>
      </w:pPr>
      <w:r>
        <w:rPr>
          <w:rFonts w:ascii="Arial" w:cs="Arial" w:eastAsia="Arial" w:hAnsi="Arial"/>
          <w:sz w:val="18"/>
          <w:szCs w:val="18"/>
          <w:color w:val="auto"/>
        </w:rPr>
        <w:t>We set a goal each year to keep the shareholder dilution related to our equity compensation program to a certain percentage, calculated as the total number of shares of common stock underlying new equity</w:t>
      </w:r>
    </w:p>
    <w:p>
      <w:pPr>
        <w:spacing w:after="0" w:line="129"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4"/>
          <w:szCs w:val="14"/>
          <w:b w:val="1"/>
          <w:bCs w:val="1"/>
          <w:color w:val="052B82"/>
        </w:rPr>
        <w:t>2020 Proxy Statement</w:t>
      </w:r>
      <w:r>
        <w:rPr>
          <w:sz w:val="20"/>
          <w:szCs w:val="20"/>
          <w:color w:val="auto"/>
        </w:rPr>
        <w:tab/>
      </w:r>
      <w:r>
        <w:rPr>
          <w:rFonts w:ascii="Arial" w:cs="Arial" w:eastAsia="Arial" w:hAnsi="Arial"/>
          <w:sz w:val="17"/>
          <w:szCs w:val="17"/>
          <w:color w:val="999999"/>
        </w:rPr>
        <w:t>47</w:t>
      </w:r>
    </w:p>
    <w:p>
      <w:pPr>
        <w:sectPr>
          <w:pgSz w:w="11900" w:h="16838" w:orient="portrait"/>
          <w:cols w:equalWidth="0" w:num="1">
            <w:col w:w="11220"/>
          </w:cols>
          <w:pgMar w:left="24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2649855" cy="1371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grants made during the year, divided by the total number of outstanding shares of our common stock at the beginning of the year. Our gross and net dilution rate have been consistently lower than that of our peers over the past several years. For fiscal 2019, our gross dilution percentage was 0.5%, compared to an average of 1.4% for our peer group, and our net dilution percentage was 0.3%, compared to an average of 1.2% for our peers. For the last five years, our gross dilution percentage was 0.8% on average, compared to 1.4% on average for our peer group, and our net dilution percentage was 0.6% on average, compared to 0.9% on average for our peer group. For the fiscal year ending October 31, 2020, our Board of Directors set the maximum aggregate number of shares of common stock with respect to which awards may be granted under the Company’s shareholder approved equity plans, in the aggregate, at 3.7 million shares, which equals approximately 1.0% of our outstanding common stock at the end of fiscal 2019.</w:t>
      </w:r>
    </w:p>
    <w:p>
      <w:pPr>
        <w:spacing w:after="0" w:line="29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Executive Stock Ownership Guidelines</w:t>
      </w:r>
    </w:p>
    <w:p>
      <w:pPr>
        <w:spacing w:after="0" w:line="126" w:lineRule="exact"/>
        <w:rPr>
          <w:sz w:val="20"/>
          <w:szCs w:val="20"/>
          <w:color w:val="auto"/>
        </w:rPr>
      </w:pPr>
    </w:p>
    <w:p>
      <w:pPr>
        <w:ind w:left="200" w:right="60" w:firstLine="441"/>
        <w:spacing w:after="0" w:line="253" w:lineRule="auto"/>
        <w:rPr>
          <w:sz w:val="20"/>
          <w:szCs w:val="20"/>
          <w:color w:val="auto"/>
        </w:rPr>
      </w:pPr>
      <w:r>
        <w:rPr>
          <w:rFonts w:ascii="Arial" w:cs="Arial" w:eastAsia="Arial" w:hAnsi="Arial"/>
          <w:sz w:val="17"/>
          <w:szCs w:val="17"/>
          <w:color w:val="auto"/>
        </w:rPr>
        <w:t>Under our guidelines, the target stock ownership levels are two times annual base salary for the Chief Executive Officer and one times annual base salary for other executive officers. The Chief Executive Officer has four years from the date of his appointment as CEO to achieve his targeted level. Executive officers other than the CEO have five years from the date he or she becomes an executive officer to achieve their targeted level. Shares subject to unexercised options, whether or not vested, and unvested PRSUs whose performance has not yet been certified by the Compensation Committee will not be counted for purposes of satisfying these guidelines. RSUs (whether or not vested) and unvested PRSUs whose performance has been certified by the Compensation Committee are counted for purposes of satisfying the guidelines. All of our executive officers were in compliance with our stock ownership guidelines as of the end of fiscal 2019.</w:t>
      </w:r>
    </w:p>
    <w:p>
      <w:pPr>
        <w:spacing w:after="0" w:line="27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Retirement and Other Employee Benefits</w:t>
      </w:r>
    </w:p>
    <w:p>
      <w:pPr>
        <w:spacing w:after="0" w:line="126"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7"/>
          <w:szCs w:val="17"/>
          <w:color w:val="auto"/>
        </w:rPr>
        <w:t>We maintain broad-based benefits for all employees, including health and dental insurance, life and disability insurance and retirement plans. Executives are eligible to participate in all of our employee benefit plans on the same basis as our other employees. The retirement and other employee benefit component of our executive compensation program is designed to attract excellent candidates by providing financial protection and security, and reward our executives for the total commitment we expect from them in service to ADI.</w:t>
      </w:r>
    </w:p>
    <w:p>
      <w:pPr>
        <w:spacing w:after="0" w:line="189" w:lineRule="exact"/>
        <w:rPr>
          <w:sz w:val="20"/>
          <w:szCs w:val="20"/>
          <w:color w:val="auto"/>
        </w:rPr>
      </w:pPr>
    </w:p>
    <w:p>
      <w:pPr>
        <w:ind w:left="200" w:right="160" w:firstLine="441"/>
        <w:spacing w:after="0" w:line="239" w:lineRule="auto"/>
        <w:rPr>
          <w:sz w:val="20"/>
          <w:szCs w:val="20"/>
          <w:color w:val="auto"/>
        </w:rPr>
      </w:pPr>
      <w:r>
        <w:rPr>
          <w:rFonts w:ascii="Arial" w:cs="Arial" w:eastAsia="Arial" w:hAnsi="Arial"/>
          <w:sz w:val="18"/>
          <w:szCs w:val="18"/>
          <w:color w:val="auto"/>
        </w:rPr>
        <w:t>We maintain a Deferred Compensation Plan, or DCP, under which our executive officers and directors, along with a group of highly compensated management and engineering employees, are eligible to defer receipt of some or all of their cash compensation. This plan offers many of the same investment options as our 401(k) plan. Under our DCP, we provide all participants (other than non-employee directors) with Company contributions equal to 8% of eligible deferred contributions.</w:t>
      </w:r>
    </w:p>
    <w:p>
      <w:pPr>
        <w:spacing w:after="0" w:line="202" w:lineRule="exact"/>
        <w:rPr>
          <w:sz w:val="20"/>
          <w:szCs w:val="20"/>
          <w:color w:val="auto"/>
        </w:rPr>
      </w:pPr>
    </w:p>
    <w:p>
      <w:pPr>
        <w:ind w:left="200" w:firstLine="441"/>
        <w:spacing w:after="0" w:line="237" w:lineRule="auto"/>
        <w:rPr>
          <w:sz w:val="20"/>
          <w:szCs w:val="20"/>
          <w:color w:val="auto"/>
        </w:rPr>
      </w:pPr>
      <w:r>
        <w:rPr>
          <w:rFonts w:ascii="Arial" w:cs="Arial" w:eastAsia="Arial" w:hAnsi="Arial"/>
          <w:sz w:val="18"/>
          <w:szCs w:val="18"/>
          <w:color w:val="auto"/>
        </w:rPr>
        <w:t>In the United States during fiscal 2019, we contributed to our 401(k) plan on behalf of all eligible employees, including our NEOs, amounts equal to 5% of the employee’s eligible compensation, plus matching contributions up to an additional 3%, subject to Internal Revenue Service, or IRS, limits. For those employees who also participated in the DCP described above, any compensation that was deferred under that plan was not considered eligible compensation for purposes of our Company contributions under the 401(k) plan. We also provided employees who are eligible to participate in the 401(k) plan but whose compensation is greater than the amount that may be taken into account in any plan year as a result of IRS limits ($280,000 for fiscal 2019), with a taxable payment equal to 8% of the employee’s 401(k)-eligible compensation in excess of the IRS limit.</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Limited Perquisites</w:t>
      </w:r>
    </w:p>
    <w:p>
      <w:pPr>
        <w:spacing w:after="0" w:line="126" w:lineRule="exact"/>
        <w:rPr>
          <w:sz w:val="20"/>
          <w:szCs w:val="20"/>
          <w:color w:val="auto"/>
        </w:rPr>
      </w:pPr>
    </w:p>
    <w:p>
      <w:pPr>
        <w:ind w:left="200" w:right="200" w:firstLine="441"/>
        <w:spacing w:after="0"/>
        <w:rPr>
          <w:sz w:val="20"/>
          <w:szCs w:val="20"/>
          <w:color w:val="auto"/>
        </w:rPr>
      </w:pPr>
      <w:r>
        <w:rPr>
          <w:rFonts w:ascii="Arial" w:cs="Arial" w:eastAsia="Arial" w:hAnsi="Arial"/>
          <w:sz w:val="18"/>
          <w:szCs w:val="18"/>
          <w:color w:val="auto"/>
        </w:rPr>
        <w:t>We do not award extensive perquisites to our executive officers. In fiscal 2019, we provided a voluntary health services benefit to executives and reimbursement for financial and tax planning services of up to $15,000 for the Chief Executive Officer and up to $10,000 for the other executive officers. These items are detailed in the Summary Compensation Table below.</w:t>
      </w:r>
    </w:p>
    <w:p>
      <w:pPr>
        <w:spacing w:after="0" w:line="203" w:lineRule="exact"/>
        <w:rPr>
          <w:sz w:val="20"/>
          <w:szCs w:val="20"/>
          <w:color w:val="auto"/>
        </w:rPr>
      </w:pPr>
    </w:p>
    <w:p>
      <w:pPr>
        <w:ind w:left="200" w:right="320" w:firstLine="441"/>
        <w:spacing w:after="0" w:line="239" w:lineRule="auto"/>
        <w:rPr>
          <w:sz w:val="20"/>
          <w:szCs w:val="20"/>
          <w:color w:val="auto"/>
        </w:rPr>
      </w:pPr>
      <w:r>
        <w:rPr>
          <w:rFonts w:ascii="Arial" w:cs="Arial" w:eastAsia="Arial" w:hAnsi="Arial"/>
          <w:sz w:val="18"/>
          <w:szCs w:val="18"/>
          <w:color w:val="auto"/>
        </w:rPr>
        <w:t>We also maintain an expatriate program that provides certain benefits to our employees who accept expatriate assignments. Our executive officers are entitled to the same benefits under the Company’s expatriate program as other Company employees. Under the Company’s expatriate program, such benefits include providing gross-ups on taxable foreign assignment assistance and making tax equalization</w:t>
      </w:r>
    </w:p>
    <w:p>
      <w:pPr>
        <w:spacing w:after="0" w:line="132" w:lineRule="exact"/>
        <w:rPr>
          <w:sz w:val="20"/>
          <w:szCs w:val="20"/>
          <w:color w:val="auto"/>
        </w:rPr>
      </w:pPr>
    </w:p>
    <w:p>
      <w:pPr>
        <w:ind w:left="600" w:hanging="396"/>
        <w:spacing w:after="0"/>
        <w:tabs>
          <w:tab w:leader="none" w:pos="600" w:val="left"/>
        </w:tabs>
        <w:numPr>
          <w:ilvl w:val="0"/>
          <w:numId w:val="76"/>
        </w:numPr>
        <w:rPr>
          <w:rFonts w:ascii="Arial" w:cs="Arial" w:eastAsia="Arial" w:hAnsi="Arial"/>
          <w:sz w:val="18"/>
          <w:szCs w:val="18"/>
          <w:color w:val="999999"/>
        </w:rPr>
      </w:pPr>
      <w:r>
        <w:rPr>
          <w:rFonts w:ascii="Arial" w:cs="Arial" w:eastAsia="Arial" w:hAnsi="Arial"/>
          <w:sz w:val="14"/>
          <w:szCs w:val="14"/>
          <w:b w:val="1"/>
          <w:bCs w:val="1"/>
          <w:color w:val="052B82"/>
        </w:rPr>
        <w:t>Analog Devices, Inc.</w:t>
      </w:r>
    </w:p>
    <w:p>
      <w:pPr>
        <w:sectPr>
          <w:pgSz w:w="11900" w:h="16838" w:orient="portrait"/>
          <w:cols w:equalWidth="0" w:num="1">
            <w:col w:w="11200"/>
          </w:cols>
          <w:pgMar w:left="24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205740</wp:posOffset>
            </wp:positionV>
            <wp:extent cx="2649855" cy="1371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0" w:right="300"/>
        <w:spacing w:after="0" w:line="246" w:lineRule="auto"/>
        <w:rPr>
          <w:sz w:val="20"/>
          <w:szCs w:val="20"/>
          <w:color w:val="auto"/>
        </w:rPr>
      </w:pPr>
      <w:r>
        <w:rPr>
          <w:rFonts w:ascii="Arial" w:cs="Arial" w:eastAsia="Arial" w:hAnsi="Arial"/>
          <w:sz w:val="18"/>
          <w:szCs w:val="18"/>
          <w:color w:val="auto"/>
        </w:rPr>
        <w:t>payments on behalf of (or to) expatriate employees who, as a result of their expatriate assignment, incur tax liabilities in excess of what they would have incurred had they not accepted the expatriate assignment.</w:t>
      </w:r>
    </w:p>
    <w:p>
      <w:pPr>
        <w:spacing w:after="0" w:line="197" w:lineRule="exact"/>
        <w:rPr>
          <w:sz w:val="20"/>
          <w:szCs w:val="20"/>
          <w:color w:val="auto"/>
        </w:rPr>
      </w:pPr>
    </w:p>
    <w:p>
      <w:pPr>
        <w:ind w:left="200" w:right="20" w:firstLine="441"/>
        <w:spacing w:after="0" w:line="239" w:lineRule="auto"/>
        <w:rPr>
          <w:sz w:val="20"/>
          <w:szCs w:val="20"/>
          <w:color w:val="auto"/>
        </w:rPr>
      </w:pPr>
      <w:r>
        <w:rPr>
          <w:rFonts w:ascii="Arial" w:cs="Arial" w:eastAsia="Arial" w:hAnsi="Arial"/>
          <w:sz w:val="18"/>
          <w:szCs w:val="18"/>
          <w:color w:val="auto"/>
        </w:rPr>
        <w:t>On occasion, and with the approval of our CEO, an officer or director may have his or her family members accompany him or her on the Company’s leased airplane when traveling on business. The executive or director may incur taxable income for any such travel in accordance with applicable tax rules. We do not gross-up or in any way compensate the officer or director for any income tax owed for any such travel. No such travel occurred in fiscal 2019.</w:t>
      </w:r>
    </w:p>
    <w:p>
      <w:pPr>
        <w:spacing w:after="0" w:line="28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Compensation Recovery</w:t>
      </w:r>
    </w:p>
    <w:p>
      <w:pPr>
        <w:spacing w:after="0" w:line="126" w:lineRule="exact"/>
        <w:rPr>
          <w:sz w:val="20"/>
          <w:szCs w:val="20"/>
          <w:color w:val="auto"/>
        </w:rPr>
      </w:pPr>
    </w:p>
    <w:p>
      <w:pPr>
        <w:ind w:left="200" w:right="240" w:firstLine="441"/>
        <w:spacing w:after="0" w:line="239" w:lineRule="auto"/>
        <w:rPr>
          <w:sz w:val="20"/>
          <w:szCs w:val="20"/>
          <w:color w:val="auto"/>
        </w:rPr>
      </w:pPr>
      <w:r>
        <w:rPr>
          <w:rFonts w:ascii="Arial" w:cs="Arial" w:eastAsia="Arial" w:hAnsi="Arial"/>
          <w:sz w:val="18"/>
          <w:szCs w:val="18"/>
          <w:color w:val="auto"/>
        </w:rPr>
        <w:t>Under the Sarbanes-Oxley Act, in the event of misconduct that results in a financial restatement that would have reduced a previously paid incentive amount, we can recoup those improper payments from our Chief Executive Officer and Chief Financial Officer. We will implement a broader clawback policy that is compliant with the regulations mandated under the Dodd-Frank Act when the regulations are adopted by the SEC and corresponding listing standards become effective.</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Fiscal 2019 Financial Results and Shareholder Value Creation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166370</wp:posOffset>
            </wp:positionV>
            <wp:extent cx="5188585" cy="29502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88585" cy="2950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4"/>
          <w:szCs w:val="14"/>
          <w:b w:val="1"/>
          <w:bCs w:val="1"/>
          <w:color w:val="052B82"/>
        </w:rPr>
        <w:t>2020 Proxy Statement</w:t>
      </w:r>
      <w:r>
        <w:rPr>
          <w:sz w:val="20"/>
          <w:szCs w:val="20"/>
          <w:color w:val="auto"/>
        </w:rPr>
        <w:tab/>
      </w:r>
      <w:r>
        <w:rPr>
          <w:rFonts w:ascii="Arial" w:cs="Arial" w:eastAsia="Arial" w:hAnsi="Arial"/>
          <w:sz w:val="17"/>
          <w:szCs w:val="17"/>
          <w:color w:val="999999"/>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90805</wp:posOffset>
            </wp:positionV>
            <wp:extent cx="76327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82" w:lineRule="exact"/>
        <w:rPr>
          <w:sz w:val="20"/>
          <w:szCs w:val="20"/>
          <w:color w:val="auto"/>
        </w:rPr>
      </w:pPr>
    </w:p>
    <w:p>
      <w:pPr>
        <w:ind w:left="420" w:right="180" w:hanging="216"/>
        <w:spacing w:after="0" w:line="183" w:lineRule="auto"/>
        <w:tabs>
          <w:tab w:leader="none" w:pos="420" w:val="left"/>
        </w:tabs>
        <w:numPr>
          <w:ilvl w:val="0"/>
          <w:numId w:val="77"/>
        </w:numPr>
        <w:rPr>
          <w:rFonts w:ascii="Arial" w:cs="Arial" w:eastAsia="Arial" w:hAnsi="Arial"/>
          <w:sz w:val="24"/>
          <w:szCs w:val="24"/>
          <w:color w:val="auto"/>
          <w:vertAlign w:val="superscript"/>
        </w:rPr>
      </w:pPr>
      <w:r>
        <w:rPr>
          <w:rFonts w:ascii="Arial" w:cs="Arial" w:eastAsia="Arial" w:hAnsi="Arial"/>
          <w:sz w:val="14"/>
          <w:szCs w:val="14"/>
          <w:color w:val="auto"/>
        </w:rPr>
        <w:t>Total Shareholder Return calculation is share price appreciation plus cumulative cash dividend payments, and the effect of reinvesting those dividends into the security, for the three-and five-year periods ended November 2, 2019.</w:t>
      </w:r>
    </w:p>
    <w:p>
      <w:pPr>
        <w:sectPr>
          <w:pgSz w:w="11900" w:h="16838" w:orient="portrait"/>
          <w:cols w:equalWidth="0" w:num="1">
            <w:col w:w="11220"/>
          </w:cols>
          <w:pgMar w:left="24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2649855" cy="1371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Chief Executive Officer Compensation</w:t>
      </w:r>
    </w:p>
    <w:p>
      <w:pPr>
        <w:spacing w:after="0" w:line="126" w:lineRule="exact"/>
        <w:rPr>
          <w:sz w:val="20"/>
          <w:szCs w:val="20"/>
          <w:color w:val="auto"/>
        </w:rPr>
      </w:pPr>
    </w:p>
    <w:p>
      <w:pPr>
        <w:ind w:left="200" w:right="20" w:firstLine="441"/>
        <w:spacing w:after="0" w:line="237" w:lineRule="auto"/>
        <w:rPr>
          <w:sz w:val="20"/>
          <w:szCs w:val="20"/>
          <w:color w:val="auto"/>
        </w:rPr>
      </w:pPr>
      <w:r>
        <w:rPr>
          <w:rFonts w:ascii="Arial" w:cs="Arial" w:eastAsia="Arial" w:hAnsi="Arial"/>
          <w:sz w:val="18"/>
          <w:szCs w:val="18"/>
          <w:color w:val="auto"/>
        </w:rPr>
        <w:t>Mr. Roche has served as our Chief Executive Officer since May 2013. Under his leadership, the Company has successfully executed its financial, strategic and operational objectives intended to drive long-term profitable growth and increase shareholder value. In 2019, ADI delivered solid financial results against a backdrop of challenging macroeconomic conditions and ongoing trade uncertainty. Importantly, we made progress positioning ADI for continued long-term success through deepening our customer engagements, continuing to invest in our business to drive innovation, extracting value from recent acquisitions and capitalizing on secular trends to drive addressable markets and drive diversified growth. We also demonstrated our commitment to deliver strong shareholder returns during fiscal 2019, returning approximately $1.4 billion to our shareholders in the form of dividends and share buybacks.</w:t>
      </w:r>
    </w:p>
    <w:p>
      <w:pPr>
        <w:spacing w:after="0" w:line="203" w:lineRule="exact"/>
        <w:rPr>
          <w:sz w:val="20"/>
          <w:szCs w:val="20"/>
          <w:color w:val="auto"/>
        </w:rPr>
      </w:pPr>
    </w:p>
    <w:p>
      <w:pPr>
        <w:ind w:left="200" w:firstLine="441"/>
        <w:spacing w:after="0" w:line="238" w:lineRule="auto"/>
        <w:rPr>
          <w:sz w:val="20"/>
          <w:szCs w:val="20"/>
          <w:color w:val="auto"/>
        </w:rPr>
      </w:pPr>
      <w:r>
        <w:rPr>
          <w:rFonts w:ascii="Arial" w:cs="Arial" w:eastAsia="Arial" w:hAnsi="Arial"/>
          <w:sz w:val="18"/>
          <w:szCs w:val="18"/>
          <w:color w:val="auto"/>
        </w:rPr>
        <w:t>In determining Mr. Roche’s compensation as Chief Executive Officer for fiscal 2019, the Compensation Committee considered all elements of Mr. Roche’s compensation and compared his total target compensation to the median of Chief Executive Officer compensation within our peer companies. They also considered Mr. Roche’s experience, tenure, and performance executing the Company’s strategy and driving long-term shareholder value. The design of Mr. Roche’s fiscal 2019 compensation provided incentives that linked realized compensation with Company performance and was comprised of the following:</w:t>
      </w:r>
    </w:p>
    <w:p>
      <w:pPr>
        <w:spacing w:after="0" w:line="108" w:lineRule="exact"/>
        <w:rPr>
          <w:sz w:val="20"/>
          <w:szCs w:val="20"/>
          <w:color w:val="auto"/>
        </w:rPr>
      </w:pPr>
    </w:p>
    <w:p>
      <w:pPr>
        <w:ind w:left="1180" w:hanging="436"/>
        <w:spacing w:after="0"/>
        <w:tabs>
          <w:tab w:leader="none" w:pos="11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Annual base salary of $1,050,000, an increase of 5% compared to Mr. Roche’s fiscal 2018 annual base salary of $1,000,000;</w:t>
      </w:r>
    </w:p>
    <w:p>
      <w:pPr>
        <w:spacing w:after="0" w:line="117" w:lineRule="exact"/>
        <w:rPr>
          <w:rFonts w:ascii="Arial" w:cs="Arial" w:eastAsia="Arial" w:hAnsi="Arial"/>
          <w:sz w:val="18"/>
          <w:szCs w:val="18"/>
          <w:color w:val="auto"/>
        </w:rPr>
      </w:pPr>
    </w:p>
    <w:p>
      <w:pPr>
        <w:ind w:left="1180" w:right="1060" w:hanging="436"/>
        <w:spacing w:after="0" w:line="246" w:lineRule="auto"/>
        <w:tabs>
          <w:tab w:leader="none" w:pos="11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Annual target bonus of 150% of base salary, calculated in accordance with the terms of the Company’s executive performance incentive plan, which remain unchanged from fiscal 2018; and</w:t>
      </w:r>
    </w:p>
    <w:p>
      <w:pPr>
        <w:spacing w:after="0" w:line="102" w:lineRule="exact"/>
        <w:rPr>
          <w:rFonts w:ascii="Arial" w:cs="Arial" w:eastAsia="Arial" w:hAnsi="Arial"/>
          <w:sz w:val="18"/>
          <w:szCs w:val="18"/>
          <w:color w:val="auto"/>
        </w:rPr>
      </w:pPr>
    </w:p>
    <w:p>
      <w:pPr>
        <w:ind w:left="1180" w:right="180" w:hanging="436"/>
        <w:spacing w:after="0" w:line="236" w:lineRule="auto"/>
        <w:tabs>
          <w:tab w:leader="none" w:pos="11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relative TSR PRSU grant with a grant date fair value of $2,603,177 (22,763 shares), a financial metric PRSU grant with a grant date fair value of $2,094,298 (22,763 shares), a time-based RSU grant with a grant date fair value of $2,342,085 (22,763 shares), and an option grant with a grant date value of $2,362,177 (100,803 shares). The number of shares, if any, earned under the relative TSR PRSU grant will vest three years and fourteen days after its grant date, subject to the level of attainment of the performance parameters. The number of shares, if any, earned under the financial metric PRSU grant will vest on the third anniversary of the grant date, subject to the level of attainment of the performance parameters. Mr. Roche’s time-based RSU grant will vest 25% per year on each of the first four anniversaries of the date of grant. Mr. Roche’s option grant will vest 25% per year on each of the first four anniversaries of the date of grant. These vesting terms are identical to those generally contained in equity grants made to our employees in fiscal 2019.</w:t>
      </w:r>
    </w:p>
    <w:p>
      <w:pPr>
        <w:spacing w:after="0" w:line="138" w:lineRule="exact"/>
        <w:rPr>
          <w:sz w:val="20"/>
          <w:szCs w:val="20"/>
          <w:color w:val="auto"/>
        </w:rPr>
      </w:pPr>
    </w:p>
    <w:p>
      <w:pPr>
        <w:ind w:left="600" w:hanging="396"/>
        <w:spacing w:after="0"/>
        <w:tabs>
          <w:tab w:leader="none" w:pos="600" w:val="left"/>
        </w:tabs>
        <w:numPr>
          <w:ilvl w:val="0"/>
          <w:numId w:val="79"/>
        </w:numPr>
        <w:rPr>
          <w:rFonts w:ascii="Arial" w:cs="Arial" w:eastAsia="Arial" w:hAnsi="Arial"/>
          <w:sz w:val="18"/>
          <w:szCs w:val="18"/>
          <w:color w:val="999999"/>
        </w:rPr>
      </w:pPr>
      <w:r>
        <w:rPr>
          <w:rFonts w:ascii="Arial" w:cs="Arial" w:eastAsia="Arial" w:hAnsi="Arial"/>
          <w:sz w:val="14"/>
          <w:szCs w:val="14"/>
          <w:b w:val="1"/>
          <w:bCs w:val="1"/>
          <w:color w:val="052B82"/>
        </w:rPr>
        <w:t>Analog Devices, Inc.</w:t>
      </w:r>
    </w:p>
    <w:p>
      <w:pPr>
        <w:sectPr>
          <w:pgSz w:w="11900" w:h="16838" w:orient="portrait"/>
          <w:cols w:equalWidth="0" w:num="1">
            <w:col w:w="11220"/>
          </w:cols>
          <w:pgMar w:left="24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205740</wp:posOffset>
            </wp:positionV>
            <wp:extent cx="2649855" cy="1371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for Other Named Executive Officers</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Base Salary and Individual Target Bonus Percentages</w:t>
      </w:r>
    </w:p>
    <w:p>
      <w:pPr>
        <w:spacing w:after="0" w:line="126" w:lineRule="exact"/>
        <w:rPr>
          <w:sz w:val="20"/>
          <w:szCs w:val="20"/>
          <w:color w:val="auto"/>
        </w:rPr>
      </w:pPr>
    </w:p>
    <w:p>
      <w:pPr>
        <w:ind w:left="200" w:right="200" w:firstLine="441"/>
        <w:spacing w:after="0" w:line="246" w:lineRule="auto"/>
        <w:rPr>
          <w:sz w:val="20"/>
          <w:szCs w:val="20"/>
          <w:color w:val="auto"/>
        </w:rPr>
      </w:pPr>
      <w:r>
        <w:rPr>
          <w:rFonts w:ascii="Arial" w:cs="Arial" w:eastAsia="Arial" w:hAnsi="Arial"/>
          <w:sz w:val="18"/>
          <w:szCs w:val="18"/>
          <w:color w:val="auto"/>
        </w:rPr>
        <w:t>During fiscal 2019, the Compensation Committee authorized base salaries and target bonus percentages for our NEOs (other than our Chief Executive Officer), as specified in the table below:</w:t>
      </w:r>
    </w:p>
    <w:p>
      <w:pPr>
        <w:spacing w:after="0" w:line="225" w:lineRule="exact"/>
        <w:rPr>
          <w:sz w:val="20"/>
          <w:szCs w:val="20"/>
          <w:color w:val="auto"/>
        </w:rPr>
      </w:pPr>
    </w:p>
    <w:tbl>
      <w:tblPr>
        <w:tblLayout w:type="fixed"/>
        <w:tblInd w:w="220" w:type="dxa"/>
        <w:tblCellMar>
          <w:top w:w="0" w:type="dxa"/>
          <w:left w:w="0" w:type="dxa"/>
          <w:bottom w:w="0" w:type="dxa"/>
          <w:right w:w="0" w:type="dxa"/>
        </w:tblCellMar>
      </w:tblPr>
      <w:tr>
        <w:trPr>
          <w:trHeight w:val="189"/>
        </w:trPr>
        <w:tc>
          <w:tcPr>
            <w:tcW w:w="2780" w:type="dxa"/>
            <w:vAlign w:val="bottom"/>
            <w:shd w:val="clear" w:color="auto" w:fill="052B82"/>
          </w:tcPr>
          <w:p>
            <w:pPr>
              <w:spacing w:after="0"/>
              <w:rPr>
                <w:sz w:val="16"/>
                <w:szCs w:val="16"/>
                <w:color w:val="auto"/>
              </w:rPr>
            </w:pPr>
          </w:p>
        </w:tc>
        <w:tc>
          <w:tcPr>
            <w:tcW w:w="1360" w:type="dxa"/>
            <w:vAlign w:val="bottom"/>
            <w:shd w:val="clear" w:color="auto" w:fill="052B82"/>
          </w:tcPr>
          <w:p>
            <w:pPr>
              <w:spacing w:after="0"/>
              <w:rPr>
                <w:sz w:val="16"/>
                <w:szCs w:val="16"/>
                <w:color w:val="auto"/>
              </w:rPr>
            </w:pPr>
          </w:p>
        </w:tc>
        <w:tc>
          <w:tcPr>
            <w:tcW w:w="1600" w:type="dxa"/>
            <w:vAlign w:val="bottom"/>
            <w:shd w:val="clear" w:color="auto" w:fill="052B82"/>
          </w:tcPr>
          <w:p>
            <w:pPr>
              <w:spacing w:after="0"/>
              <w:rPr>
                <w:sz w:val="16"/>
                <w:szCs w:val="16"/>
                <w:color w:val="auto"/>
              </w:rPr>
            </w:pPr>
          </w:p>
        </w:tc>
        <w:tc>
          <w:tcPr>
            <w:tcW w:w="1160" w:type="dxa"/>
            <w:vAlign w:val="bottom"/>
            <w:shd w:val="clear" w:color="auto" w:fill="052B82"/>
          </w:tcPr>
          <w:p>
            <w:pPr>
              <w:spacing w:after="0"/>
              <w:rPr>
                <w:sz w:val="16"/>
                <w:szCs w:val="16"/>
                <w:color w:val="auto"/>
              </w:rPr>
            </w:pPr>
          </w:p>
        </w:tc>
        <w:tc>
          <w:tcPr>
            <w:tcW w:w="154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2019 Individual</w:t>
            </w:r>
          </w:p>
        </w:tc>
        <w:tc>
          <w:tcPr>
            <w:tcW w:w="1540" w:type="dxa"/>
            <w:vAlign w:val="bottom"/>
            <w:shd w:val="clear" w:color="auto" w:fill="052B82"/>
          </w:tcPr>
          <w:p>
            <w:pPr>
              <w:spacing w:after="0"/>
              <w:rPr>
                <w:sz w:val="16"/>
                <w:szCs w:val="16"/>
                <w:color w:val="auto"/>
              </w:rPr>
            </w:pPr>
          </w:p>
        </w:tc>
        <w:tc>
          <w:tcPr>
            <w:tcW w:w="1040" w:type="dxa"/>
            <w:vAlign w:val="bottom"/>
            <w:shd w:val="clear" w:color="auto" w:fill="052B82"/>
          </w:tcPr>
          <w:p>
            <w:pPr>
              <w:spacing w:after="0"/>
              <w:rPr>
                <w:sz w:val="16"/>
                <w:szCs w:val="16"/>
                <w:color w:val="auto"/>
              </w:rPr>
            </w:pPr>
          </w:p>
        </w:tc>
      </w:tr>
      <w:tr>
        <w:trPr>
          <w:trHeight w:val="162"/>
        </w:trPr>
        <w:tc>
          <w:tcPr>
            <w:tcW w:w="2780" w:type="dxa"/>
            <w:vAlign w:val="bottom"/>
            <w:shd w:val="clear" w:color="auto" w:fill="052B82"/>
          </w:tcPr>
          <w:p>
            <w:pPr>
              <w:spacing w:after="0"/>
              <w:rPr>
                <w:sz w:val="14"/>
                <w:szCs w:val="14"/>
                <w:color w:val="auto"/>
              </w:rPr>
            </w:pPr>
          </w:p>
        </w:tc>
        <w:tc>
          <w:tcPr>
            <w:tcW w:w="1360" w:type="dxa"/>
            <w:vAlign w:val="bottom"/>
            <w:shd w:val="clear" w:color="auto" w:fill="052B82"/>
          </w:tcPr>
          <w:p>
            <w:pPr>
              <w:spacing w:after="0"/>
              <w:rPr>
                <w:sz w:val="14"/>
                <w:szCs w:val="14"/>
                <w:color w:val="auto"/>
              </w:rPr>
            </w:pPr>
          </w:p>
        </w:tc>
        <w:tc>
          <w:tcPr>
            <w:tcW w:w="1600" w:type="dxa"/>
            <w:vAlign w:val="bottom"/>
            <w:shd w:val="clear" w:color="auto" w:fill="052B82"/>
          </w:tcPr>
          <w:p>
            <w:pPr>
              <w:spacing w:after="0"/>
              <w:rPr>
                <w:sz w:val="14"/>
                <w:szCs w:val="14"/>
                <w:color w:val="auto"/>
              </w:rPr>
            </w:pPr>
          </w:p>
        </w:tc>
        <w:tc>
          <w:tcPr>
            <w:tcW w:w="1160" w:type="dxa"/>
            <w:vAlign w:val="bottom"/>
            <w:shd w:val="clear" w:color="auto" w:fill="052B82"/>
          </w:tcPr>
          <w:p>
            <w:pPr>
              <w:spacing w:after="0"/>
              <w:rPr>
                <w:sz w:val="14"/>
                <w:szCs w:val="14"/>
                <w:color w:val="auto"/>
              </w:rPr>
            </w:pPr>
          </w:p>
        </w:tc>
        <w:tc>
          <w:tcPr>
            <w:tcW w:w="154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Target Bonus as</w:t>
            </w:r>
          </w:p>
        </w:tc>
        <w:tc>
          <w:tcPr>
            <w:tcW w:w="154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2018 Individual</w:t>
            </w:r>
          </w:p>
        </w:tc>
        <w:tc>
          <w:tcPr>
            <w:tcW w:w="1040" w:type="dxa"/>
            <w:vAlign w:val="bottom"/>
            <w:shd w:val="clear" w:color="auto" w:fill="052B82"/>
          </w:tcPr>
          <w:p>
            <w:pPr>
              <w:spacing w:after="0"/>
              <w:rPr>
                <w:sz w:val="14"/>
                <w:szCs w:val="14"/>
                <w:color w:val="auto"/>
              </w:rPr>
            </w:pPr>
          </w:p>
        </w:tc>
      </w:tr>
      <w:tr>
        <w:trPr>
          <w:trHeight w:val="162"/>
        </w:trPr>
        <w:tc>
          <w:tcPr>
            <w:tcW w:w="2780" w:type="dxa"/>
            <w:vAlign w:val="bottom"/>
            <w:shd w:val="clear" w:color="auto" w:fill="052B82"/>
          </w:tcPr>
          <w:p>
            <w:pPr>
              <w:spacing w:after="0"/>
              <w:rPr>
                <w:sz w:val="14"/>
                <w:szCs w:val="14"/>
                <w:color w:val="auto"/>
              </w:rPr>
            </w:pPr>
          </w:p>
        </w:tc>
        <w:tc>
          <w:tcPr>
            <w:tcW w:w="1360" w:type="dxa"/>
            <w:vAlign w:val="bottom"/>
            <w:shd w:val="clear" w:color="auto" w:fill="052B82"/>
          </w:tcPr>
          <w:p>
            <w:pPr>
              <w:ind w:left="400"/>
              <w:spacing w:after="0"/>
              <w:rPr>
                <w:sz w:val="20"/>
                <w:szCs w:val="20"/>
                <w:color w:val="auto"/>
              </w:rPr>
            </w:pPr>
            <w:r>
              <w:rPr>
                <w:rFonts w:ascii="Arial" w:cs="Arial" w:eastAsia="Arial" w:hAnsi="Arial"/>
                <w:sz w:val="14"/>
                <w:szCs w:val="14"/>
                <w:b w:val="1"/>
                <w:bCs w:val="1"/>
                <w:color w:val="FFFFFF"/>
              </w:rPr>
              <w:t>2019 Base</w:t>
            </w:r>
          </w:p>
        </w:tc>
        <w:tc>
          <w:tcPr>
            <w:tcW w:w="1600" w:type="dxa"/>
            <w:vAlign w:val="bottom"/>
            <w:shd w:val="clear" w:color="auto" w:fill="052B82"/>
          </w:tcPr>
          <w:p>
            <w:pPr>
              <w:spacing w:after="0"/>
              <w:rPr>
                <w:sz w:val="14"/>
                <w:szCs w:val="14"/>
                <w:color w:val="auto"/>
              </w:rPr>
            </w:pPr>
          </w:p>
        </w:tc>
        <w:tc>
          <w:tcPr>
            <w:tcW w:w="1160" w:type="dxa"/>
            <w:vAlign w:val="bottom"/>
            <w:shd w:val="clear" w:color="auto" w:fill="052B82"/>
          </w:tcPr>
          <w:p>
            <w:pPr>
              <w:spacing w:after="0"/>
              <w:rPr>
                <w:sz w:val="14"/>
                <w:szCs w:val="14"/>
                <w:color w:val="auto"/>
              </w:rPr>
            </w:pPr>
          </w:p>
        </w:tc>
        <w:tc>
          <w:tcPr>
            <w:tcW w:w="154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 of Base</w:t>
            </w:r>
          </w:p>
        </w:tc>
        <w:tc>
          <w:tcPr>
            <w:tcW w:w="154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Target Bonus as</w:t>
            </w:r>
          </w:p>
        </w:tc>
        <w:tc>
          <w:tcPr>
            <w:tcW w:w="1040" w:type="dxa"/>
            <w:vAlign w:val="bottom"/>
            <w:shd w:val="clear" w:color="auto" w:fill="052B82"/>
          </w:tcPr>
          <w:p>
            <w:pPr>
              <w:spacing w:after="0"/>
              <w:rPr>
                <w:sz w:val="14"/>
                <w:szCs w:val="14"/>
                <w:color w:val="auto"/>
              </w:rPr>
            </w:pPr>
          </w:p>
        </w:tc>
      </w:tr>
      <w:tr>
        <w:trPr>
          <w:trHeight w:val="189"/>
        </w:trPr>
        <w:tc>
          <w:tcPr>
            <w:tcW w:w="2780" w:type="dxa"/>
            <w:vAlign w:val="bottom"/>
            <w:shd w:val="clear" w:color="auto" w:fill="052B82"/>
          </w:tcPr>
          <w:p>
            <w:pPr>
              <w:ind w:left="40"/>
              <w:spacing w:after="0"/>
              <w:rPr>
                <w:sz w:val="20"/>
                <w:szCs w:val="20"/>
                <w:color w:val="auto"/>
              </w:rPr>
            </w:pPr>
            <w:r>
              <w:rPr>
                <w:rFonts w:ascii="Arial" w:cs="Arial" w:eastAsia="Arial" w:hAnsi="Arial"/>
                <w:sz w:val="14"/>
                <w:szCs w:val="14"/>
                <w:b w:val="1"/>
                <w:bCs w:val="1"/>
                <w:color w:val="FFFFFF"/>
              </w:rPr>
              <w:t>Name of Executive</w:t>
            </w:r>
          </w:p>
        </w:tc>
        <w:tc>
          <w:tcPr>
            <w:tcW w:w="1360" w:type="dxa"/>
            <w:vAlign w:val="bottom"/>
            <w:shd w:val="clear" w:color="auto" w:fill="052B82"/>
          </w:tcPr>
          <w:p>
            <w:pPr>
              <w:ind w:left="540"/>
              <w:spacing w:after="0"/>
              <w:rPr>
                <w:sz w:val="20"/>
                <w:szCs w:val="20"/>
                <w:color w:val="auto"/>
              </w:rPr>
            </w:pPr>
            <w:r>
              <w:rPr>
                <w:rFonts w:ascii="Arial" w:cs="Arial" w:eastAsia="Arial" w:hAnsi="Arial"/>
                <w:sz w:val="14"/>
                <w:szCs w:val="14"/>
                <w:b w:val="1"/>
                <w:bCs w:val="1"/>
                <w:color w:val="FFFFFF"/>
              </w:rPr>
              <w:t>Salary</w:t>
            </w:r>
          </w:p>
        </w:tc>
        <w:tc>
          <w:tcPr>
            <w:tcW w:w="1600" w:type="dxa"/>
            <w:vAlign w:val="bottom"/>
            <w:shd w:val="clear" w:color="auto" w:fill="052B82"/>
          </w:tcPr>
          <w:p>
            <w:pPr>
              <w:jc w:val="right"/>
              <w:ind w:right="134"/>
              <w:spacing w:after="0"/>
              <w:rPr>
                <w:sz w:val="20"/>
                <w:szCs w:val="20"/>
                <w:color w:val="auto"/>
              </w:rPr>
            </w:pPr>
            <w:r>
              <w:rPr>
                <w:rFonts w:ascii="Arial" w:cs="Arial" w:eastAsia="Arial" w:hAnsi="Arial"/>
                <w:sz w:val="14"/>
                <w:szCs w:val="14"/>
                <w:b w:val="1"/>
                <w:bCs w:val="1"/>
                <w:color w:val="FFFFFF"/>
              </w:rPr>
              <w:t>2018 Base Salary</w:t>
            </w:r>
          </w:p>
        </w:tc>
        <w:tc>
          <w:tcPr>
            <w:tcW w:w="1160" w:type="dxa"/>
            <w:vAlign w:val="bottom"/>
            <w:shd w:val="clear" w:color="auto" w:fill="052B82"/>
          </w:tcPr>
          <w:p>
            <w:pPr>
              <w:jc w:val="right"/>
              <w:ind w:right="114"/>
              <w:spacing w:after="0"/>
              <w:rPr>
                <w:sz w:val="20"/>
                <w:szCs w:val="20"/>
                <w:color w:val="auto"/>
              </w:rPr>
            </w:pPr>
            <w:r>
              <w:rPr>
                <w:rFonts w:ascii="Arial" w:cs="Arial" w:eastAsia="Arial" w:hAnsi="Arial"/>
                <w:sz w:val="14"/>
                <w:szCs w:val="14"/>
                <w:b w:val="1"/>
                <w:bCs w:val="1"/>
                <w:color w:val="FFFFFF"/>
              </w:rPr>
              <w:t>% Increase</w:t>
            </w:r>
          </w:p>
        </w:tc>
        <w:tc>
          <w:tcPr>
            <w:tcW w:w="154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Salary</w:t>
            </w:r>
          </w:p>
        </w:tc>
        <w:tc>
          <w:tcPr>
            <w:tcW w:w="154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 of Base Salary</w:t>
            </w:r>
          </w:p>
        </w:tc>
        <w:tc>
          <w:tcPr>
            <w:tcW w:w="1040" w:type="dxa"/>
            <w:vAlign w:val="bottom"/>
            <w:shd w:val="clear" w:color="auto" w:fill="052B82"/>
          </w:tcPr>
          <w:p>
            <w:pPr>
              <w:jc w:val="right"/>
              <w:ind w:right="34"/>
              <w:spacing w:after="0"/>
              <w:rPr>
                <w:sz w:val="20"/>
                <w:szCs w:val="20"/>
                <w:color w:val="auto"/>
              </w:rPr>
            </w:pPr>
            <w:r>
              <w:rPr>
                <w:rFonts w:ascii="Arial" w:cs="Arial" w:eastAsia="Arial" w:hAnsi="Arial"/>
                <w:sz w:val="14"/>
                <w:szCs w:val="14"/>
                <w:b w:val="1"/>
                <w:bCs w:val="1"/>
                <w:color w:val="FFFFFF"/>
              </w:rPr>
              <w:t>% Increase</w:t>
            </w:r>
          </w:p>
        </w:tc>
      </w:tr>
      <w:tr>
        <w:trPr>
          <w:trHeight w:val="310"/>
        </w:trPr>
        <w:tc>
          <w:tcPr>
            <w:tcW w:w="2780" w:type="dxa"/>
            <w:vAlign w:val="bottom"/>
          </w:tcPr>
          <w:p>
            <w:pPr>
              <w:ind w:left="40"/>
              <w:spacing w:after="0"/>
              <w:rPr>
                <w:sz w:val="20"/>
                <w:szCs w:val="20"/>
                <w:color w:val="auto"/>
              </w:rPr>
            </w:pPr>
            <w:r>
              <w:rPr>
                <w:rFonts w:ascii="Arial" w:cs="Arial" w:eastAsia="Arial" w:hAnsi="Arial"/>
                <w:sz w:val="18"/>
                <w:szCs w:val="18"/>
                <w:color w:val="auto"/>
              </w:rPr>
              <w:t>Prashanth Mahendra-Rajah</w:t>
            </w:r>
          </w:p>
        </w:tc>
        <w:tc>
          <w:tcPr>
            <w:tcW w:w="1360" w:type="dxa"/>
            <w:vAlign w:val="bottom"/>
          </w:tcPr>
          <w:p>
            <w:pPr>
              <w:ind w:left="420"/>
              <w:spacing w:after="0"/>
              <w:rPr>
                <w:sz w:val="20"/>
                <w:szCs w:val="20"/>
                <w:color w:val="auto"/>
              </w:rPr>
            </w:pPr>
            <w:r>
              <w:rPr>
                <w:rFonts w:ascii="Arial" w:cs="Arial" w:eastAsia="Arial" w:hAnsi="Arial"/>
                <w:sz w:val="18"/>
                <w:szCs w:val="18"/>
                <w:color w:val="auto"/>
              </w:rPr>
              <w:t>$575,000</w:t>
            </w:r>
          </w:p>
        </w:tc>
        <w:tc>
          <w:tcPr>
            <w:tcW w:w="1600" w:type="dxa"/>
            <w:vAlign w:val="bottom"/>
          </w:tcPr>
          <w:p>
            <w:pPr>
              <w:jc w:val="right"/>
              <w:ind w:right="114"/>
              <w:spacing w:after="0"/>
              <w:rPr>
                <w:sz w:val="20"/>
                <w:szCs w:val="20"/>
                <w:color w:val="auto"/>
              </w:rPr>
            </w:pPr>
            <w:r>
              <w:rPr>
                <w:rFonts w:ascii="Arial" w:cs="Arial" w:eastAsia="Arial" w:hAnsi="Arial"/>
                <w:sz w:val="18"/>
                <w:szCs w:val="18"/>
                <w:color w:val="auto"/>
              </w:rPr>
              <w:t>$550,000</w:t>
            </w: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4.5%</w:t>
            </w:r>
          </w:p>
        </w:tc>
        <w:tc>
          <w:tcPr>
            <w:tcW w:w="1540" w:type="dxa"/>
            <w:vAlign w:val="bottom"/>
          </w:tcPr>
          <w:p>
            <w:pPr>
              <w:jc w:val="right"/>
              <w:ind w:right="139"/>
              <w:spacing w:after="0"/>
              <w:rPr>
                <w:sz w:val="20"/>
                <w:szCs w:val="20"/>
                <w:color w:val="auto"/>
              </w:rPr>
            </w:pPr>
            <w:r>
              <w:rPr>
                <w:rFonts w:ascii="Arial" w:cs="Arial" w:eastAsia="Arial" w:hAnsi="Arial"/>
                <w:sz w:val="18"/>
                <w:szCs w:val="18"/>
                <w:color w:val="auto"/>
              </w:rPr>
              <w:t>100%</w:t>
            </w:r>
          </w:p>
        </w:tc>
        <w:tc>
          <w:tcPr>
            <w:tcW w:w="1540" w:type="dxa"/>
            <w:vAlign w:val="bottom"/>
          </w:tcPr>
          <w:p>
            <w:pPr>
              <w:jc w:val="right"/>
              <w:ind w:right="98"/>
              <w:spacing w:after="0"/>
              <w:rPr>
                <w:sz w:val="20"/>
                <w:szCs w:val="20"/>
                <w:color w:val="auto"/>
              </w:rPr>
            </w:pPr>
            <w:r>
              <w:rPr>
                <w:rFonts w:ascii="Arial" w:cs="Arial" w:eastAsia="Arial" w:hAnsi="Arial"/>
                <w:sz w:val="18"/>
                <w:szCs w:val="18"/>
                <w:color w:val="auto"/>
              </w:rPr>
              <w:t>100%</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0%</w:t>
            </w:r>
          </w:p>
        </w:tc>
      </w:tr>
      <w:tr>
        <w:trPr>
          <w:trHeight w:val="203"/>
        </w:trPr>
        <w:tc>
          <w:tcPr>
            <w:tcW w:w="2780" w:type="dxa"/>
            <w:vAlign w:val="bottom"/>
          </w:tcPr>
          <w:p>
            <w:pPr>
              <w:ind w:left="160"/>
              <w:spacing w:after="0" w:line="202" w:lineRule="exact"/>
              <w:rPr>
                <w:sz w:val="20"/>
                <w:szCs w:val="20"/>
                <w:color w:val="auto"/>
              </w:rPr>
            </w:pPr>
            <w:r>
              <w:rPr>
                <w:rFonts w:ascii="Arial" w:cs="Arial" w:eastAsia="Arial" w:hAnsi="Arial"/>
                <w:sz w:val="18"/>
                <w:szCs w:val="18"/>
                <w:color w:val="auto"/>
              </w:rPr>
              <w:t>Senior Vice President, Finance</w:t>
            </w:r>
          </w:p>
        </w:tc>
        <w:tc>
          <w:tcPr>
            <w:tcW w:w="13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24"/>
        </w:trPr>
        <w:tc>
          <w:tcPr>
            <w:tcW w:w="2780" w:type="dxa"/>
            <w:vAlign w:val="bottom"/>
          </w:tcPr>
          <w:p>
            <w:pPr>
              <w:ind w:left="160"/>
              <w:spacing w:after="0"/>
              <w:rPr>
                <w:sz w:val="20"/>
                <w:szCs w:val="20"/>
                <w:color w:val="auto"/>
              </w:rPr>
            </w:pPr>
            <w:r>
              <w:rPr>
                <w:rFonts w:ascii="Arial" w:cs="Arial" w:eastAsia="Arial" w:hAnsi="Arial"/>
                <w:sz w:val="18"/>
                <w:szCs w:val="18"/>
                <w:color w:val="auto"/>
              </w:rPr>
              <w:t>and Chief Financial Officer</w:t>
            </w:r>
          </w:p>
        </w:tc>
        <w:tc>
          <w:tcPr>
            <w:tcW w:w="13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17"/>
        </w:trPr>
        <w:tc>
          <w:tcPr>
            <w:tcW w:w="2780" w:type="dxa"/>
            <w:vAlign w:val="bottom"/>
            <w:shd w:val="clear" w:color="auto" w:fill="E8EDF4"/>
          </w:tcPr>
          <w:p>
            <w:pPr>
              <w:ind w:left="40"/>
              <w:spacing w:after="0"/>
              <w:rPr>
                <w:sz w:val="20"/>
                <w:szCs w:val="20"/>
                <w:color w:val="auto"/>
              </w:rPr>
            </w:pPr>
            <w:r>
              <w:rPr>
                <w:rFonts w:ascii="Arial" w:cs="Arial" w:eastAsia="Arial" w:hAnsi="Arial"/>
                <w:sz w:val="18"/>
                <w:szCs w:val="18"/>
                <w:color w:val="auto"/>
              </w:rPr>
              <w:t>Martin Cotter</w:t>
            </w:r>
          </w:p>
        </w:tc>
        <w:tc>
          <w:tcPr>
            <w:tcW w:w="1360" w:type="dxa"/>
            <w:vAlign w:val="bottom"/>
            <w:shd w:val="clear" w:color="auto" w:fill="E8EDF4"/>
          </w:tcPr>
          <w:p>
            <w:pPr>
              <w:ind w:left="420"/>
              <w:spacing w:after="0"/>
              <w:rPr>
                <w:sz w:val="20"/>
                <w:szCs w:val="20"/>
                <w:color w:val="auto"/>
              </w:rPr>
            </w:pPr>
            <w:r>
              <w:rPr>
                <w:rFonts w:ascii="Arial" w:cs="Arial" w:eastAsia="Arial" w:hAnsi="Arial"/>
                <w:sz w:val="18"/>
                <w:szCs w:val="18"/>
                <w:color w:val="auto"/>
              </w:rPr>
              <w:t>$460,000</w:t>
            </w:r>
          </w:p>
        </w:tc>
        <w:tc>
          <w:tcPr>
            <w:tcW w:w="1600" w:type="dxa"/>
            <w:vAlign w:val="bottom"/>
            <w:shd w:val="clear" w:color="auto" w:fill="E8EDF4"/>
          </w:tcPr>
          <w:p>
            <w:pPr>
              <w:jc w:val="right"/>
              <w:ind w:right="114"/>
              <w:spacing w:after="0"/>
              <w:rPr>
                <w:sz w:val="20"/>
                <w:szCs w:val="20"/>
                <w:color w:val="auto"/>
              </w:rPr>
            </w:pPr>
            <w:r>
              <w:rPr>
                <w:rFonts w:ascii="Arial" w:cs="Arial" w:eastAsia="Arial" w:hAnsi="Arial"/>
                <w:sz w:val="18"/>
                <w:szCs w:val="18"/>
                <w:color w:val="auto"/>
              </w:rPr>
              <w:t>$450,000</w:t>
            </w:r>
          </w:p>
        </w:tc>
        <w:tc>
          <w:tcPr>
            <w:tcW w:w="1160" w:type="dxa"/>
            <w:vAlign w:val="bottom"/>
            <w:shd w:val="clear" w:color="auto" w:fill="E8EDF4"/>
          </w:tcPr>
          <w:p>
            <w:pPr>
              <w:jc w:val="right"/>
              <w:ind w:right="114"/>
              <w:spacing w:after="0"/>
              <w:rPr>
                <w:sz w:val="20"/>
                <w:szCs w:val="20"/>
                <w:color w:val="auto"/>
              </w:rPr>
            </w:pPr>
            <w:r>
              <w:rPr>
                <w:rFonts w:ascii="Arial" w:cs="Arial" w:eastAsia="Arial" w:hAnsi="Arial"/>
                <w:sz w:val="18"/>
                <w:szCs w:val="18"/>
                <w:color w:val="auto"/>
              </w:rPr>
              <w:t>2.2%</w:t>
            </w:r>
          </w:p>
        </w:tc>
        <w:tc>
          <w:tcPr>
            <w:tcW w:w="1540" w:type="dxa"/>
            <w:vAlign w:val="bottom"/>
            <w:shd w:val="clear" w:color="auto" w:fill="E8EDF4"/>
          </w:tcPr>
          <w:p>
            <w:pPr>
              <w:jc w:val="right"/>
              <w:ind w:right="139"/>
              <w:spacing w:after="0"/>
              <w:rPr>
                <w:sz w:val="20"/>
                <w:szCs w:val="20"/>
                <w:color w:val="auto"/>
              </w:rPr>
            </w:pPr>
            <w:r>
              <w:rPr>
                <w:rFonts w:ascii="Arial" w:cs="Arial" w:eastAsia="Arial" w:hAnsi="Arial"/>
                <w:sz w:val="18"/>
                <w:szCs w:val="18"/>
                <w:color w:val="auto"/>
              </w:rPr>
              <w:t>100%</w:t>
            </w:r>
          </w:p>
        </w:tc>
        <w:tc>
          <w:tcPr>
            <w:tcW w:w="1540" w:type="dxa"/>
            <w:vAlign w:val="bottom"/>
            <w:shd w:val="clear" w:color="auto" w:fill="E8EDF4"/>
          </w:tcPr>
          <w:p>
            <w:pPr>
              <w:jc w:val="right"/>
              <w:ind w:right="98"/>
              <w:spacing w:after="0"/>
              <w:rPr>
                <w:sz w:val="20"/>
                <w:szCs w:val="20"/>
                <w:color w:val="auto"/>
              </w:rPr>
            </w:pPr>
            <w:r>
              <w:rPr>
                <w:rFonts w:ascii="Arial" w:cs="Arial" w:eastAsia="Arial" w:hAnsi="Arial"/>
                <w:sz w:val="18"/>
                <w:szCs w:val="18"/>
                <w:color w:val="auto"/>
              </w:rPr>
              <w:t>90%</w:t>
            </w:r>
          </w:p>
        </w:tc>
        <w:tc>
          <w:tcPr>
            <w:tcW w:w="1040" w:type="dxa"/>
            <w:vAlign w:val="bottom"/>
            <w:shd w:val="clear" w:color="auto" w:fill="E8EDF4"/>
          </w:tcPr>
          <w:p>
            <w:pPr>
              <w:jc w:val="right"/>
              <w:ind w:right="34"/>
              <w:spacing w:after="0"/>
              <w:rPr>
                <w:sz w:val="20"/>
                <w:szCs w:val="20"/>
                <w:color w:val="auto"/>
              </w:rPr>
            </w:pPr>
            <w:r>
              <w:rPr>
                <w:rFonts w:ascii="Arial" w:cs="Arial" w:eastAsia="Arial" w:hAnsi="Arial"/>
                <w:sz w:val="18"/>
                <w:szCs w:val="18"/>
                <w:color w:val="auto"/>
              </w:rPr>
              <w:t>11.1%</w:t>
            </w:r>
          </w:p>
        </w:tc>
      </w:tr>
      <w:tr>
        <w:trPr>
          <w:trHeight w:val="203"/>
        </w:trPr>
        <w:tc>
          <w:tcPr>
            <w:tcW w:w="2780" w:type="dxa"/>
            <w:vAlign w:val="bottom"/>
            <w:shd w:val="clear" w:color="auto" w:fill="E8EDF4"/>
          </w:tcPr>
          <w:p>
            <w:pPr>
              <w:ind w:left="160"/>
              <w:spacing w:after="0" w:line="202" w:lineRule="exact"/>
              <w:rPr>
                <w:sz w:val="20"/>
                <w:szCs w:val="20"/>
                <w:color w:val="auto"/>
              </w:rPr>
            </w:pPr>
            <w:r>
              <w:rPr>
                <w:rFonts w:ascii="Arial" w:cs="Arial" w:eastAsia="Arial" w:hAnsi="Arial"/>
                <w:sz w:val="18"/>
                <w:szCs w:val="18"/>
                <w:color w:val="auto"/>
              </w:rPr>
              <w:t>Senior Vice President,</w:t>
            </w:r>
          </w:p>
        </w:tc>
        <w:tc>
          <w:tcPr>
            <w:tcW w:w="1360" w:type="dxa"/>
            <w:vAlign w:val="bottom"/>
            <w:shd w:val="clear" w:color="auto" w:fill="E8EDF4"/>
          </w:tcPr>
          <w:p>
            <w:pPr>
              <w:spacing w:after="0"/>
              <w:rPr>
                <w:sz w:val="17"/>
                <w:szCs w:val="17"/>
                <w:color w:val="auto"/>
              </w:rPr>
            </w:pPr>
          </w:p>
        </w:tc>
        <w:tc>
          <w:tcPr>
            <w:tcW w:w="1600" w:type="dxa"/>
            <w:vAlign w:val="bottom"/>
            <w:shd w:val="clear" w:color="auto" w:fill="E8EDF4"/>
          </w:tcPr>
          <w:p>
            <w:pPr>
              <w:spacing w:after="0"/>
              <w:rPr>
                <w:sz w:val="17"/>
                <w:szCs w:val="17"/>
                <w:color w:val="auto"/>
              </w:rPr>
            </w:pPr>
          </w:p>
        </w:tc>
        <w:tc>
          <w:tcPr>
            <w:tcW w:w="1160" w:type="dxa"/>
            <w:vAlign w:val="bottom"/>
            <w:shd w:val="clear" w:color="auto" w:fill="E8EDF4"/>
          </w:tcPr>
          <w:p>
            <w:pPr>
              <w:spacing w:after="0"/>
              <w:rPr>
                <w:sz w:val="17"/>
                <w:szCs w:val="17"/>
                <w:color w:val="auto"/>
              </w:rPr>
            </w:pPr>
          </w:p>
        </w:tc>
        <w:tc>
          <w:tcPr>
            <w:tcW w:w="1540" w:type="dxa"/>
            <w:vAlign w:val="bottom"/>
            <w:shd w:val="clear" w:color="auto" w:fill="E8EDF4"/>
          </w:tcPr>
          <w:p>
            <w:pPr>
              <w:spacing w:after="0"/>
              <w:rPr>
                <w:sz w:val="17"/>
                <w:szCs w:val="17"/>
                <w:color w:val="auto"/>
              </w:rPr>
            </w:pPr>
          </w:p>
        </w:tc>
        <w:tc>
          <w:tcPr>
            <w:tcW w:w="1540" w:type="dxa"/>
            <w:vAlign w:val="bottom"/>
            <w:shd w:val="clear" w:color="auto" w:fill="E8EDF4"/>
          </w:tcPr>
          <w:p>
            <w:pPr>
              <w:spacing w:after="0"/>
              <w:rPr>
                <w:sz w:val="17"/>
                <w:szCs w:val="17"/>
                <w:color w:val="auto"/>
              </w:rPr>
            </w:pPr>
          </w:p>
        </w:tc>
        <w:tc>
          <w:tcPr>
            <w:tcW w:w="1040" w:type="dxa"/>
            <w:vAlign w:val="bottom"/>
            <w:shd w:val="clear" w:color="auto" w:fill="E8EDF4"/>
          </w:tcPr>
          <w:p>
            <w:pPr>
              <w:spacing w:after="0"/>
              <w:rPr>
                <w:sz w:val="17"/>
                <w:szCs w:val="17"/>
                <w:color w:val="auto"/>
              </w:rPr>
            </w:pPr>
          </w:p>
        </w:tc>
      </w:tr>
      <w:tr>
        <w:trPr>
          <w:trHeight w:val="203"/>
        </w:trPr>
        <w:tc>
          <w:tcPr>
            <w:tcW w:w="2780" w:type="dxa"/>
            <w:vAlign w:val="bottom"/>
            <w:shd w:val="clear" w:color="auto" w:fill="E8EDF4"/>
          </w:tcPr>
          <w:p>
            <w:pPr>
              <w:ind w:left="160"/>
              <w:spacing w:after="0" w:line="202" w:lineRule="exact"/>
              <w:rPr>
                <w:sz w:val="20"/>
                <w:szCs w:val="20"/>
                <w:color w:val="auto"/>
              </w:rPr>
            </w:pPr>
            <w:r>
              <w:rPr>
                <w:rFonts w:ascii="Arial" w:cs="Arial" w:eastAsia="Arial" w:hAnsi="Arial"/>
                <w:sz w:val="18"/>
                <w:szCs w:val="18"/>
                <w:color w:val="auto"/>
              </w:rPr>
              <w:t>Worldwide Sales &amp; Digital</w:t>
            </w:r>
          </w:p>
        </w:tc>
        <w:tc>
          <w:tcPr>
            <w:tcW w:w="1360" w:type="dxa"/>
            <w:vAlign w:val="bottom"/>
            <w:shd w:val="clear" w:color="auto" w:fill="E8EDF4"/>
          </w:tcPr>
          <w:p>
            <w:pPr>
              <w:spacing w:after="0"/>
              <w:rPr>
                <w:sz w:val="17"/>
                <w:szCs w:val="17"/>
                <w:color w:val="auto"/>
              </w:rPr>
            </w:pPr>
          </w:p>
        </w:tc>
        <w:tc>
          <w:tcPr>
            <w:tcW w:w="1600" w:type="dxa"/>
            <w:vAlign w:val="bottom"/>
            <w:shd w:val="clear" w:color="auto" w:fill="E8EDF4"/>
          </w:tcPr>
          <w:p>
            <w:pPr>
              <w:spacing w:after="0"/>
              <w:rPr>
                <w:sz w:val="17"/>
                <w:szCs w:val="17"/>
                <w:color w:val="auto"/>
              </w:rPr>
            </w:pPr>
          </w:p>
        </w:tc>
        <w:tc>
          <w:tcPr>
            <w:tcW w:w="1160" w:type="dxa"/>
            <w:vAlign w:val="bottom"/>
            <w:shd w:val="clear" w:color="auto" w:fill="E8EDF4"/>
          </w:tcPr>
          <w:p>
            <w:pPr>
              <w:spacing w:after="0"/>
              <w:rPr>
                <w:sz w:val="17"/>
                <w:szCs w:val="17"/>
                <w:color w:val="auto"/>
              </w:rPr>
            </w:pPr>
          </w:p>
        </w:tc>
        <w:tc>
          <w:tcPr>
            <w:tcW w:w="1540" w:type="dxa"/>
            <w:vAlign w:val="bottom"/>
            <w:shd w:val="clear" w:color="auto" w:fill="E8EDF4"/>
          </w:tcPr>
          <w:p>
            <w:pPr>
              <w:spacing w:after="0"/>
              <w:rPr>
                <w:sz w:val="17"/>
                <w:szCs w:val="17"/>
                <w:color w:val="auto"/>
              </w:rPr>
            </w:pPr>
          </w:p>
        </w:tc>
        <w:tc>
          <w:tcPr>
            <w:tcW w:w="1540" w:type="dxa"/>
            <w:vAlign w:val="bottom"/>
            <w:shd w:val="clear" w:color="auto" w:fill="E8EDF4"/>
          </w:tcPr>
          <w:p>
            <w:pPr>
              <w:spacing w:after="0"/>
              <w:rPr>
                <w:sz w:val="17"/>
                <w:szCs w:val="17"/>
                <w:color w:val="auto"/>
              </w:rPr>
            </w:pPr>
          </w:p>
        </w:tc>
        <w:tc>
          <w:tcPr>
            <w:tcW w:w="1040" w:type="dxa"/>
            <w:vAlign w:val="bottom"/>
            <w:shd w:val="clear" w:color="auto" w:fill="E8EDF4"/>
          </w:tcPr>
          <w:p>
            <w:pPr>
              <w:spacing w:after="0"/>
              <w:rPr>
                <w:sz w:val="17"/>
                <w:szCs w:val="17"/>
                <w:color w:val="auto"/>
              </w:rPr>
            </w:pPr>
          </w:p>
        </w:tc>
      </w:tr>
      <w:tr>
        <w:trPr>
          <w:trHeight w:val="230"/>
        </w:trPr>
        <w:tc>
          <w:tcPr>
            <w:tcW w:w="2780" w:type="dxa"/>
            <w:vAlign w:val="bottom"/>
            <w:shd w:val="clear" w:color="auto" w:fill="E8EDF4"/>
          </w:tcPr>
          <w:p>
            <w:pPr>
              <w:ind w:left="160"/>
              <w:spacing w:after="0"/>
              <w:rPr>
                <w:sz w:val="20"/>
                <w:szCs w:val="20"/>
                <w:color w:val="auto"/>
              </w:rPr>
            </w:pPr>
            <w:r>
              <w:rPr>
                <w:rFonts w:ascii="Arial" w:cs="Arial" w:eastAsia="Arial" w:hAnsi="Arial"/>
                <w:sz w:val="18"/>
                <w:szCs w:val="18"/>
                <w:color w:val="auto"/>
              </w:rPr>
              <w:t>Marketing</w:t>
            </w:r>
          </w:p>
        </w:tc>
        <w:tc>
          <w:tcPr>
            <w:tcW w:w="1360" w:type="dxa"/>
            <w:vAlign w:val="bottom"/>
            <w:shd w:val="clear" w:color="auto" w:fill="E8EDF4"/>
          </w:tcPr>
          <w:p>
            <w:pPr>
              <w:spacing w:after="0"/>
              <w:rPr>
                <w:sz w:val="20"/>
                <w:szCs w:val="20"/>
                <w:color w:val="auto"/>
              </w:rPr>
            </w:pPr>
          </w:p>
        </w:tc>
        <w:tc>
          <w:tcPr>
            <w:tcW w:w="1600" w:type="dxa"/>
            <w:vAlign w:val="bottom"/>
            <w:shd w:val="clear" w:color="auto" w:fill="E8EDF4"/>
          </w:tcPr>
          <w:p>
            <w:pPr>
              <w:spacing w:after="0"/>
              <w:rPr>
                <w:sz w:val="20"/>
                <w:szCs w:val="20"/>
                <w:color w:val="auto"/>
              </w:rPr>
            </w:pPr>
          </w:p>
        </w:tc>
        <w:tc>
          <w:tcPr>
            <w:tcW w:w="1160" w:type="dxa"/>
            <w:vAlign w:val="bottom"/>
            <w:shd w:val="clear" w:color="auto" w:fill="E8EDF4"/>
          </w:tcPr>
          <w:p>
            <w:pPr>
              <w:spacing w:after="0"/>
              <w:rPr>
                <w:sz w:val="20"/>
                <w:szCs w:val="20"/>
                <w:color w:val="auto"/>
              </w:rPr>
            </w:pPr>
          </w:p>
        </w:tc>
        <w:tc>
          <w:tcPr>
            <w:tcW w:w="1540" w:type="dxa"/>
            <w:vAlign w:val="bottom"/>
            <w:shd w:val="clear" w:color="auto" w:fill="E8EDF4"/>
          </w:tcPr>
          <w:p>
            <w:pPr>
              <w:spacing w:after="0"/>
              <w:rPr>
                <w:sz w:val="20"/>
                <w:szCs w:val="20"/>
                <w:color w:val="auto"/>
              </w:rPr>
            </w:pPr>
          </w:p>
        </w:tc>
        <w:tc>
          <w:tcPr>
            <w:tcW w:w="1540" w:type="dxa"/>
            <w:vAlign w:val="bottom"/>
            <w:shd w:val="clear" w:color="auto" w:fill="E8EDF4"/>
          </w:tcPr>
          <w:p>
            <w:pPr>
              <w:spacing w:after="0"/>
              <w:rPr>
                <w:sz w:val="20"/>
                <w:szCs w:val="20"/>
                <w:color w:val="auto"/>
              </w:rPr>
            </w:pPr>
          </w:p>
        </w:tc>
        <w:tc>
          <w:tcPr>
            <w:tcW w:w="1040" w:type="dxa"/>
            <w:vAlign w:val="bottom"/>
            <w:shd w:val="clear" w:color="auto" w:fill="E8EDF4"/>
          </w:tcPr>
          <w:p>
            <w:pPr>
              <w:spacing w:after="0"/>
              <w:rPr>
                <w:sz w:val="20"/>
                <w:szCs w:val="20"/>
                <w:color w:val="auto"/>
              </w:rPr>
            </w:pPr>
          </w:p>
        </w:tc>
      </w:tr>
      <w:tr>
        <w:trPr>
          <w:trHeight w:val="310"/>
        </w:trPr>
        <w:tc>
          <w:tcPr>
            <w:tcW w:w="2780" w:type="dxa"/>
            <w:vAlign w:val="bottom"/>
          </w:tcPr>
          <w:p>
            <w:pPr>
              <w:ind w:left="40"/>
              <w:spacing w:after="0"/>
              <w:rPr>
                <w:sz w:val="20"/>
                <w:szCs w:val="20"/>
                <w:color w:val="auto"/>
              </w:rPr>
            </w:pPr>
            <w:r>
              <w:rPr>
                <w:rFonts w:ascii="Arial" w:cs="Arial" w:eastAsia="Arial" w:hAnsi="Arial"/>
                <w:sz w:val="18"/>
                <w:szCs w:val="18"/>
                <w:color w:val="auto"/>
              </w:rPr>
              <w:t>John Hassett</w:t>
            </w:r>
          </w:p>
        </w:tc>
        <w:tc>
          <w:tcPr>
            <w:tcW w:w="1360" w:type="dxa"/>
            <w:vAlign w:val="bottom"/>
          </w:tcPr>
          <w:p>
            <w:pPr>
              <w:ind w:left="420"/>
              <w:spacing w:after="0"/>
              <w:rPr>
                <w:sz w:val="20"/>
                <w:szCs w:val="20"/>
                <w:color w:val="auto"/>
              </w:rPr>
            </w:pPr>
            <w:r>
              <w:rPr>
                <w:rFonts w:ascii="Arial" w:cs="Arial" w:eastAsia="Arial" w:hAnsi="Arial"/>
                <w:sz w:val="18"/>
                <w:szCs w:val="18"/>
                <w:color w:val="auto"/>
              </w:rPr>
              <w:t>$475,000</w:t>
            </w:r>
          </w:p>
        </w:tc>
        <w:tc>
          <w:tcPr>
            <w:tcW w:w="1600" w:type="dxa"/>
            <w:vAlign w:val="bottom"/>
          </w:tcPr>
          <w:p>
            <w:pPr>
              <w:jc w:val="right"/>
              <w:ind w:right="114"/>
              <w:spacing w:after="0"/>
              <w:rPr>
                <w:sz w:val="20"/>
                <w:szCs w:val="20"/>
                <w:color w:val="auto"/>
              </w:rPr>
            </w:pPr>
            <w:r>
              <w:rPr>
                <w:rFonts w:ascii="Arial" w:cs="Arial" w:eastAsia="Arial" w:hAnsi="Arial"/>
                <w:sz w:val="18"/>
                <w:szCs w:val="18"/>
                <w:color w:val="auto"/>
              </w:rPr>
              <w:t>$465,000</w:t>
            </w: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2.1%</w:t>
            </w:r>
          </w:p>
        </w:tc>
        <w:tc>
          <w:tcPr>
            <w:tcW w:w="1540" w:type="dxa"/>
            <w:vAlign w:val="bottom"/>
          </w:tcPr>
          <w:p>
            <w:pPr>
              <w:jc w:val="right"/>
              <w:ind w:right="139"/>
              <w:spacing w:after="0"/>
              <w:rPr>
                <w:sz w:val="20"/>
                <w:szCs w:val="20"/>
                <w:color w:val="auto"/>
              </w:rPr>
            </w:pPr>
            <w:r>
              <w:rPr>
                <w:rFonts w:ascii="Arial" w:cs="Arial" w:eastAsia="Arial" w:hAnsi="Arial"/>
                <w:sz w:val="18"/>
                <w:szCs w:val="18"/>
                <w:color w:val="auto"/>
              </w:rPr>
              <w:t>100%</w:t>
            </w:r>
          </w:p>
        </w:tc>
        <w:tc>
          <w:tcPr>
            <w:tcW w:w="1540" w:type="dxa"/>
            <w:vAlign w:val="bottom"/>
          </w:tcPr>
          <w:p>
            <w:pPr>
              <w:jc w:val="right"/>
              <w:ind w:right="98"/>
              <w:spacing w:after="0"/>
              <w:rPr>
                <w:sz w:val="20"/>
                <w:szCs w:val="20"/>
                <w:color w:val="auto"/>
              </w:rPr>
            </w:pPr>
            <w:r>
              <w:rPr>
                <w:rFonts w:ascii="Arial" w:cs="Arial" w:eastAsia="Arial" w:hAnsi="Arial"/>
                <w:sz w:val="18"/>
                <w:szCs w:val="18"/>
                <w:color w:val="auto"/>
              </w:rPr>
              <w:t>100%</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0%</w:t>
            </w:r>
          </w:p>
        </w:tc>
      </w:tr>
      <w:tr>
        <w:trPr>
          <w:trHeight w:val="203"/>
        </w:trPr>
        <w:tc>
          <w:tcPr>
            <w:tcW w:w="2780" w:type="dxa"/>
            <w:vAlign w:val="bottom"/>
          </w:tcPr>
          <w:p>
            <w:pPr>
              <w:ind w:left="160"/>
              <w:spacing w:after="0" w:line="202" w:lineRule="exact"/>
              <w:rPr>
                <w:sz w:val="20"/>
                <w:szCs w:val="20"/>
                <w:color w:val="auto"/>
              </w:rPr>
            </w:pPr>
            <w:r>
              <w:rPr>
                <w:rFonts w:ascii="Arial" w:cs="Arial" w:eastAsia="Arial" w:hAnsi="Arial"/>
                <w:sz w:val="18"/>
                <w:szCs w:val="18"/>
                <w:color w:val="auto"/>
              </w:rPr>
              <w:t>Senior Vice President, Industrial</w:t>
            </w:r>
          </w:p>
        </w:tc>
        <w:tc>
          <w:tcPr>
            <w:tcW w:w="13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24"/>
        </w:trPr>
        <w:tc>
          <w:tcPr>
            <w:tcW w:w="2780" w:type="dxa"/>
            <w:vAlign w:val="bottom"/>
          </w:tcPr>
          <w:p>
            <w:pPr>
              <w:ind w:left="160"/>
              <w:spacing w:after="0"/>
              <w:rPr>
                <w:sz w:val="20"/>
                <w:szCs w:val="20"/>
                <w:color w:val="auto"/>
              </w:rPr>
            </w:pPr>
            <w:r>
              <w:rPr>
                <w:rFonts w:ascii="Arial" w:cs="Arial" w:eastAsia="Arial" w:hAnsi="Arial"/>
                <w:sz w:val="18"/>
                <w:szCs w:val="18"/>
                <w:color w:val="auto"/>
              </w:rPr>
              <w:t>and Consumer</w:t>
            </w:r>
          </w:p>
        </w:tc>
        <w:tc>
          <w:tcPr>
            <w:tcW w:w="13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17"/>
        </w:trPr>
        <w:tc>
          <w:tcPr>
            <w:tcW w:w="2780" w:type="dxa"/>
            <w:vAlign w:val="bottom"/>
            <w:shd w:val="clear" w:color="auto" w:fill="E8EDF4"/>
          </w:tcPr>
          <w:p>
            <w:pPr>
              <w:ind w:left="40"/>
              <w:spacing w:after="0"/>
              <w:rPr>
                <w:sz w:val="20"/>
                <w:szCs w:val="20"/>
                <w:color w:val="auto"/>
              </w:rPr>
            </w:pPr>
            <w:r>
              <w:rPr>
                <w:rFonts w:ascii="Arial" w:cs="Arial" w:eastAsia="Arial" w:hAnsi="Arial"/>
                <w:sz w:val="18"/>
                <w:szCs w:val="18"/>
                <w:color w:val="auto"/>
              </w:rPr>
              <w:t>Steve Pietkiewicz</w:t>
            </w:r>
          </w:p>
        </w:tc>
        <w:tc>
          <w:tcPr>
            <w:tcW w:w="1360" w:type="dxa"/>
            <w:vAlign w:val="bottom"/>
            <w:shd w:val="clear" w:color="auto" w:fill="E8EDF4"/>
          </w:tcPr>
          <w:p>
            <w:pPr>
              <w:ind w:left="420"/>
              <w:spacing w:after="0"/>
              <w:rPr>
                <w:sz w:val="20"/>
                <w:szCs w:val="20"/>
                <w:color w:val="auto"/>
              </w:rPr>
            </w:pPr>
            <w:r>
              <w:rPr>
                <w:rFonts w:ascii="Arial" w:cs="Arial" w:eastAsia="Arial" w:hAnsi="Arial"/>
                <w:sz w:val="18"/>
                <w:szCs w:val="18"/>
                <w:color w:val="auto"/>
              </w:rPr>
              <w:t>$450,000</w:t>
            </w:r>
          </w:p>
        </w:tc>
        <w:tc>
          <w:tcPr>
            <w:tcW w:w="1600" w:type="dxa"/>
            <w:vAlign w:val="bottom"/>
            <w:shd w:val="clear" w:color="auto" w:fill="E8EDF4"/>
          </w:tcPr>
          <w:p>
            <w:pPr>
              <w:jc w:val="right"/>
              <w:ind w:right="114"/>
              <w:spacing w:after="0"/>
              <w:rPr>
                <w:sz w:val="20"/>
                <w:szCs w:val="20"/>
                <w:color w:val="auto"/>
              </w:rPr>
            </w:pPr>
            <w:r>
              <w:rPr>
                <w:rFonts w:ascii="Arial" w:cs="Arial" w:eastAsia="Arial" w:hAnsi="Arial"/>
                <w:sz w:val="18"/>
                <w:szCs w:val="18"/>
                <w:color w:val="auto"/>
              </w:rPr>
              <w:t>$400,000</w:t>
            </w:r>
          </w:p>
        </w:tc>
        <w:tc>
          <w:tcPr>
            <w:tcW w:w="1160" w:type="dxa"/>
            <w:vAlign w:val="bottom"/>
            <w:shd w:val="clear" w:color="auto" w:fill="E8EDF4"/>
          </w:tcPr>
          <w:p>
            <w:pPr>
              <w:jc w:val="right"/>
              <w:ind w:right="114"/>
              <w:spacing w:after="0"/>
              <w:rPr>
                <w:sz w:val="20"/>
                <w:szCs w:val="20"/>
                <w:color w:val="auto"/>
              </w:rPr>
            </w:pPr>
            <w:r>
              <w:rPr>
                <w:rFonts w:ascii="Arial" w:cs="Arial" w:eastAsia="Arial" w:hAnsi="Arial"/>
                <w:sz w:val="18"/>
                <w:szCs w:val="18"/>
                <w:color w:val="auto"/>
              </w:rPr>
              <w:t>12.5%</w:t>
            </w:r>
          </w:p>
        </w:tc>
        <w:tc>
          <w:tcPr>
            <w:tcW w:w="1540" w:type="dxa"/>
            <w:vAlign w:val="bottom"/>
            <w:shd w:val="clear" w:color="auto" w:fill="E8EDF4"/>
          </w:tcPr>
          <w:p>
            <w:pPr>
              <w:jc w:val="right"/>
              <w:ind w:right="139"/>
              <w:spacing w:after="0"/>
              <w:rPr>
                <w:sz w:val="20"/>
                <w:szCs w:val="20"/>
                <w:color w:val="auto"/>
              </w:rPr>
            </w:pPr>
            <w:r>
              <w:rPr>
                <w:rFonts w:ascii="Arial" w:cs="Arial" w:eastAsia="Arial" w:hAnsi="Arial"/>
                <w:sz w:val="18"/>
                <w:szCs w:val="18"/>
                <w:color w:val="auto"/>
              </w:rPr>
              <w:t>90%</w:t>
            </w:r>
          </w:p>
        </w:tc>
        <w:tc>
          <w:tcPr>
            <w:tcW w:w="1540" w:type="dxa"/>
            <w:vAlign w:val="bottom"/>
            <w:shd w:val="clear" w:color="auto" w:fill="E8EDF4"/>
          </w:tcPr>
          <w:p>
            <w:pPr>
              <w:jc w:val="right"/>
              <w:ind w:right="98"/>
              <w:spacing w:after="0"/>
              <w:rPr>
                <w:sz w:val="20"/>
                <w:szCs w:val="20"/>
                <w:color w:val="auto"/>
              </w:rPr>
            </w:pPr>
            <w:r>
              <w:rPr>
                <w:rFonts w:ascii="Arial" w:cs="Arial" w:eastAsia="Arial" w:hAnsi="Arial"/>
                <w:sz w:val="18"/>
                <w:szCs w:val="18"/>
                <w:color w:val="auto"/>
              </w:rPr>
              <w:t>90%</w:t>
            </w:r>
          </w:p>
        </w:tc>
        <w:tc>
          <w:tcPr>
            <w:tcW w:w="1040" w:type="dxa"/>
            <w:vAlign w:val="bottom"/>
            <w:shd w:val="clear" w:color="auto" w:fill="E8EDF4"/>
          </w:tcPr>
          <w:p>
            <w:pPr>
              <w:jc w:val="right"/>
              <w:ind w:right="34"/>
              <w:spacing w:after="0"/>
              <w:rPr>
                <w:sz w:val="20"/>
                <w:szCs w:val="20"/>
                <w:color w:val="auto"/>
              </w:rPr>
            </w:pPr>
            <w:r>
              <w:rPr>
                <w:rFonts w:ascii="Arial" w:cs="Arial" w:eastAsia="Arial" w:hAnsi="Arial"/>
                <w:sz w:val="18"/>
                <w:szCs w:val="18"/>
                <w:color w:val="auto"/>
              </w:rPr>
              <w:t>0%</w:t>
            </w:r>
          </w:p>
        </w:tc>
      </w:tr>
      <w:tr>
        <w:trPr>
          <w:trHeight w:val="203"/>
        </w:trPr>
        <w:tc>
          <w:tcPr>
            <w:tcW w:w="2780" w:type="dxa"/>
            <w:vAlign w:val="bottom"/>
            <w:shd w:val="clear" w:color="auto" w:fill="E8EDF4"/>
          </w:tcPr>
          <w:p>
            <w:pPr>
              <w:ind w:left="160"/>
              <w:spacing w:after="0" w:line="202" w:lineRule="exact"/>
              <w:rPr>
                <w:sz w:val="20"/>
                <w:szCs w:val="20"/>
                <w:color w:val="auto"/>
              </w:rPr>
            </w:pPr>
            <w:r>
              <w:rPr>
                <w:rFonts w:ascii="Arial" w:cs="Arial" w:eastAsia="Arial" w:hAnsi="Arial"/>
                <w:sz w:val="18"/>
                <w:szCs w:val="18"/>
                <w:color w:val="auto"/>
              </w:rPr>
              <w:t>Senior Vice President, Power</w:t>
            </w:r>
          </w:p>
        </w:tc>
        <w:tc>
          <w:tcPr>
            <w:tcW w:w="1360" w:type="dxa"/>
            <w:vAlign w:val="bottom"/>
            <w:shd w:val="clear" w:color="auto" w:fill="E8EDF4"/>
          </w:tcPr>
          <w:p>
            <w:pPr>
              <w:spacing w:after="0"/>
              <w:rPr>
                <w:sz w:val="17"/>
                <w:szCs w:val="17"/>
                <w:color w:val="auto"/>
              </w:rPr>
            </w:pPr>
          </w:p>
        </w:tc>
        <w:tc>
          <w:tcPr>
            <w:tcW w:w="1600" w:type="dxa"/>
            <w:vAlign w:val="bottom"/>
            <w:shd w:val="clear" w:color="auto" w:fill="E8EDF4"/>
          </w:tcPr>
          <w:p>
            <w:pPr>
              <w:spacing w:after="0"/>
              <w:rPr>
                <w:sz w:val="17"/>
                <w:szCs w:val="17"/>
                <w:color w:val="auto"/>
              </w:rPr>
            </w:pPr>
          </w:p>
        </w:tc>
        <w:tc>
          <w:tcPr>
            <w:tcW w:w="1160" w:type="dxa"/>
            <w:vAlign w:val="bottom"/>
            <w:shd w:val="clear" w:color="auto" w:fill="E8EDF4"/>
          </w:tcPr>
          <w:p>
            <w:pPr>
              <w:spacing w:after="0"/>
              <w:rPr>
                <w:sz w:val="17"/>
                <w:szCs w:val="17"/>
                <w:color w:val="auto"/>
              </w:rPr>
            </w:pPr>
          </w:p>
        </w:tc>
        <w:tc>
          <w:tcPr>
            <w:tcW w:w="1540" w:type="dxa"/>
            <w:vAlign w:val="bottom"/>
            <w:shd w:val="clear" w:color="auto" w:fill="E8EDF4"/>
          </w:tcPr>
          <w:p>
            <w:pPr>
              <w:spacing w:after="0"/>
              <w:rPr>
                <w:sz w:val="17"/>
                <w:szCs w:val="17"/>
                <w:color w:val="auto"/>
              </w:rPr>
            </w:pPr>
          </w:p>
        </w:tc>
        <w:tc>
          <w:tcPr>
            <w:tcW w:w="1540" w:type="dxa"/>
            <w:vAlign w:val="bottom"/>
            <w:shd w:val="clear" w:color="auto" w:fill="E8EDF4"/>
          </w:tcPr>
          <w:p>
            <w:pPr>
              <w:spacing w:after="0"/>
              <w:rPr>
                <w:sz w:val="17"/>
                <w:szCs w:val="17"/>
                <w:color w:val="auto"/>
              </w:rPr>
            </w:pPr>
          </w:p>
        </w:tc>
        <w:tc>
          <w:tcPr>
            <w:tcW w:w="1040" w:type="dxa"/>
            <w:vAlign w:val="bottom"/>
            <w:shd w:val="clear" w:color="auto" w:fill="E8EDF4"/>
          </w:tcPr>
          <w:p>
            <w:pPr>
              <w:spacing w:after="0"/>
              <w:rPr>
                <w:sz w:val="17"/>
                <w:szCs w:val="17"/>
                <w:color w:val="auto"/>
              </w:rPr>
            </w:pPr>
          </w:p>
        </w:tc>
      </w:tr>
      <w:tr>
        <w:trPr>
          <w:trHeight w:val="230"/>
        </w:trPr>
        <w:tc>
          <w:tcPr>
            <w:tcW w:w="2780" w:type="dxa"/>
            <w:vAlign w:val="bottom"/>
            <w:shd w:val="clear" w:color="auto" w:fill="E8EDF4"/>
          </w:tcPr>
          <w:p>
            <w:pPr>
              <w:ind w:left="160"/>
              <w:spacing w:after="0"/>
              <w:rPr>
                <w:sz w:val="20"/>
                <w:szCs w:val="20"/>
                <w:color w:val="auto"/>
              </w:rPr>
            </w:pPr>
            <w:r>
              <w:rPr>
                <w:rFonts w:ascii="Arial" w:cs="Arial" w:eastAsia="Arial" w:hAnsi="Arial"/>
                <w:sz w:val="18"/>
                <w:szCs w:val="18"/>
                <w:color w:val="auto"/>
              </w:rPr>
              <w:t>Products</w:t>
            </w:r>
          </w:p>
        </w:tc>
        <w:tc>
          <w:tcPr>
            <w:tcW w:w="1360" w:type="dxa"/>
            <w:vAlign w:val="bottom"/>
            <w:shd w:val="clear" w:color="auto" w:fill="E8EDF4"/>
          </w:tcPr>
          <w:p>
            <w:pPr>
              <w:spacing w:after="0"/>
              <w:rPr>
                <w:sz w:val="20"/>
                <w:szCs w:val="20"/>
                <w:color w:val="auto"/>
              </w:rPr>
            </w:pPr>
          </w:p>
        </w:tc>
        <w:tc>
          <w:tcPr>
            <w:tcW w:w="1600" w:type="dxa"/>
            <w:vAlign w:val="bottom"/>
            <w:shd w:val="clear" w:color="auto" w:fill="E8EDF4"/>
          </w:tcPr>
          <w:p>
            <w:pPr>
              <w:spacing w:after="0"/>
              <w:rPr>
                <w:sz w:val="20"/>
                <w:szCs w:val="20"/>
                <w:color w:val="auto"/>
              </w:rPr>
            </w:pPr>
          </w:p>
        </w:tc>
        <w:tc>
          <w:tcPr>
            <w:tcW w:w="1160" w:type="dxa"/>
            <w:vAlign w:val="bottom"/>
            <w:shd w:val="clear" w:color="auto" w:fill="E8EDF4"/>
          </w:tcPr>
          <w:p>
            <w:pPr>
              <w:spacing w:after="0"/>
              <w:rPr>
                <w:sz w:val="20"/>
                <w:szCs w:val="20"/>
                <w:color w:val="auto"/>
              </w:rPr>
            </w:pPr>
          </w:p>
        </w:tc>
        <w:tc>
          <w:tcPr>
            <w:tcW w:w="1540" w:type="dxa"/>
            <w:vAlign w:val="bottom"/>
            <w:shd w:val="clear" w:color="auto" w:fill="E8EDF4"/>
          </w:tcPr>
          <w:p>
            <w:pPr>
              <w:spacing w:after="0"/>
              <w:rPr>
                <w:sz w:val="20"/>
                <w:szCs w:val="20"/>
                <w:color w:val="auto"/>
              </w:rPr>
            </w:pPr>
          </w:p>
        </w:tc>
        <w:tc>
          <w:tcPr>
            <w:tcW w:w="1540" w:type="dxa"/>
            <w:vAlign w:val="bottom"/>
            <w:shd w:val="clear" w:color="auto" w:fill="E8EDF4"/>
          </w:tcPr>
          <w:p>
            <w:pPr>
              <w:spacing w:after="0"/>
              <w:rPr>
                <w:sz w:val="20"/>
                <w:szCs w:val="20"/>
                <w:color w:val="auto"/>
              </w:rPr>
            </w:pPr>
          </w:p>
        </w:tc>
        <w:tc>
          <w:tcPr>
            <w:tcW w:w="1040" w:type="dxa"/>
            <w:vAlign w:val="bottom"/>
            <w:shd w:val="clear" w:color="auto" w:fill="E8EDF4"/>
          </w:tcPr>
          <w:p>
            <w:pPr>
              <w:spacing w:after="0"/>
              <w:rPr>
                <w:sz w:val="20"/>
                <w:szCs w:val="20"/>
                <w:color w:val="auto"/>
              </w:rPr>
            </w:pPr>
          </w:p>
        </w:tc>
      </w:tr>
    </w:tbl>
    <w:p>
      <w:pPr>
        <w:spacing w:after="0" w:line="215" w:lineRule="exact"/>
        <w:rPr>
          <w:sz w:val="20"/>
          <w:szCs w:val="20"/>
          <w:color w:val="auto"/>
        </w:rPr>
      </w:pPr>
    </w:p>
    <w:p>
      <w:pPr>
        <w:ind w:left="200" w:right="40" w:firstLine="441"/>
        <w:spacing w:after="0"/>
        <w:rPr>
          <w:sz w:val="20"/>
          <w:szCs w:val="20"/>
          <w:color w:val="auto"/>
        </w:rPr>
      </w:pPr>
      <w:r>
        <w:rPr>
          <w:rFonts w:ascii="Arial" w:cs="Arial" w:eastAsia="Arial" w:hAnsi="Arial"/>
          <w:sz w:val="18"/>
          <w:szCs w:val="18"/>
          <w:color w:val="auto"/>
        </w:rPr>
        <w:t>In March 2018, effective May 2018, the Compensation Committee increased the base salaries of Messrs. Mahendra-Rajah, Cotter, Hassett and Pietkiewicz and the individual target bonus for Mr. Cotter after consideration of factors including their performance, tenure, job responsibilities and market data, including benchmark information from our peer group.</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Equity Awards</w:t>
      </w:r>
    </w:p>
    <w:p>
      <w:pPr>
        <w:spacing w:after="0" w:line="126" w:lineRule="exact"/>
        <w:rPr>
          <w:sz w:val="20"/>
          <w:szCs w:val="20"/>
          <w:color w:val="auto"/>
        </w:rPr>
      </w:pPr>
    </w:p>
    <w:p>
      <w:pPr>
        <w:ind w:left="200" w:right="680" w:firstLine="441"/>
        <w:spacing w:after="0" w:line="246" w:lineRule="auto"/>
        <w:rPr>
          <w:sz w:val="20"/>
          <w:szCs w:val="20"/>
          <w:color w:val="auto"/>
        </w:rPr>
      </w:pPr>
      <w:r>
        <w:rPr>
          <w:rFonts w:ascii="Arial" w:cs="Arial" w:eastAsia="Arial" w:hAnsi="Arial"/>
          <w:sz w:val="18"/>
          <w:szCs w:val="18"/>
          <w:color w:val="auto"/>
        </w:rPr>
        <w:t>In fiscal 2019, the Compensation Committee authorized grants of equity awards to our NEOs (other than our Chief Executive Officer), as follows:</w:t>
      </w:r>
    </w:p>
    <w:p>
      <w:pPr>
        <w:spacing w:after="0" w:line="213"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240" w:type="dxa"/>
            <w:vAlign w:val="bottom"/>
            <w:shd w:val="clear" w:color="auto" w:fill="052B82"/>
          </w:tcPr>
          <w:p>
            <w:pPr>
              <w:spacing w:after="0"/>
              <w:rPr>
                <w:sz w:val="14"/>
                <w:szCs w:val="14"/>
                <w:color w:val="auto"/>
              </w:rPr>
            </w:pPr>
          </w:p>
        </w:tc>
        <w:tc>
          <w:tcPr>
            <w:tcW w:w="2300" w:type="dxa"/>
            <w:vAlign w:val="bottom"/>
            <w:shd w:val="clear" w:color="auto" w:fill="052B82"/>
          </w:tcPr>
          <w:p>
            <w:pPr>
              <w:spacing w:after="0"/>
              <w:rPr>
                <w:sz w:val="14"/>
                <w:szCs w:val="14"/>
                <w:color w:val="auto"/>
              </w:rPr>
            </w:pPr>
          </w:p>
        </w:tc>
        <w:tc>
          <w:tcPr>
            <w:tcW w:w="1520" w:type="dxa"/>
            <w:vAlign w:val="bottom"/>
            <w:shd w:val="clear" w:color="auto" w:fill="052B82"/>
          </w:tcPr>
          <w:p>
            <w:pPr>
              <w:jc w:val="right"/>
              <w:ind w:right="276"/>
              <w:spacing w:after="0"/>
              <w:rPr>
                <w:sz w:val="20"/>
                <w:szCs w:val="20"/>
                <w:color w:val="auto"/>
              </w:rPr>
            </w:pPr>
            <w:r>
              <w:rPr>
                <w:rFonts w:ascii="Arial" w:cs="Arial" w:eastAsia="Arial" w:hAnsi="Arial"/>
                <w:sz w:val="14"/>
                <w:szCs w:val="14"/>
                <w:b w:val="1"/>
                <w:bCs w:val="1"/>
                <w:color w:val="FFFFFF"/>
              </w:rPr>
              <w:t>Time-based</w:t>
            </w:r>
          </w:p>
        </w:tc>
        <w:tc>
          <w:tcPr>
            <w:tcW w:w="1520" w:type="dxa"/>
            <w:vAlign w:val="bottom"/>
            <w:shd w:val="clear" w:color="auto" w:fill="052B82"/>
          </w:tcPr>
          <w:p>
            <w:pPr>
              <w:jc w:val="right"/>
              <w:ind w:right="216"/>
              <w:spacing w:after="0"/>
              <w:rPr>
                <w:sz w:val="20"/>
                <w:szCs w:val="20"/>
                <w:color w:val="auto"/>
              </w:rPr>
            </w:pPr>
            <w:r>
              <w:rPr>
                <w:rFonts w:ascii="Arial" w:cs="Arial" w:eastAsia="Arial" w:hAnsi="Arial"/>
                <w:sz w:val="14"/>
                <w:szCs w:val="14"/>
                <w:b w:val="1"/>
                <w:bCs w:val="1"/>
                <w:color w:val="FFFFFF"/>
              </w:rPr>
              <w:t>Relative TSR</w:t>
            </w:r>
          </w:p>
        </w:tc>
        <w:tc>
          <w:tcPr>
            <w:tcW w:w="1540" w:type="dxa"/>
            <w:vAlign w:val="bottom"/>
            <w:shd w:val="clear" w:color="auto" w:fill="052B82"/>
          </w:tcPr>
          <w:p>
            <w:pPr>
              <w:jc w:val="right"/>
              <w:ind w:right="96"/>
              <w:spacing w:after="0"/>
              <w:rPr>
                <w:sz w:val="20"/>
                <w:szCs w:val="20"/>
                <w:color w:val="auto"/>
              </w:rPr>
            </w:pPr>
            <w:r>
              <w:rPr>
                <w:rFonts w:ascii="Arial" w:cs="Arial" w:eastAsia="Arial" w:hAnsi="Arial"/>
                <w:sz w:val="14"/>
                <w:szCs w:val="14"/>
                <w:b w:val="1"/>
                <w:bCs w:val="1"/>
                <w:color w:val="FFFFFF"/>
              </w:rPr>
              <w:t>Financial Metric</w:t>
            </w:r>
          </w:p>
        </w:tc>
      </w:tr>
      <w:tr>
        <w:trPr>
          <w:trHeight w:val="189"/>
        </w:trPr>
        <w:tc>
          <w:tcPr>
            <w:tcW w:w="3240" w:type="dxa"/>
            <w:vAlign w:val="bottom"/>
            <w:shd w:val="clear" w:color="auto" w:fill="052B82"/>
          </w:tcPr>
          <w:p>
            <w:pPr>
              <w:ind w:left="40"/>
              <w:spacing w:after="0"/>
              <w:rPr>
                <w:sz w:val="20"/>
                <w:szCs w:val="20"/>
                <w:color w:val="auto"/>
              </w:rPr>
            </w:pPr>
            <w:r>
              <w:rPr>
                <w:rFonts w:ascii="Arial" w:cs="Arial" w:eastAsia="Arial" w:hAnsi="Arial"/>
                <w:sz w:val="14"/>
                <w:szCs w:val="14"/>
                <w:b w:val="1"/>
                <w:bCs w:val="1"/>
                <w:color w:val="FFFFFF"/>
              </w:rPr>
              <w:t>Name of Executive</w:t>
            </w:r>
          </w:p>
        </w:tc>
        <w:tc>
          <w:tcPr>
            <w:tcW w:w="2300" w:type="dxa"/>
            <w:vAlign w:val="bottom"/>
            <w:shd w:val="clear" w:color="auto" w:fill="052B82"/>
          </w:tcPr>
          <w:p>
            <w:pPr>
              <w:jc w:val="right"/>
              <w:ind w:right="274"/>
              <w:spacing w:after="0"/>
              <w:rPr>
                <w:sz w:val="20"/>
                <w:szCs w:val="20"/>
                <w:color w:val="auto"/>
              </w:rPr>
            </w:pPr>
            <w:r>
              <w:rPr>
                <w:rFonts w:ascii="Arial" w:cs="Arial" w:eastAsia="Arial" w:hAnsi="Arial"/>
                <w:sz w:val="14"/>
                <w:szCs w:val="14"/>
                <w:b w:val="1"/>
                <w:bCs w:val="1"/>
                <w:color w:val="FFFFFF"/>
              </w:rPr>
              <w:t>Stock Options</w:t>
            </w:r>
          </w:p>
        </w:tc>
        <w:tc>
          <w:tcPr>
            <w:tcW w:w="1520" w:type="dxa"/>
            <w:vAlign w:val="bottom"/>
            <w:shd w:val="clear" w:color="auto" w:fill="052B82"/>
          </w:tcPr>
          <w:p>
            <w:pPr>
              <w:jc w:val="right"/>
              <w:ind w:right="496"/>
              <w:spacing w:after="0"/>
              <w:rPr>
                <w:sz w:val="20"/>
                <w:szCs w:val="20"/>
                <w:color w:val="auto"/>
              </w:rPr>
            </w:pPr>
            <w:r>
              <w:rPr>
                <w:rFonts w:ascii="Arial" w:cs="Arial" w:eastAsia="Arial" w:hAnsi="Arial"/>
                <w:sz w:val="14"/>
                <w:szCs w:val="14"/>
                <w:b w:val="1"/>
                <w:bCs w:val="1"/>
                <w:color w:val="FFFFFF"/>
              </w:rPr>
              <w:t>RSUs</w:t>
            </w:r>
          </w:p>
        </w:tc>
        <w:tc>
          <w:tcPr>
            <w:tcW w:w="1520" w:type="dxa"/>
            <w:vAlign w:val="bottom"/>
            <w:shd w:val="clear" w:color="auto" w:fill="052B82"/>
          </w:tcPr>
          <w:p>
            <w:pPr>
              <w:jc w:val="right"/>
              <w:ind w:right="416"/>
              <w:spacing w:after="0"/>
              <w:rPr>
                <w:sz w:val="20"/>
                <w:szCs w:val="20"/>
                <w:color w:val="auto"/>
              </w:rPr>
            </w:pPr>
            <w:r>
              <w:rPr>
                <w:rFonts w:ascii="Arial" w:cs="Arial" w:eastAsia="Arial" w:hAnsi="Arial"/>
                <w:sz w:val="14"/>
                <w:szCs w:val="14"/>
                <w:b w:val="1"/>
                <w:bCs w:val="1"/>
                <w:color w:val="FFFFFF"/>
              </w:rPr>
              <w:t>PRSUs</w:t>
            </w:r>
          </w:p>
        </w:tc>
        <w:tc>
          <w:tcPr>
            <w:tcW w:w="1540" w:type="dxa"/>
            <w:vAlign w:val="bottom"/>
            <w:shd w:val="clear" w:color="auto" w:fill="052B82"/>
          </w:tcPr>
          <w:p>
            <w:pPr>
              <w:jc w:val="right"/>
              <w:ind w:right="396"/>
              <w:spacing w:after="0"/>
              <w:rPr>
                <w:sz w:val="20"/>
                <w:szCs w:val="20"/>
                <w:color w:val="auto"/>
              </w:rPr>
            </w:pPr>
            <w:r>
              <w:rPr>
                <w:rFonts w:ascii="Arial" w:cs="Arial" w:eastAsia="Arial" w:hAnsi="Arial"/>
                <w:sz w:val="14"/>
                <w:szCs w:val="14"/>
                <w:b w:val="1"/>
                <w:bCs w:val="1"/>
                <w:color w:val="FFFFFF"/>
              </w:rPr>
              <w:t>PRSUs</w:t>
            </w:r>
          </w:p>
        </w:tc>
      </w:tr>
      <w:tr>
        <w:trPr>
          <w:trHeight w:val="230"/>
        </w:trPr>
        <w:tc>
          <w:tcPr>
            <w:tcW w:w="3240" w:type="dxa"/>
            <w:vAlign w:val="bottom"/>
          </w:tcPr>
          <w:p>
            <w:pPr>
              <w:ind w:left="40"/>
              <w:spacing w:after="0"/>
              <w:rPr>
                <w:sz w:val="20"/>
                <w:szCs w:val="20"/>
                <w:color w:val="auto"/>
              </w:rPr>
            </w:pPr>
            <w:r>
              <w:rPr>
                <w:rFonts w:ascii="Arial" w:cs="Arial" w:eastAsia="Arial" w:hAnsi="Arial"/>
                <w:sz w:val="18"/>
                <w:szCs w:val="18"/>
                <w:color w:val="auto"/>
              </w:rPr>
              <w:t>Prashanth Mahendra-Rajah</w:t>
            </w:r>
          </w:p>
        </w:tc>
        <w:tc>
          <w:tcPr>
            <w:tcW w:w="2300" w:type="dxa"/>
            <w:vAlign w:val="bottom"/>
          </w:tcPr>
          <w:p>
            <w:pPr>
              <w:jc w:val="right"/>
              <w:ind w:right="274"/>
              <w:spacing w:after="0"/>
              <w:rPr>
                <w:sz w:val="20"/>
                <w:szCs w:val="20"/>
                <w:color w:val="auto"/>
              </w:rPr>
            </w:pPr>
            <w:r>
              <w:rPr>
                <w:rFonts w:ascii="Arial" w:cs="Arial" w:eastAsia="Arial" w:hAnsi="Arial"/>
                <w:sz w:val="18"/>
                <w:szCs w:val="18"/>
                <w:color w:val="auto"/>
              </w:rPr>
              <w:t>26,513</w:t>
            </w:r>
          </w:p>
        </w:tc>
        <w:tc>
          <w:tcPr>
            <w:tcW w:w="1520" w:type="dxa"/>
            <w:vAlign w:val="bottom"/>
          </w:tcPr>
          <w:p>
            <w:pPr>
              <w:jc w:val="right"/>
              <w:ind w:right="276"/>
              <w:spacing w:after="0"/>
              <w:rPr>
                <w:sz w:val="20"/>
                <w:szCs w:val="20"/>
                <w:color w:val="auto"/>
              </w:rPr>
            </w:pPr>
            <w:r>
              <w:rPr>
                <w:rFonts w:ascii="Arial" w:cs="Arial" w:eastAsia="Arial" w:hAnsi="Arial"/>
                <w:sz w:val="18"/>
                <w:szCs w:val="18"/>
                <w:color w:val="auto"/>
              </w:rPr>
              <w:t>5,987</w:t>
            </w:r>
          </w:p>
        </w:tc>
        <w:tc>
          <w:tcPr>
            <w:tcW w:w="1520" w:type="dxa"/>
            <w:vAlign w:val="bottom"/>
          </w:tcPr>
          <w:p>
            <w:pPr>
              <w:jc w:val="right"/>
              <w:ind w:right="196"/>
              <w:spacing w:after="0"/>
              <w:rPr>
                <w:sz w:val="20"/>
                <w:szCs w:val="20"/>
                <w:color w:val="auto"/>
              </w:rPr>
            </w:pPr>
            <w:r>
              <w:rPr>
                <w:rFonts w:ascii="Arial" w:cs="Arial" w:eastAsia="Arial" w:hAnsi="Arial"/>
                <w:sz w:val="18"/>
                <w:szCs w:val="18"/>
                <w:color w:val="auto"/>
              </w:rPr>
              <w:t>5,987</w:t>
            </w:r>
          </w:p>
        </w:tc>
        <w:tc>
          <w:tcPr>
            <w:tcW w:w="1540" w:type="dxa"/>
            <w:vAlign w:val="bottom"/>
          </w:tcPr>
          <w:p>
            <w:pPr>
              <w:jc w:val="right"/>
              <w:ind w:right="96"/>
              <w:spacing w:after="0"/>
              <w:rPr>
                <w:sz w:val="20"/>
                <w:szCs w:val="20"/>
                <w:color w:val="auto"/>
              </w:rPr>
            </w:pPr>
            <w:r>
              <w:rPr>
                <w:rFonts w:ascii="Arial" w:cs="Arial" w:eastAsia="Arial" w:hAnsi="Arial"/>
                <w:sz w:val="18"/>
                <w:szCs w:val="18"/>
                <w:color w:val="auto"/>
              </w:rPr>
              <w:t>5,987</w:t>
            </w:r>
          </w:p>
        </w:tc>
      </w:tr>
      <w:tr>
        <w:trPr>
          <w:trHeight w:val="68"/>
        </w:trPr>
        <w:tc>
          <w:tcPr>
            <w:tcW w:w="3240" w:type="dxa"/>
            <w:vAlign w:val="bottom"/>
          </w:tcPr>
          <w:p>
            <w:pPr>
              <w:spacing w:after="0"/>
              <w:rPr>
                <w:sz w:val="5"/>
                <w:szCs w:val="5"/>
                <w:color w:val="auto"/>
              </w:rPr>
            </w:pPr>
          </w:p>
        </w:tc>
        <w:tc>
          <w:tcPr>
            <w:tcW w:w="230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540" w:type="dxa"/>
            <w:vAlign w:val="bottom"/>
          </w:tcPr>
          <w:p>
            <w:pPr>
              <w:spacing w:after="0"/>
              <w:rPr>
                <w:sz w:val="5"/>
                <w:szCs w:val="5"/>
                <w:color w:val="auto"/>
              </w:rPr>
            </w:pPr>
          </w:p>
        </w:tc>
      </w:tr>
      <w:tr>
        <w:trPr>
          <w:trHeight w:val="230"/>
        </w:trPr>
        <w:tc>
          <w:tcPr>
            <w:tcW w:w="3240" w:type="dxa"/>
            <w:vAlign w:val="bottom"/>
            <w:shd w:val="clear" w:color="auto" w:fill="E8EDF4"/>
          </w:tcPr>
          <w:p>
            <w:pPr>
              <w:ind w:left="40"/>
              <w:spacing w:after="0"/>
              <w:rPr>
                <w:sz w:val="20"/>
                <w:szCs w:val="20"/>
                <w:color w:val="auto"/>
              </w:rPr>
            </w:pPr>
            <w:r>
              <w:rPr>
                <w:rFonts w:ascii="Arial" w:cs="Arial" w:eastAsia="Arial" w:hAnsi="Arial"/>
                <w:sz w:val="18"/>
                <w:szCs w:val="18"/>
                <w:color w:val="auto"/>
              </w:rPr>
              <w:t>Martin Cotter</w:t>
            </w:r>
          </w:p>
        </w:tc>
        <w:tc>
          <w:tcPr>
            <w:tcW w:w="2300" w:type="dxa"/>
            <w:vAlign w:val="bottom"/>
            <w:shd w:val="clear" w:color="auto" w:fill="E8EDF4"/>
          </w:tcPr>
          <w:p>
            <w:pPr>
              <w:jc w:val="right"/>
              <w:ind w:right="274"/>
              <w:spacing w:after="0"/>
              <w:rPr>
                <w:sz w:val="20"/>
                <w:szCs w:val="20"/>
                <w:color w:val="auto"/>
              </w:rPr>
            </w:pPr>
            <w:r>
              <w:rPr>
                <w:rFonts w:ascii="Arial" w:cs="Arial" w:eastAsia="Arial" w:hAnsi="Arial"/>
                <w:sz w:val="18"/>
                <w:szCs w:val="18"/>
                <w:color w:val="auto"/>
              </w:rPr>
              <w:t>17,676</w:t>
            </w:r>
          </w:p>
        </w:tc>
        <w:tc>
          <w:tcPr>
            <w:tcW w:w="1520" w:type="dxa"/>
            <w:vAlign w:val="bottom"/>
            <w:shd w:val="clear" w:color="auto" w:fill="E8EDF4"/>
          </w:tcPr>
          <w:p>
            <w:pPr>
              <w:jc w:val="right"/>
              <w:ind w:right="276"/>
              <w:spacing w:after="0"/>
              <w:rPr>
                <w:sz w:val="20"/>
                <w:szCs w:val="20"/>
                <w:color w:val="auto"/>
              </w:rPr>
            </w:pPr>
            <w:r>
              <w:rPr>
                <w:rFonts w:ascii="Arial" w:cs="Arial" w:eastAsia="Arial" w:hAnsi="Arial"/>
                <w:sz w:val="18"/>
                <w:szCs w:val="18"/>
                <w:color w:val="auto"/>
              </w:rPr>
              <w:t>3,992</w:t>
            </w:r>
          </w:p>
        </w:tc>
        <w:tc>
          <w:tcPr>
            <w:tcW w:w="1520" w:type="dxa"/>
            <w:vAlign w:val="bottom"/>
            <w:shd w:val="clear" w:color="auto" w:fill="E8EDF4"/>
          </w:tcPr>
          <w:p>
            <w:pPr>
              <w:jc w:val="right"/>
              <w:ind w:right="196"/>
              <w:spacing w:after="0"/>
              <w:rPr>
                <w:sz w:val="20"/>
                <w:szCs w:val="20"/>
                <w:color w:val="auto"/>
              </w:rPr>
            </w:pPr>
            <w:r>
              <w:rPr>
                <w:rFonts w:ascii="Arial" w:cs="Arial" w:eastAsia="Arial" w:hAnsi="Arial"/>
                <w:sz w:val="18"/>
                <w:szCs w:val="18"/>
                <w:color w:val="auto"/>
              </w:rPr>
              <w:t>3,992</w:t>
            </w:r>
          </w:p>
        </w:tc>
        <w:tc>
          <w:tcPr>
            <w:tcW w:w="1540" w:type="dxa"/>
            <w:vAlign w:val="bottom"/>
            <w:shd w:val="clear" w:color="auto" w:fill="E8EDF4"/>
          </w:tcPr>
          <w:p>
            <w:pPr>
              <w:jc w:val="right"/>
              <w:ind w:right="96"/>
              <w:spacing w:after="0"/>
              <w:rPr>
                <w:sz w:val="20"/>
                <w:szCs w:val="20"/>
                <w:color w:val="auto"/>
              </w:rPr>
            </w:pPr>
            <w:r>
              <w:rPr>
                <w:rFonts w:ascii="Arial" w:cs="Arial" w:eastAsia="Arial" w:hAnsi="Arial"/>
                <w:sz w:val="18"/>
                <w:szCs w:val="18"/>
                <w:color w:val="auto"/>
              </w:rPr>
              <w:t>3,992</w:t>
            </w:r>
          </w:p>
        </w:tc>
      </w:tr>
      <w:tr>
        <w:trPr>
          <w:trHeight w:val="68"/>
        </w:trPr>
        <w:tc>
          <w:tcPr>
            <w:tcW w:w="3240" w:type="dxa"/>
            <w:vAlign w:val="bottom"/>
            <w:shd w:val="clear" w:color="auto" w:fill="E8EDF4"/>
          </w:tcPr>
          <w:p>
            <w:pPr>
              <w:spacing w:after="0"/>
              <w:rPr>
                <w:sz w:val="5"/>
                <w:szCs w:val="5"/>
                <w:color w:val="auto"/>
              </w:rPr>
            </w:pPr>
          </w:p>
        </w:tc>
        <w:tc>
          <w:tcPr>
            <w:tcW w:w="2300" w:type="dxa"/>
            <w:vAlign w:val="bottom"/>
            <w:shd w:val="clear" w:color="auto" w:fill="E8EDF4"/>
          </w:tcPr>
          <w:p>
            <w:pPr>
              <w:spacing w:after="0"/>
              <w:rPr>
                <w:sz w:val="5"/>
                <w:szCs w:val="5"/>
                <w:color w:val="auto"/>
              </w:rPr>
            </w:pPr>
          </w:p>
        </w:tc>
        <w:tc>
          <w:tcPr>
            <w:tcW w:w="1520" w:type="dxa"/>
            <w:vAlign w:val="bottom"/>
            <w:shd w:val="clear" w:color="auto" w:fill="E8EDF4"/>
          </w:tcPr>
          <w:p>
            <w:pPr>
              <w:spacing w:after="0"/>
              <w:rPr>
                <w:sz w:val="5"/>
                <w:szCs w:val="5"/>
                <w:color w:val="auto"/>
              </w:rPr>
            </w:pPr>
          </w:p>
        </w:tc>
        <w:tc>
          <w:tcPr>
            <w:tcW w:w="1520" w:type="dxa"/>
            <w:vAlign w:val="bottom"/>
            <w:shd w:val="clear" w:color="auto" w:fill="E8EDF4"/>
          </w:tcPr>
          <w:p>
            <w:pPr>
              <w:spacing w:after="0"/>
              <w:rPr>
                <w:sz w:val="5"/>
                <w:szCs w:val="5"/>
                <w:color w:val="auto"/>
              </w:rPr>
            </w:pPr>
          </w:p>
        </w:tc>
        <w:tc>
          <w:tcPr>
            <w:tcW w:w="1540" w:type="dxa"/>
            <w:vAlign w:val="bottom"/>
            <w:shd w:val="clear" w:color="auto" w:fill="E8EDF4"/>
          </w:tcPr>
          <w:p>
            <w:pPr>
              <w:spacing w:after="0"/>
              <w:rPr>
                <w:sz w:val="5"/>
                <w:szCs w:val="5"/>
                <w:color w:val="auto"/>
              </w:rPr>
            </w:pPr>
          </w:p>
        </w:tc>
      </w:tr>
      <w:tr>
        <w:trPr>
          <w:trHeight w:val="230"/>
        </w:trPr>
        <w:tc>
          <w:tcPr>
            <w:tcW w:w="3240" w:type="dxa"/>
            <w:vAlign w:val="bottom"/>
          </w:tcPr>
          <w:p>
            <w:pPr>
              <w:ind w:left="40"/>
              <w:spacing w:after="0"/>
              <w:rPr>
                <w:sz w:val="20"/>
                <w:szCs w:val="20"/>
                <w:color w:val="auto"/>
              </w:rPr>
            </w:pPr>
            <w:r>
              <w:rPr>
                <w:rFonts w:ascii="Arial" w:cs="Arial" w:eastAsia="Arial" w:hAnsi="Arial"/>
                <w:sz w:val="18"/>
                <w:szCs w:val="18"/>
                <w:color w:val="auto"/>
              </w:rPr>
              <w:t>John Hassett</w:t>
            </w:r>
          </w:p>
        </w:tc>
        <w:tc>
          <w:tcPr>
            <w:tcW w:w="2300" w:type="dxa"/>
            <w:vAlign w:val="bottom"/>
          </w:tcPr>
          <w:p>
            <w:pPr>
              <w:jc w:val="right"/>
              <w:ind w:right="274"/>
              <w:spacing w:after="0"/>
              <w:rPr>
                <w:sz w:val="20"/>
                <w:szCs w:val="20"/>
                <w:color w:val="auto"/>
              </w:rPr>
            </w:pPr>
            <w:r>
              <w:rPr>
                <w:rFonts w:ascii="Arial" w:cs="Arial" w:eastAsia="Arial" w:hAnsi="Arial"/>
                <w:sz w:val="18"/>
                <w:szCs w:val="18"/>
                <w:color w:val="auto"/>
              </w:rPr>
              <w:t>17,676</w:t>
            </w:r>
          </w:p>
        </w:tc>
        <w:tc>
          <w:tcPr>
            <w:tcW w:w="1520" w:type="dxa"/>
            <w:vAlign w:val="bottom"/>
          </w:tcPr>
          <w:p>
            <w:pPr>
              <w:jc w:val="right"/>
              <w:ind w:right="276"/>
              <w:spacing w:after="0"/>
              <w:rPr>
                <w:sz w:val="20"/>
                <w:szCs w:val="20"/>
                <w:color w:val="auto"/>
              </w:rPr>
            </w:pPr>
            <w:r>
              <w:rPr>
                <w:rFonts w:ascii="Arial" w:cs="Arial" w:eastAsia="Arial" w:hAnsi="Arial"/>
                <w:sz w:val="18"/>
                <w:szCs w:val="18"/>
                <w:color w:val="auto"/>
              </w:rPr>
              <w:t>3,992</w:t>
            </w:r>
          </w:p>
        </w:tc>
        <w:tc>
          <w:tcPr>
            <w:tcW w:w="1520" w:type="dxa"/>
            <w:vAlign w:val="bottom"/>
          </w:tcPr>
          <w:p>
            <w:pPr>
              <w:jc w:val="right"/>
              <w:ind w:right="196"/>
              <w:spacing w:after="0"/>
              <w:rPr>
                <w:sz w:val="20"/>
                <w:szCs w:val="20"/>
                <w:color w:val="auto"/>
              </w:rPr>
            </w:pPr>
            <w:r>
              <w:rPr>
                <w:rFonts w:ascii="Arial" w:cs="Arial" w:eastAsia="Arial" w:hAnsi="Arial"/>
                <w:sz w:val="18"/>
                <w:szCs w:val="18"/>
                <w:color w:val="auto"/>
              </w:rPr>
              <w:t>3,992</w:t>
            </w:r>
          </w:p>
        </w:tc>
        <w:tc>
          <w:tcPr>
            <w:tcW w:w="1540" w:type="dxa"/>
            <w:vAlign w:val="bottom"/>
          </w:tcPr>
          <w:p>
            <w:pPr>
              <w:jc w:val="right"/>
              <w:ind w:right="96"/>
              <w:spacing w:after="0"/>
              <w:rPr>
                <w:sz w:val="20"/>
                <w:szCs w:val="20"/>
                <w:color w:val="auto"/>
              </w:rPr>
            </w:pPr>
            <w:r>
              <w:rPr>
                <w:rFonts w:ascii="Arial" w:cs="Arial" w:eastAsia="Arial" w:hAnsi="Arial"/>
                <w:sz w:val="18"/>
                <w:szCs w:val="18"/>
                <w:color w:val="auto"/>
              </w:rPr>
              <w:t>3,992</w:t>
            </w:r>
          </w:p>
        </w:tc>
      </w:tr>
      <w:tr>
        <w:trPr>
          <w:trHeight w:val="68"/>
        </w:trPr>
        <w:tc>
          <w:tcPr>
            <w:tcW w:w="3240" w:type="dxa"/>
            <w:vAlign w:val="bottom"/>
          </w:tcPr>
          <w:p>
            <w:pPr>
              <w:spacing w:after="0"/>
              <w:rPr>
                <w:sz w:val="5"/>
                <w:szCs w:val="5"/>
                <w:color w:val="auto"/>
              </w:rPr>
            </w:pPr>
          </w:p>
        </w:tc>
        <w:tc>
          <w:tcPr>
            <w:tcW w:w="230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540" w:type="dxa"/>
            <w:vAlign w:val="bottom"/>
          </w:tcPr>
          <w:p>
            <w:pPr>
              <w:spacing w:after="0"/>
              <w:rPr>
                <w:sz w:val="5"/>
                <w:szCs w:val="5"/>
                <w:color w:val="auto"/>
              </w:rPr>
            </w:pPr>
          </w:p>
        </w:tc>
      </w:tr>
      <w:tr>
        <w:trPr>
          <w:trHeight w:val="230"/>
        </w:trPr>
        <w:tc>
          <w:tcPr>
            <w:tcW w:w="3240" w:type="dxa"/>
            <w:vAlign w:val="bottom"/>
            <w:shd w:val="clear" w:color="auto" w:fill="E8EDF4"/>
          </w:tcPr>
          <w:p>
            <w:pPr>
              <w:ind w:left="40"/>
              <w:spacing w:after="0"/>
              <w:rPr>
                <w:sz w:val="20"/>
                <w:szCs w:val="20"/>
                <w:color w:val="auto"/>
              </w:rPr>
            </w:pPr>
            <w:r>
              <w:rPr>
                <w:rFonts w:ascii="Arial" w:cs="Arial" w:eastAsia="Arial" w:hAnsi="Arial"/>
                <w:sz w:val="18"/>
                <w:szCs w:val="18"/>
                <w:color w:val="auto"/>
              </w:rPr>
              <w:t>Steve Pietkiewicz</w:t>
            </w:r>
          </w:p>
        </w:tc>
        <w:tc>
          <w:tcPr>
            <w:tcW w:w="2300" w:type="dxa"/>
            <w:vAlign w:val="bottom"/>
            <w:shd w:val="clear" w:color="auto" w:fill="E8EDF4"/>
          </w:tcPr>
          <w:p>
            <w:pPr>
              <w:jc w:val="right"/>
              <w:ind w:right="274"/>
              <w:spacing w:after="0"/>
              <w:rPr>
                <w:sz w:val="20"/>
                <w:szCs w:val="20"/>
                <w:color w:val="auto"/>
              </w:rPr>
            </w:pPr>
            <w:r>
              <w:rPr>
                <w:rFonts w:ascii="Arial" w:cs="Arial" w:eastAsia="Arial" w:hAnsi="Arial"/>
                <w:sz w:val="18"/>
                <w:szCs w:val="18"/>
                <w:color w:val="auto"/>
              </w:rPr>
              <w:t>17,676</w:t>
            </w:r>
          </w:p>
        </w:tc>
        <w:tc>
          <w:tcPr>
            <w:tcW w:w="1520" w:type="dxa"/>
            <w:vAlign w:val="bottom"/>
            <w:shd w:val="clear" w:color="auto" w:fill="E8EDF4"/>
          </w:tcPr>
          <w:p>
            <w:pPr>
              <w:jc w:val="right"/>
              <w:ind w:right="276"/>
              <w:spacing w:after="0"/>
              <w:rPr>
                <w:sz w:val="20"/>
                <w:szCs w:val="20"/>
                <w:color w:val="auto"/>
              </w:rPr>
            </w:pPr>
            <w:r>
              <w:rPr>
                <w:rFonts w:ascii="Arial" w:cs="Arial" w:eastAsia="Arial" w:hAnsi="Arial"/>
                <w:sz w:val="18"/>
                <w:szCs w:val="18"/>
                <w:color w:val="auto"/>
              </w:rPr>
              <w:t>7,841</w:t>
            </w:r>
          </w:p>
        </w:tc>
        <w:tc>
          <w:tcPr>
            <w:tcW w:w="1520" w:type="dxa"/>
            <w:vAlign w:val="bottom"/>
            <w:shd w:val="clear" w:color="auto" w:fill="E8EDF4"/>
          </w:tcPr>
          <w:p>
            <w:pPr>
              <w:jc w:val="right"/>
              <w:ind w:right="196"/>
              <w:spacing w:after="0"/>
              <w:rPr>
                <w:sz w:val="20"/>
                <w:szCs w:val="20"/>
                <w:color w:val="auto"/>
              </w:rPr>
            </w:pPr>
            <w:r>
              <w:rPr>
                <w:rFonts w:ascii="Arial" w:cs="Arial" w:eastAsia="Arial" w:hAnsi="Arial"/>
                <w:sz w:val="18"/>
                <w:szCs w:val="18"/>
                <w:color w:val="auto"/>
              </w:rPr>
              <w:t>3,992</w:t>
            </w:r>
          </w:p>
        </w:tc>
        <w:tc>
          <w:tcPr>
            <w:tcW w:w="1540" w:type="dxa"/>
            <w:vAlign w:val="bottom"/>
            <w:shd w:val="clear" w:color="auto" w:fill="E8EDF4"/>
          </w:tcPr>
          <w:p>
            <w:pPr>
              <w:jc w:val="right"/>
              <w:ind w:right="96"/>
              <w:spacing w:after="0"/>
              <w:rPr>
                <w:sz w:val="20"/>
                <w:szCs w:val="20"/>
                <w:color w:val="auto"/>
              </w:rPr>
            </w:pPr>
            <w:r>
              <w:rPr>
                <w:rFonts w:ascii="Arial" w:cs="Arial" w:eastAsia="Arial" w:hAnsi="Arial"/>
                <w:sz w:val="18"/>
                <w:szCs w:val="18"/>
                <w:color w:val="auto"/>
              </w:rPr>
              <w:t>3,992</w:t>
            </w:r>
          </w:p>
        </w:tc>
      </w:tr>
      <w:tr>
        <w:trPr>
          <w:trHeight w:val="68"/>
        </w:trPr>
        <w:tc>
          <w:tcPr>
            <w:tcW w:w="3240" w:type="dxa"/>
            <w:vAlign w:val="bottom"/>
            <w:shd w:val="clear" w:color="auto" w:fill="E8EDF4"/>
          </w:tcPr>
          <w:p>
            <w:pPr>
              <w:spacing w:after="0"/>
              <w:rPr>
                <w:sz w:val="5"/>
                <w:szCs w:val="5"/>
                <w:color w:val="auto"/>
              </w:rPr>
            </w:pPr>
          </w:p>
        </w:tc>
        <w:tc>
          <w:tcPr>
            <w:tcW w:w="2300" w:type="dxa"/>
            <w:vAlign w:val="bottom"/>
            <w:shd w:val="clear" w:color="auto" w:fill="E8EDF4"/>
          </w:tcPr>
          <w:p>
            <w:pPr>
              <w:spacing w:after="0"/>
              <w:rPr>
                <w:sz w:val="5"/>
                <w:szCs w:val="5"/>
                <w:color w:val="auto"/>
              </w:rPr>
            </w:pPr>
          </w:p>
        </w:tc>
        <w:tc>
          <w:tcPr>
            <w:tcW w:w="1520" w:type="dxa"/>
            <w:vAlign w:val="bottom"/>
            <w:shd w:val="clear" w:color="auto" w:fill="E8EDF4"/>
          </w:tcPr>
          <w:p>
            <w:pPr>
              <w:spacing w:after="0"/>
              <w:rPr>
                <w:sz w:val="5"/>
                <w:szCs w:val="5"/>
                <w:color w:val="auto"/>
              </w:rPr>
            </w:pPr>
          </w:p>
        </w:tc>
        <w:tc>
          <w:tcPr>
            <w:tcW w:w="1520" w:type="dxa"/>
            <w:vAlign w:val="bottom"/>
            <w:shd w:val="clear" w:color="auto" w:fill="E8EDF4"/>
          </w:tcPr>
          <w:p>
            <w:pPr>
              <w:spacing w:after="0"/>
              <w:rPr>
                <w:sz w:val="5"/>
                <w:szCs w:val="5"/>
                <w:color w:val="auto"/>
              </w:rPr>
            </w:pPr>
          </w:p>
        </w:tc>
        <w:tc>
          <w:tcPr>
            <w:tcW w:w="1540" w:type="dxa"/>
            <w:vAlign w:val="bottom"/>
            <w:shd w:val="clear" w:color="auto" w:fill="E8EDF4"/>
          </w:tcPr>
          <w:p>
            <w:pPr>
              <w:spacing w:after="0"/>
              <w:rPr>
                <w:sz w:val="5"/>
                <w:szCs w:val="5"/>
                <w:color w:val="auto"/>
              </w:rPr>
            </w:pPr>
          </w:p>
        </w:tc>
      </w:tr>
    </w:tbl>
    <w:p>
      <w:pPr>
        <w:spacing w:after="0" w:line="215" w:lineRule="exact"/>
        <w:rPr>
          <w:sz w:val="20"/>
          <w:szCs w:val="20"/>
          <w:color w:val="auto"/>
        </w:rPr>
      </w:pPr>
    </w:p>
    <w:p>
      <w:pPr>
        <w:ind w:left="200" w:right="220" w:firstLine="441"/>
        <w:spacing w:after="0" w:line="238" w:lineRule="auto"/>
        <w:rPr>
          <w:sz w:val="20"/>
          <w:szCs w:val="20"/>
          <w:color w:val="auto"/>
        </w:rPr>
      </w:pPr>
      <w:r>
        <w:rPr>
          <w:rFonts w:ascii="Arial" w:cs="Arial" w:eastAsia="Arial" w:hAnsi="Arial"/>
          <w:sz w:val="18"/>
          <w:szCs w:val="18"/>
          <w:color w:val="auto"/>
        </w:rPr>
        <w:t>In granting awards to Messrs. Mahendra-Rajah, Cotter, Hassett and Pietkiewicz, the Compensation Committee considered the executive’s individual responsibilities and other factors including their performance, tenure and market data, including benchmark information from our peer group. The time-based RSUs granted by the Compensation Committee to Mr. Pietkiewicz include 3,849 RSUs granted in June 2019 as part of the alignment of the compensation of our executives and legacy ADI and Linear Technology employees and is the final award granted to Mr. Pietkiewicz in connection with such alignment.</w:t>
      </w:r>
    </w:p>
    <w:p>
      <w:pPr>
        <w:spacing w:after="0" w:line="135" w:lineRule="exact"/>
        <w:rPr>
          <w:sz w:val="20"/>
          <w:szCs w:val="20"/>
          <w:color w:val="auto"/>
        </w:rPr>
      </w:pPr>
    </w:p>
    <w:p>
      <w:pPr>
        <w:ind w:left="9320"/>
        <w:spacing w:after="0"/>
        <w:tabs>
          <w:tab w:leader="none" w:pos="11000" w:val="left"/>
        </w:tabs>
        <w:rPr>
          <w:sz w:val="20"/>
          <w:szCs w:val="20"/>
          <w:color w:val="auto"/>
        </w:rPr>
      </w:pPr>
      <w:r>
        <w:rPr>
          <w:rFonts w:ascii="Arial" w:cs="Arial" w:eastAsia="Arial" w:hAnsi="Arial"/>
          <w:sz w:val="14"/>
          <w:szCs w:val="14"/>
          <w:b w:val="1"/>
          <w:bCs w:val="1"/>
          <w:color w:val="052B82"/>
        </w:rPr>
        <w:t>2020 Proxy Statement</w:t>
      </w:r>
      <w:r>
        <w:rPr>
          <w:sz w:val="20"/>
          <w:szCs w:val="20"/>
          <w:color w:val="auto"/>
        </w:rPr>
        <w:tab/>
      </w:r>
      <w:r>
        <w:rPr>
          <w:rFonts w:ascii="Arial" w:cs="Arial" w:eastAsia="Arial" w:hAnsi="Arial"/>
          <w:sz w:val="17"/>
          <w:szCs w:val="17"/>
          <w:color w:val="999999"/>
        </w:rPr>
        <w:t>51</w:t>
      </w:r>
    </w:p>
    <w:p>
      <w:pPr>
        <w:sectPr>
          <w:pgSz w:w="11900" w:h="16838" w:orient="portrait"/>
          <w:cols w:equalWidth="0" w:num="1">
            <w:col w:w="11240"/>
          </w:cols>
          <w:pgMar w:left="240" w:top="459" w:right="41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2649855" cy="1371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Severance, Retention and Change in Control Benefits</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Change in Control Benefits</w:t>
      </w:r>
    </w:p>
    <w:p>
      <w:pPr>
        <w:spacing w:after="0" w:line="126" w:lineRule="exact"/>
        <w:rPr>
          <w:sz w:val="20"/>
          <w:szCs w:val="20"/>
          <w:color w:val="auto"/>
        </w:rPr>
      </w:pPr>
    </w:p>
    <w:p>
      <w:pPr>
        <w:jc w:val="both"/>
        <w:ind w:left="200" w:right="200" w:firstLine="441"/>
        <w:spacing w:after="0"/>
        <w:rPr>
          <w:sz w:val="20"/>
          <w:szCs w:val="20"/>
          <w:color w:val="auto"/>
        </w:rPr>
      </w:pPr>
      <w:r>
        <w:rPr>
          <w:rFonts w:ascii="Arial" w:cs="Arial" w:eastAsia="Arial" w:hAnsi="Arial"/>
          <w:sz w:val="18"/>
          <w:szCs w:val="18"/>
          <w:color w:val="auto"/>
        </w:rPr>
        <w:t>We have entered into change in control retention agreements with each of our executive officers and other key employees. Among other things, these retention agreements provide for severance benefits if the employee’s service with us is terminated within 24 months after a change in control (as defined in each agreement) that was approved by our Board of Directors.</w:t>
      </w:r>
    </w:p>
    <w:p>
      <w:pPr>
        <w:spacing w:after="0" w:line="203" w:lineRule="exact"/>
        <w:rPr>
          <w:sz w:val="20"/>
          <w:szCs w:val="20"/>
          <w:color w:val="auto"/>
        </w:rPr>
      </w:pPr>
    </w:p>
    <w:p>
      <w:pPr>
        <w:ind w:left="200" w:right="20" w:firstLine="441"/>
        <w:spacing w:after="0" w:line="236" w:lineRule="auto"/>
        <w:rPr>
          <w:sz w:val="20"/>
          <w:szCs w:val="20"/>
          <w:color w:val="auto"/>
        </w:rPr>
      </w:pPr>
      <w:r>
        <w:rPr>
          <w:rFonts w:ascii="Arial" w:cs="Arial" w:eastAsia="Arial" w:hAnsi="Arial"/>
          <w:sz w:val="18"/>
          <w:szCs w:val="18"/>
          <w:color w:val="auto"/>
        </w:rPr>
        <w:t>We designed the change in control retention agreements to help ensure that our executive team is able to evaluate objectively whether a potential change in control transaction is in the best interests of ADI and our shareholders, despite possible risks to their future employment. We believe that retaining the services of our key executives during a change in control scenario is critical. These agreements help ensure the continued services of our executive officers throughout the change in control transaction by giving them incentives to remain with us rather than seeking alternative employment or being recruited to a competitor during a highly uncertain time. The Compensation Committee reviewed prevalent market practices in determining the severance amounts and the events that trigger payments under the agreements. The Compensation Committee determined that the amounts and triggering events were appropriate and designed to encourage decision-making that is in the best interests of ADI. In fiscal 2019, the Compensation Committee asked Pearl Meyer, its independent compensation consultant, to review our severance, retention and change in control arrangements and Pearl Meyer determined that those arrangements were competitive with existing market practice in the semiconductor industry and that it was appropriate to maintain the program for fiscal 2019. Change in control retention agreements entered into between the Company and eligible employees since 2009 do not contain excess parachute payment tax gross-up provisions.</w:t>
      </w:r>
    </w:p>
    <w:p>
      <w:pPr>
        <w:spacing w:after="0" w:line="205" w:lineRule="exact"/>
        <w:rPr>
          <w:sz w:val="20"/>
          <w:szCs w:val="20"/>
          <w:color w:val="auto"/>
        </w:rPr>
      </w:pPr>
    </w:p>
    <w:p>
      <w:pPr>
        <w:ind w:left="200" w:firstLine="441"/>
        <w:spacing w:after="0" w:line="237" w:lineRule="auto"/>
        <w:rPr>
          <w:sz w:val="20"/>
          <w:szCs w:val="20"/>
          <w:color w:val="auto"/>
        </w:rPr>
      </w:pPr>
      <w:r>
        <w:rPr>
          <w:rFonts w:ascii="Arial" w:cs="Arial" w:eastAsia="Arial" w:hAnsi="Arial"/>
          <w:sz w:val="18"/>
          <w:szCs w:val="18"/>
          <w:color w:val="auto"/>
        </w:rPr>
        <w:t>Under our 2006 Stock Incentive Plan, in the event of a change in control, all of our employees, including our NEOs, if they remain employed by ADI, would have one-half of the shares of common stock subject to their then outstanding unvested options accelerate and become immediately exercisable and one-half of their unvested RSUs would vest. The remaining one-half of their unvested options and RSUs would continue to vest in accordance with the original vesting schedules, and any remaining unvested options and RSUs would vest if, on or prior to the first anniversary of the change in control, his or her employment is terminated without “cause” or for “good reason” (as defined in the plan). We have provided more detailed information about these benefits, along with estimates of their value under various circumstances, under the caption “—Potential Payments Upon Termination or Change in Control” below.</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Severance Benefits</w:t>
      </w:r>
    </w:p>
    <w:p>
      <w:pPr>
        <w:spacing w:after="0" w:line="126" w:lineRule="exact"/>
        <w:rPr>
          <w:sz w:val="20"/>
          <w:szCs w:val="20"/>
          <w:color w:val="auto"/>
        </w:rPr>
      </w:pPr>
    </w:p>
    <w:p>
      <w:pPr>
        <w:jc w:val="both"/>
        <w:ind w:left="200" w:right="60" w:firstLine="441"/>
        <w:spacing w:after="0" w:line="246" w:lineRule="auto"/>
        <w:rPr>
          <w:sz w:val="20"/>
          <w:szCs w:val="20"/>
          <w:color w:val="auto"/>
        </w:rPr>
      </w:pPr>
      <w:r>
        <w:rPr>
          <w:rFonts w:ascii="Arial" w:cs="Arial" w:eastAsia="Arial" w:hAnsi="Arial"/>
          <w:sz w:val="18"/>
          <w:szCs w:val="18"/>
          <w:color w:val="auto"/>
        </w:rPr>
        <w:t>When the employment of an executive officer terminates in a situation that does not involve a change in control, the officer is entitled to receive the same benefits as any other terminated employee in that geographical location.</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 Award Grant Date Policy</w:t>
      </w:r>
    </w:p>
    <w:p>
      <w:pPr>
        <w:spacing w:after="0" w:line="126" w:lineRule="exact"/>
        <w:rPr>
          <w:sz w:val="20"/>
          <w:szCs w:val="20"/>
          <w:color w:val="auto"/>
        </w:rPr>
      </w:pPr>
    </w:p>
    <w:p>
      <w:pPr>
        <w:jc w:val="both"/>
        <w:ind w:left="200" w:right="40" w:firstLine="441"/>
        <w:spacing w:after="0"/>
        <w:rPr>
          <w:sz w:val="20"/>
          <w:szCs w:val="20"/>
          <w:color w:val="auto"/>
        </w:rPr>
      </w:pPr>
      <w:r>
        <w:rPr>
          <w:rFonts w:ascii="Arial" w:cs="Arial" w:eastAsia="Arial" w:hAnsi="Arial"/>
          <w:sz w:val="18"/>
          <w:szCs w:val="18"/>
          <w:color w:val="auto"/>
        </w:rPr>
        <w:t>Our Compensation Committee has adopted specific policies regarding the grant dates of stock options, RSUs and other stock-based awards for our executive officers and employees. In each case, the exercise price of stock options equals the closing price of our common stock on the grant date.</w:t>
      </w:r>
    </w:p>
    <w:p>
      <w:pPr>
        <w:spacing w:after="0" w:line="106" w:lineRule="exact"/>
        <w:rPr>
          <w:sz w:val="20"/>
          <w:szCs w:val="20"/>
          <w:color w:val="auto"/>
        </w:rPr>
      </w:pPr>
    </w:p>
    <w:p>
      <w:pPr>
        <w:jc w:val="both"/>
        <w:ind w:left="1180" w:right="240" w:hanging="436"/>
        <w:spacing w:after="0" w:line="242" w:lineRule="auto"/>
        <w:tabs>
          <w:tab w:leader="none" w:pos="118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New Hire Grants</w:t>
      </w:r>
      <w:r>
        <w:rPr>
          <w:rFonts w:ascii="Arial" w:cs="Arial" w:eastAsia="Arial" w:hAnsi="Arial"/>
          <w:sz w:val="18"/>
          <w:szCs w:val="18"/>
          <w:color w:val="auto"/>
        </w:rPr>
        <w:t>: The grant date of all awards to newly hired executive officers and employees is the 15</w:t>
      </w:r>
      <w:r>
        <w:rPr>
          <w:rFonts w:ascii="Arial" w:cs="Arial" w:eastAsia="Arial" w:hAnsi="Arial"/>
          <w:sz w:val="15"/>
          <w:szCs w:val="15"/>
          <w:color w:val="auto"/>
        </w:rPr>
        <w:t>th</w:t>
      </w:r>
      <w:r>
        <w:rPr>
          <w:rFonts w:ascii="Arial" w:cs="Arial" w:eastAsia="Arial" w:hAnsi="Arial"/>
          <w:sz w:val="18"/>
          <w:szCs w:val="18"/>
          <w:color w:val="auto"/>
        </w:rPr>
        <w:t xml:space="preserve"> day of the month after the date on which the individual commences employment with us (or the next succeeding business day that Nasdaq is open).</w:t>
      </w:r>
    </w:p>
    <w:p>
      <w:pPr>
        <w:spacing w:after="0" w:line="105" w:lineRule="exact"/>
        <w:rPr>
          <w:rFonts w:ascii="Arial" w:cs="Arial" w:eastAsia="Arial" w:hAnsi="Arial"/>
          <w:sz w:val="18"/>
          <w:szCs w:val="18"/>
          <w:color w:val="auto"/>
        </w:rPr>
      </w:pPr>
    </w:p>
    <w:p>
      <w:pPr>
        <w:ind w:left="1180" w:right="280" w:hanging="436"/>
        <w:spacing w:after="0" w:line="246" w:lineRule="auto"/>
        <w:tabs>
          <w:tab w:leader="none" w:pos="118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Annual Grants</w:t>
      </w:r>
      <w:r>
        <w:rPr>
          <w:rFonts w:ascii="Arial" w:cs="Arial" w:eastAsia="Arial" w:hAnsi="Arial"/>
          <w:sz w:val="18"/>
          <w:szCs w:val="18"/>
          <w:color w:val="auto"/>
        </w:rPr>
        <w:t>: The grant date of all annual awards is the earlier to occur of (i) the scheduled date of the annual meeting of shareholders, or (ii) the first business day of April that Nasdaq is open.</w:t>
      </w:r>
    </w:p>
    <w:p>
      <w:pPr>
        <w:spacing w:after="0" w:line="102" w:lineRule="exact"/>
        <w:rPr>
          <w:rFonts w:ascii="Arial" w:cs="Arial" w:eastAsia="Arial" w:hAnsi="Arial"/>
          <w:sz w:val="18"/>
          <w:szCs w:val="18"/>
          <w:color w:val="auto"/>
        </w:rPr>
      </w:pPr>
    </w:p>
    <w:p>
      <w:pPr>
        <w:ind w:left="1180" w:right="60" w:hanging="436"/>
        <w:spacing w:after="0"/>
        <w:tabs>
          <w:tab w:leader="none" w:pos="118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Other Grants</w:t>
      </w:r>
      <w:r>
        <w:rPr>
          <w:rFonts w:ascii="Arial" w:cs="Arial" w:eastAsia="Arial" w:hAnsi="Arial"/>
          <w:sz w:val="18"/>
          <w:szCs w:val="18"/>
          <w:color w:val="auto"/>
        </w:rPr>
        <w:t>: All other awards granted to existing executive officers and employees throughout the year (off-cycle awards) have a grant date of the 15</w:t>
      </w:r>
      <w:r>
        <w:rPr>
          <w:rFonts w:ascii="Arial" w:cs="Arial" w:eastAsia="Arial" w:hAnsi="Arial"/>
          <w:sz w:val="15"/>
          <w:szCs w:val="15"/>
          <w:color w:val="auto"/>
        </w:rPr>
        <w:t>th</w:t>
      </w:r>
      <w:r>
        <w:rPr>
          <w:rFonts w:ascii="Arial" w:cs="Arial" w:eastAsia="Arial" w:hAnsi="Arial"/>
          <w:sz w:val="18"/>
          <w:szCs w:val="18"/>
          <w:color w:val="auto"/>
        </w:rPr>
        <w:t xml:space="preserve"> day of the month (or the next succeeding business day that Nasdaq is open) provided the award is approved on or prior to such grant date.</w:t>
      </w:r>
    </w:p>
    <w:p>
      <w:pPr>
        <w:spacing w:after="0" w:line="108" w:lineRule="exact"/>
        <w:rPr>
          <w:rFonts w:ascii="Arial" w:cs="Arial" w:eastAsia="Arial" w:hAnsi="Arial"/>
          <w:sz w:val="18"/>
          <w:szCs w:val="18"/>
          <w:color w:val="auto"/>
        </w:rPr>
      </w:pPr>
    </w:p>
    <w:p>
      <w:pPr>
        <w:jc w:val="both"/>
        <w:ind w:left="1180" w:right="100" w:hanging="436"/>
        <w:spacing w:after="0"/>
        <w:tabs>
          <w:tab w:leader="none" w:pos="118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Foreign Registrations</w:t>
      </w:r>
      <w:r>
        <w:rPr>
          <w:rFonts w:ascii="Arial" w:cs="Arial" w:eastAsia="Arial" w:hAnsi="Arial"/>
          <w:sz w:val="18"/>
          <w:szCs w:val="18"/>
          <w:color w:val="auto"/>
        </w:rPr>
        <w:t>: Any awards requiring registration or approval in a foreign jurisdiction will have a grant date of the 15th day of the month (or the next succeeding business day that Nasdaq is open) following the effective date of that registration or approval.</w:t>
      </w:r>
    </w:p>
    <w:p>
      <w:pPr>
        <w:spacing w:after="0" w:line="133" w:lineRule="exact"/>
        <w:rPr>
          <w:sz w:val="20"/>
          <w:szCs w:val="20"/>
          <w:color w:val="auto"/>
        </w:rPr>
      </w:pPr>
    </w:p>
    <w:p>
      <w:pPr>
        <w:ind w:left="600" w:hanging="396"/>
        <w:spacing w:after="0"/>
        <w:tabs>
          <w:tab w:leader="none" w:pos="600" w:val="left"/>
        </w:tabs>
        <w:numPr>
          <w:ilvl w:val="0"/>
          <w:numId w:val="81"/>
        </w:numPr>
        <w:rPr>
          <w:rFonts w:ascii="Arial" w:cs="Arial" w:eastAsia="Arial" w:hAnsi="Arial"/>
          <w:sz w:val="18"/>
          <w:szCs w:val="18"/>
          <w:color w:val="999999"/>
        </w:rPr>
      </w:pPr>
      <w:r>
        <w:rPr>
          <w:rFonts w:ascii="Arial" w:cs="Arial" w:eastAsia="Arial" w:hAnsi="Arial"/>
          <w:sz w:val="14"/>
          <w:szCs w:val="14"/>
          <w:b w:val="1"/>
          <w:bCs w:val="1"/>
          <w:color w:val="052B82"/>
        </w:rPr>
        <w:t>Analog Devices, Inc.</w:t>
      </w:r>
    </w:p>
    <w:p>
      <w:pPr>
        <w:sectPr>
          <w:pgSz w:w="11900" w:h="16838" w:orient="portrait"/>
          <w:cols w:equalWidth="0" w:num="1">
            <w:col w:w="11220"/>
          </w:cols>
          <w:pgMar w:left="24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205740</wp:posOffset>
            </wp:positionV>
            <wp:extent cx="2649855" cy="1371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180" w:right="140" w:hanging="436"/>
        <w:spacing w:after="0" w:line="239" w:lineRule="auto"/>
        <w:tabs>
          <w:tab w:leader="none" w:pos="118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Blackout Periods</w:t>
      </w:r>
      <w:r>
        <w:rPr>
          <w:rFonts w:ascii="Arial" w:cs="Arial" w:eastAsia="Arial" w:hAnsi="Arial"/>
          <w:sz w:val="18"/>
          <w:szCs w:val="18"/>
          <w:color w:val="auto"/>
        </w:rPr>
        <w:t>: Our Compensation Committee does not approve off-cycle awards to our executive officers during the quarterly and annual blackout periods under our insider trading policy. The quarterly and annual blackout periods begin three weeks before the end of each fiscal quarter and end at the beginning of the second full trading day after we announce our quarterly earnings.</w:t>
      </w:r>
    </w:p>
    <w:p>
      <w:pPr>
        <w:spacing w:after="0" w:line="202" w:lineRule="exact"/>
        <w:rPr>
          <w:sz w:val="20"/>
          <w:szCs w:val="20"/>
          <w:color w:val="auto"/>
        </w:rPr>
      </w:pPr>
    </w:p>
    <w:p>
      <w:pPr>
        <w:ind w:left="200" w:right="540" w:firstLine="441"/>
        <w:spacing w:after="0" w:line="246" w:lineRule="auto"/>
        <w:rPr>
          <w:sz w:val="20"/>
          <w:szCs w:val="20"/>
          <w:color w:val="auto"/>
        </w:rPr>
      </w:pPr>
      <w:r>
        <w:rPr>
          <w:rFonts w:ascii="Arial" w:cs="Arial" w:eastAsia="Arial" w:hAnsi="Arial"/>
          <w:sz w:val="18"/>
          <w:szCs w:val="18"/>
          <w:color w:val="auto"/>
        </w:rPr>
        <w:t>We describe the equity award grant date policy for our non-employee directors above under “Corporate Governance—Director Compensation.”</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 and Accounting Considerations</w:t>
      </w:r>
    </w:p>
    <w:p>
      <w:pPr>
        <w:spacing w:after="0" w:line="126" w:lineRule="exact"/>
        <w:rPr>
          <w:sz w:val="20"/>
          <w:szCs w:val="20"/>
          <w:color w:val="auto"/>
        </w:rPr>
      </w:pPr>
    </w:p>
    <w:p>
      <w:pPr>
        <w:ind w:left="200" w:firstLine="441"/>
        <w:spacing w:after="0" w:line="237" w:lineRule="auto"/>
        <w:rPr>
          <w:sz w:val="20"/>
          <w:szCs w:val="20"/>
          <w:color w:val="auto"/>
        </w:rPr>
      </w:pPr>
      <w:r>
        <w:rPr>
          <w:rFonts w:ascii="Arial" w:cs="Arial" w:eastAsia="Arial" w:hAnsi="Arial"/>
          <w:sz w:val="18"/>
          <w:szCs w:val="18"/>
          <w:color w:val="auto"/>
        </w:rPr>
        <w:t>Section 162(m) of the Internal Revenue Code, generally disallows a tax deduction to public companies for compensation in excess of $1 million paid to certain of the Company’s executives. Pursuant to the Tax Cuts and Jobs Act of 2017, or Tax Act, for fiscal years beginning after December 31, 2017, the group of executives whose compensation is subject to the deduction limitation is broader than under prior law. Prior to the effectiveness of the Tax Act, the deduction limit did not apply to “performance-based compensation” satisfying the requirements of Section 162(m). For fiscal 2019 and future tax years, subject to the transition rules, all compensation in excess of $1 million paid to the specified executives will not be deductible.</w:t>
      </w:r>
    </w:p>
    <w:p>
      <w:pPr>
        <w:spacing w:after="0" w:line="205" w:lineRule="exact"/>
        <w:rPr>
          <w:sz w:val="20"/>
          <w:szCs w:val="20"/>
          <w:color w:val="auto"/>
        </w:rPr>
      </w:pPr>
    </w:p>
    <w:p>
      <w:pPr>
        <w:ind w:left="200" w:right="200" w:firstLine="441"/>
        <w:spacing w:after="0"/>
        <w:rPr>
          <w:sz w:val="20"/>
          <w:szCs w:val="20"/>
          <w:color w:val="auto"/>
        </w:rPr>
      </w:pPr>
      <w:r>
        <w:rPr>
          <w:rFonts w:ascii="Arial" w:cs="Arial" w:eastAsia="Arial" w:hAnsi="Arial"/>
          <w:sz w:val="18"/>
          <w:szCs w:val="18"/>
          <w:color w:val="auto"/>
        </w:rPr>
        <w:t>Mr. Roche has a change in control retention agreement that contains provisions regarding Section 280G of the Internal Revenue Code. Since 2009, any new executive compensation arrangements for new executives do not contain tax gross up provisions for excess parachute payments.</w:t>
      </w:r>
    </w:p>
    <w:p>
      <w:pPr>
        <w:spacing w:after="0" w:line="203" w:lineRule="exact"/>
        <w:rPr>
          <w:sz w:val="20"/>
          <w:szCs w:val="20"/>
          <w:color w:val="auto"/>
        </w:rPr>
      </w:pPr>
    </w:p>
    <w:p>
      <w:pPr>
        <w:ind w:left="200" w:right="300" w:firstLine="441"/>
        <w:spacing w:after="0" w:line="238" w:lineRule="auto"/>
        <w:rPr>
          <w:sz w:val="20"/>
          <w:szCs w:val="20"/>
          <w:color w:val="auto"/>
        </w:rPr>
      </w:pPr>
      <w:r>
        <w:rPr>
          <w:rFonts w:ascii="Arial" w:cs="Arial" w:eastAsia="Arial" w:hAnsi="Arial"/>
          <w:sz w:val="18"/>
          <w:szCs w:val="18"/>
          <w:color w:val="auto"/>
        </w:rPr>
        <w:t>We expense in our financial statements the compensation that we pay to our executive officers, as required by U.S. generally accepted accounting principles. As one of many factors, the Compensation Committee considers the financial statement impact in determining the amount of, and allocation among the elements of, compensation. We account for stock-based compensation under our 2006 Stock Incentive Plan and the 2005 Plan and the 2010 Plan (the latter two of which we assumed in the Linear Technology acquisition), as well as all predecessor plans, in accordance with U.S. generally accepted accounting principles.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 Considerations in Our Compensation Program</w:t>
      </w:r>
    </w:p>
    <w:p>
      <w:pPr>
        <w:spacing w:after="0" w:line="126" w:lineRule="exact"/>
        <w:rPr>
          <w:sz w:val="20"/>
          <w:szCs w:val="20"/>
          <w:color w:val="auto"/>
        </w:rPr>
      </w:pPr>
    </w:p>
    <w:p>
      <w:pPr>
        <w:ind w:left="200" w:right="260" w:firstLine="441"/>
        <w:spacing w:after="0" w:line="237" w:lineRule="auto"/>
        <w:rPr>
          <w:sz w:val="20"/>
          <w:szCs w:val="20"/>
          <w:color w:val="auto"/>
        </w:rPr>
      </w:pPr>
      <w:r>
        <w:rPr>
          <w:rFonts w:ascii="Arial" w:cs="Arial" w:eastAsia="Arial" w:hAnsi="Arial"/>
          <w:sz w:val="18"/>
          <w:szCs w:val="18"/>
          <w:color w:val="auto"/>
        </w:rPr>
        <w:t>In fiscal 2019, our Compensation Committee reviewed our incentive compensation programs, discussed the concept of risk as it relates to our compensation program, considered various mitigating factors and reviewed these items with its independent consultant, Pearl Meyer. In addition, our Compensation Committee asked Pearl Meyer to conduct an independent risk assessment of our executive compensation program. Based on these reviews and discussions, the Compensation Committee does not believe that any risks arising from our employee compensation policies and practices are reasonably likely to have a material adverse effect on our company. Our Compensation Committee believes that any such risks are mitigated by the following factors, among others:</w:t>
      </w:r>
    </w:p>
    <w:p>
      <w:pPr>
        <w:spacing w:after="0" w:line="111" w:lineRule="exact"/>
        <w:rPr>
          <w:sz w:val="20"/>
          <w:szCs w:val="20"/>
          <w:color w:val="auto"/>
        </w:rPr>
      </w:pPr>
    </w:p>
    <w:p>
      <w:pPr>
        <w:ind w:left="1180" w:right="40" w:hanging="436"/>
        <w:spacing w:after="0" w:line="238" w:lineRule="auto"/>
        <w:tabs>
          <w:tab w:leader="none" w:pos="11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We structure our pay to consist of both fixed and variable compensation with short- and long-term horizons. We feel that the variable elements of compensation, which represented 91% and 82% of the total target compensation for our CEO and other NEOs, respectively, for fiscal 2019, are a sufficient percentage of overall compensation to motivate executives to produce superior short- and long-term corporate results and to achieve Company goals, while the fixed element is also sufficiently high that the executives are not encouraged to take unnecessary or excessive risks in doing so.</w:t>
      </w:r>
    </w:p>
    <w:p>
      <w:pPr>
        <w:spacing w:after="0" w:line="108" w:lineRule="exact"/>
        <w:rPr>
          <w:rFonts w:ascii="Arial" w:cs="Arial" w:eastAsia="Arial" w:hAnsi="Arial"/>
          <w:sz w:val="18"/>
          <w:szCs w:val="18"/>
          <w:color w:val="auto"/>
        </w:rPr>
      </w:pPr>
    </w:p>
    <w:p>
      <w:pPr>
        <w:ind w:left="1180" w:right="60" w:hanging="436"/>
        <w:spacing w:after="0" w:line="236" w:lineRule="auto"/>
        <w:tabs>
          <w:tab w:leader="none" w:pos="11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We believe that our focus on both OPBT margin and year-over-year revenue growth through our executive performance incentive plan, and operating profit and stock price performance through our equity compensation program, provides a check on excessive short-term risk taking. That is, even if our executives could inappropriately increase OPBT margin or revenue by excessively reducing expenses or adding new revenue sources that are inconsistent with our business model, this could ultimately harm our stock price and the value of their equity awards. Conversely, if our executives were to add revenue sources at low margins in order to generate a higher growth multiple and increased stock prices, it could decrease OPBT margin and the value of their cash bonus payments. Our OPBT margin and year-over-year revenue targets are applicable to our executives and employees alike, which we believe encourages consistent behavior across the organization,</w:t>
      </w:r>
    </w:p>
    <w:p>
      <w:pPr>
        <w:spacing w:after="0" w:line="14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4"/>
          <w:szCs w:val="14"/>
          <w:b w:val="1"/>
          <w:bCs w:val="1"/>
          <w:color w:val="052B82"/>
        </w:rPr>
        <w:t>2020 Proxy Statement</w:t>
      </w:r>
      <w:r>
        <w:rPr>
          <w:sz w:val="20"/>
          <w:szCs w:val="20"/>
          <w:color w:val="auto"/>
        </w:rPr>
        <w:tab/>
      </w:r>
      <w:r>
        <w:rPr>
          <w:rFonts w:ascii="Arial" w:cs="Arial" w:eastAsia="Arial" w:hAnsi="Arial"/>
          <w:sz w:val="17"/>
          <w:szCs w:val="17"/>
          <w:color w:val="999999"/>
        </w:rPr>
        <w:t>53</w:t>
      </w:r>
    </w:p>
    <w:p>
      <w:pPr>
        <w:sectPr>
          <w:pgSz w:w="11900" w:h="16838" w:orient="portrait"/>
          <w:cols w:equalWidth="0" w:num="1">
            <w:col w:w="11220"/>
          </w:cols>
          <w:pgMar w:left="24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2649855" cy="1371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180" w:right="80"/>
        <w:spacing w:after="0"/>
        <w:rPr>
          <w:sz w:val="20"/>
          <w:szCs w:val="20"/>
          <w:color w:val="auto"/>
        </w:rPr>
      </w:pPr>
      <w:r>
        <w:rPr>
          <w:rFonts w:ascii="Arial" w:cs="Arial" w:eastAsia="Arial" w:hAnsi="Arial"/>
          <w:sz w:val="18"/>
          <w:szCs w:val="18"/>
          <w:color w:val="auto"/>
        </w:rPr>
        <w:t>and reflect goals that are challenging, but not so high that they require performance outside of what the Compensation Committee believes is reasonable for us or could motivate our executives and employees to take actions in which we assume unreasonable levels of risk.</w:t>
      </w:r>
    </w:p>
    <w:p>
      <w:pPr>
        <w:spacing w:after="0" w:line="108" w:lineRule="exact"/>
        <w:rPr>
          <w:sz w:val="20"/>
          <w:szCs w:val="20"/>
          <w:color w:val="auto"/>
        </w:rPr>
      </w:pPr>
    </w:p>
    <w:p>
      <w:pPr>
        <w:ind w:left="1180" w:right="40" w:hanging="436"/>
        <w:spacing w:after="0" w:line="238" w:lineRule="auto"/>
        <w:tabs>
          <w:tab w:leader="none" w:pos="11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We cap our bonus payout factors. Even if we dramatically exceed our OPBT margin or year-over-year revenue growth targets, bonus payments are limited. In fiscal 2019, the bonus payment factor cap was 300% of target. Conversely, we also have a floor on the OPBT margin target so that profitability below 36% will result in no bonus payments for that performance period, regardless of revenue growth levels. We believe this avoids incentivizing management to drive revenue levels without regard to profitability.</w:t>
      </w:r>
    </w:p>
    <w:p>
      <w:pPr>
        <w:spacing w:after="0" w:line="108" w:lineRule="exact"/>
        <w:rPr>
          <w:rFonts w:ascii="Arial" w:cs="Arial" w:eastAsia="Arial" w:hAnsi="Arial"/>
          <w:sz w:val="18"/>
          <w:szCs w:val="18"/>
          <w:color w:val="auto"/>
        </w:rPr>
      </w:pPr>
    </w:p>
    <w:p>
      <w:pPr>
        <w:ind w:left="1180" w:right="120" w:hanging="436"/>
        <w:spacing w:after="0" w:line="246" w:lineRule="auto"/>
        <w:tabs>
          <w:tab w:leader="none" w:pos="11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Our stock ownership guidelines provide an incentive for management to consider ADI’s long-term interests because a portion of their personal investment portfolio consists of ADI stock.</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52B82"/>
        </w:rPr>
        <w:t>SUMMARY COMPENSATION TABLE</w:t>
      </w:r>
    </w:p>
    <w:p>
      <w:pPr>
        <w:spacing w:after="0" w:line="126" w:lineRule="exact"/>
        <w:rPr>
          <w:sz w:val="20"/>
          <w:szCs w:val="20"/>
          <w:color w:val="auto"/>
        </w:rPr>
      </w:pPr>
    </w:p>
    <w:p>
      <w:pPr>
        <w:ind w:left="200" w:right="420" w:firstLine="441"/>
        <w:spacing w:after="0" w:line="246" w:lineRule="auto"/>
        <w:rPr>
          <w:sz w:val="20"/>
          <w:szCs w:val="20"/>
          <w:color w:val="auto"/>
        </w:rPr>
      </w:pPr>
      <w:r>
        <w:rPr>
          <w:rFonts w:ascii="Arial" w:cs="Arial" w:eastAsia="Arial" w:hAnsi="Arial"/>
          <w:sz w:val="18"/>
          <w:szCs w:val="18"/>
          <w:color w:val="auto"/>
        </w:rPr>
        <w:t>The following table contains certain information about the compensation that our named executive officers earned in fiscal 2019, fiscal 2018 and fiscal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6539865</wp:posOffset>
            </wp:positionH>
            <wp:positionV relativeFrom="paragraph">
              <wp:posOffset>142875</wp:posOffset>
            </wp:positionV>
            <wp:extent cx="8890" cy="42037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890" cy="420370"/>
                    </a:xfrm>
                    <a:prstGeom prst="rect">
                      <a:avLst/>
                    </a:prstGeom>
                    <a:noFill/>
                  </pic:spPr>
                </pic:pic>
              </a:graphicData>
            </a:graphic>
          </wp:anchor>
        </w:drawing>
        <w:drawing>
          <wp:anchor simplePos="0" relativeHeight="251657728" behindDoc="1" locked="0" layoutInCell="0" allowOverlap="1">
            <wp:simplePos x="0" y="0"/>
            <wp:positionH relativeFrom="column">
              <wp:posOffset>5793740</wp:posOffset>
            </wp:positionH>
            <wp:positionV relativeFrom="paragraph">
              <wp:posOffset>142875</wp:posOffset>
            </wp:positionV>
            <wp:extent cx="8890" cy="4203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890" cy="420370"/>
                    </a:xfrm>
                    <a:prstGeom prst="rect">
                      <a:avLst/>
                    </a:prstGeom>
                    <a:noFill/>
                  </pic:spPr>
                </pic:pic>
              </a:graphicData>
            </a:graphic>
          </wp:anchor>
        </w:drawing>
        <w:drawing>
          <wp:anchor simplePos="0" relativeHeight="251657728" behindDoc="1" locked="0" layoutInCell="0" allowOverlap="1">
            <wp:simplePos x="0" y="0"/>
            <wp:positionH relativeFrom="column">
              <wp:posOffset>5047615</wp:posOffset>
            </wp:positionH>
            <wp:positionV relativeFrom="paragraph">
              <wp:posOffset>142875</wp:posOffset>
            </wp:positionV>
            <wp:extent cx="8890" cy="42037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890" cy="420370"/>
                    </a:xfrm>
                    <a:prstGeom prst="rect">
                      <a:avLst/>
                    </a:prstGeom>
                    <a:noFill/>
                  </pic:spPr>
                </pic:pic>
              </a:graphicData>
            </a:graphic>
          </wp:anchor>
        </w:drawing>
        <w:drawing>
          <wp:anchor simplePos="0" relativeHeight="251657728" behindDoc="1" locked="0" layoutInCell="0" allowOverlap="1">
            <wp:simplePos x="0" y="0"/>
            <wp:positionH relativeFrom="column">
              <wp:posOffset>4507230</wp:posOffset>
            </wp:positionH>
            <wp:positionV relativeFrom="paragraph">
              <wp:posOffset>142875</wp:posOffset>
            </wp:positionV>
            <wp:extent cx="8890" cy="42037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890" cy="420370"/>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142875</wp:posOffset>
            </wp:positionV>
            <wp:extent cx="8890" cy="42037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890" cy="420370"/>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142875</wp:posOffset>
            </wp:positionV>
            <wp:extent cx="8890" cy="42037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890" cy="420370"/>
                    </a:xfrm>
                    <a:prstGeom prst="rect">
                      <a:avLst/>
                    </a:prstGeom>
                    <a:noFill/>
                  </pic:spPr>
                </pic:pic>
              </a:graphicData>
            </a:graphic>
          </wp:anchor>
        </w:drawing>
        <w:drawing>
          <wp:anchor simplePos="0" relativeHeight="251657728" behindDoc="1" locked="0" layoutInCell="0" allowOverlap="1">
            <wp:simplePos x="0" y="0"/>
            <wp:positionH relativeFrom="column">
              <wp:posOffset>2963545</wp:posOffset>
            </wp:positionH>
            <wp:positionV relativeFrom="paragraph">
              <wp:posOffset>142875</wp:posOffset>
            </wp:positionV>
            <wp:extent cx="8890" cy="42037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890" cy="420370"/>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142875</wp:posOffset>
            </wp:positionV>
            <wp:extent cx="8890" cy="42037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890" cy="420370"/>
                    </a:xfrm>
                    <a:prstGeom prst="rect">
                      <a:avLst/>
                    </a:prstGeom>
                    <a:noFill/>
                  </pic:spPr>
                </pic:pic>
              </a:graphicData>
            </a:graphic>
          </wp:anchor>
        </w:drawing>
      </w:r>
    </w:p>
    <w:p>
      <w:pPr>
        <w:spacing w:after="0" w:line="193"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3860" w:type="dxa"/>
            <w:vAlign w:val="bottom"/>
            <w:shd w:val="clear" w:color="auto" w:fill="052B82"/>
          </w:tcPr>
          <w:p>
            <w:pPr>
              <w:spacing w:after="0"/>
              <w:rPr>
                <w:sz w:val="14"/>
                <w:szCs w:val="14"/>
                <w:color w:val="auto"/>
              </w:rPr>
            </w:pPr>
          </w:p>
        </w:tc>
        <w:tc>
          <w:tcPr>
            <w:tcW w:w="580" w:type="dxa"/>
            <w:vAlign w:val="bottom"/>
            <w:shd w:val="clear" w:color="auto" w:fill="052B82"/>
          </w:tcPr>
          <w:p>
            <w:pPr>
              <w:spacing w:after="0"/>
              <w:rPr>
                <w:sz w:val="14"/>
                <w:szCs w:val="14"/>
                <w:color w:val="auto"/>
              </w:rPr>
            </w:pPr>
          </w:p>
        </w:tc>
        <w:tc>
          <w:tcPr>
            <w:tcW w:w="840" w:type="dxa"/>
            <w:vAlign w:val="bottom"/>
            <w:shd w:val="clear" w:color="auto" w:fill="052B82"/>
          </w:tcPr>
          <w:p>
            <w:pPr>
              <w:spacing w:after="0"/>
              <w:rPr>
                <w:sz w:val="14"/>
                <w:szCs w:val="14"/>
                <w:color w:val="auto"/>
              </w:rPr>
            </w:pPr>
          </w:p>
        </w:tc>
        <w:tc>
          <w:tcPr>
            <w:tcW w:w="740" w:type="dxa"/>
            <w:vAlign w:val="bottom"/>
            <w:shd w:val="clear" w:color="auto" w:fill="052B82"/>
          </w:tcPr>
          <w:p>
            <w:pPr>
              <w:spacing w:after="0"/>
              <w:rPr>
                <w:sz w:val="14"/>
                <w:szCs w:val="14"/>
                <w:color w:val="auto"/>
              </w:rPr>
            </w:pPr>
          </w:p>
        </w:tc>
        <w:tc>
          <w:tcPr>
            <w:tcW w:w="840" w:type="dxa"/>
            <w:vAlign w:val="bottom"/>
            <w:shd w:val="clear" w:color="auto" w:fill="052B82"/>
          </w:tcPr>
          <w:p>
            <w:pPr>
              <w:spacing w:after="0"/>
              <w:rPr>
                <w:sz w:val="14"/>
                <w:szCs w:val="14"/>
                <w:color w:val="auto"/>
              </w:rPr>
            </w:pPr>
          </w:p>
        </w:tc>
        <w:tc>
          <w:tcPr>
            <w:tcW w:w="840" w:type="dxa"/>
            <w:vAlign w:val="bottom"/>
            <w:shd w:val="clear" w:color="auto" w:fill="052B82"/>
          </w:tcPr>
          <w:p>
            <w:pPr>
              <w:spacing w:after="0"/>
              <w:rPr>
                <w:sz w:val="14"/>
                <w:szCs w:val="14"/>
                <w:color w:val="auto"/>
              </w:rPr>
            </w:pPr>
          </w:p>
        </w:tc>
        <w:tc>
          <w:tcPr>
            <w:tcW w:w="118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Non-Equity</w:t>
            </w:r>
          </w:p>
        </w:tc>
        <w:tc>
          <w:tcPr>
            <w:tcW w:w="1200" w:type="dxa"/>
            <w:vAlign w:val="bottom"/>
            <w:shd w:val="clear" w:color="auto" w:fill="052B82"/>
          </w:tcPr>
          <w:p>
            <w:pPr>
              <w:spacing w:after="0"/>
              <w:rPr>
                <w:sz w:val="14"/>
                <w:szCs w:val="14"/>
                <w:color w:val="auto"/>
              </w:rPr>
            </w:pPr>
          </w:p>
        </w:tc>
        <w:tc>
          <w:tcPr>
            <w:tcW w:w="940" w:type="dxa"/>
            <w:vAlign w:val="bottom"/>
            <w:shd w:val="clear" w:color="auto" w:fill="052B82"/>
          </w:tcPr>
          <w:p>
            <w:pPr>
              <w:spacing w:after="0"/>
              <w:rPr>
                <w:sz w:val="14"/>
                <w:szCs w:val="14"/>
                <w:color w:val="auto"/>
              </w:rPr>
            </w:pPr>
          </w:p>
        </w:tc>
      </w:tr>
      <w:tr>
        <w:trPr>
          <w:trHeight w:val="162"/>
        </w:trPr>
        <w:tc>
          <w:tcPr>
            <w:tcW w:w="3860" w:type="dxa"/>
            <w:vAlign w:val="bottom"/>
            <w:shd w:val="clear" w:color="auto" w:fill="052B82"/>
          </w:tcPr>
          <w:p>
            <w:pPr>
              <w:spacing w:after="0"/>
              <w:rPr>
                <w:sz w:val="14"/>
                <w:szCs w:val="14"/>
                <w:color w:val="auto"/>
              </w:rPr>
            </w:pPr>
          </w:p>
        </w:tc>
        <w:tc>
          <w:tcPr>
            <w:tcW w:w="580" w:type="dxa"/>
            <w:vAlign w:val="bottom"/>
            <w:shd w:val="clear" w:color="auto" w:fill="052B82"/>
          </w:tcPr>
          <w:p>
            <w:pPr>
              <w:spacing w:after="0"/>
              <w:rPr>
                <w:sz w:val="14"/>
                <w:szCs w:val="14"/>
                <w:color w:val="auto"/>
              </w:rPr>
            </w:pPr>
          </w:p>
        </w:tc>
        <w:tc>
          <w:tcPr>
            <w:tcW w:w="840" w:type="dxa"/>
            <w:vAlign w:val="bottom"/>
            <w:shd w:val="clear" w:color="auto" w:fill="052B82"/>
          </w:tcPr>
          <w:p>
            <w:pPr>
              <w:spacing w:after="0"/>
              <w:rPr>
                <w:sz w:val="14"/>
                <w:szCs w:val="14"/>
                <w:color w:val="auto"/>
              </w:rPr>
            </w:pPr>
          </w:p>
        </w:tc>
        <w:tc>
          <w:tcPr>
            <w:tcW w:w="740" w:type="dxa"/>
            <w:vAlign w:val="bottom"/>
            <w:shd w:val="clear" w:color="auto" w:fill="052B82"/>
          </w:tcPr>
          <w:p>
            <w:pPr>
              <w:spacing w:after="0"/>
              <w:rPr>
                <w:sz w:val="14"/>
                <w:szCs w:val="14"/>
                <w:color w:val="auto"/>
              </w:rPr>
            </w:pPr>
          </w:p>
        </w:tc>
        <w:tc>
          <w:tcPr>
            <w:tcW w:w="84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Stock</w:t>
            </w:r>
          </w:p>
        </w:tc>
        <w:tc>
          <w:tcPr>
            <w:tcW w:w="84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Option</w:t>
            </w:r>
          </w:p>
        </w:tc>
        <w:tc>
          <w:tcPr>
            <w:tcW w:w="118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Incentive Plan</w:t>
            </w:r>
          </w:p>
        </w:tc>
        <w:tc>
          <w:tcPr>
            <w:tcW w:w="120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All Other</w:t>
            </w:r>
          </w:p>
        </w:tc>
        <w:tc>
          <w:tcPr>
            <w:tcW w:w="940" w:type="dxa"/>
            <w:vAlign w:val="bottom"/>
            <w:shd w:val="clear" w:color="auto" w:fill="052B82"/>
          </w:tcPr>
          <w:p>
            <w:pPr>
              <w:spacing w:after="0"/>
              <w:rPr>
                <w:sz w:val="14"/>
                <w:szCs w:val="14"/>
                <w:color w:val="auto"/>
              </w:rPr>
            </w:pPr>
          </w:p>
        </w:tc>
      </w:tr>
      <w:tr>
        <w:trPr>
          <w:trHeight w:val="162"/>
        </w:trPr>
        <w:tc>
          <w:tcPr>
            <w:tcW w:w="3860" w:type="dxa"/>
            <w:vAlign w:val="bottom"/>
            <w:shd w:val="clear" w:color="auto" w:fill="052B82"/>
          </w:tcPr>
          <w:p>
            <w:pPr>
              <w:ind w:left="20"/>
              <w:spacing w:after="0"/>
              <w:rPr>
                <w:sz w:val="20"/>
                <w:szCs w:val="20"/>
                <w:color w:val="auto"/>
              </w:rPr>
            </w:pPr>
            <w:r>
              <w:rPr>
                <w:rFonts w:ascii="Arial" w:cs="Arial" w:eastAsia="Arial" w:hAnsi="Arial"/>
                <w:sz w:val="14"/>
                <w:szCs w:val="14"/>
                <w:b w:val="1"/>
                <w:bCs w:val="1"/>
                <w:color w:val="FFFFFF"/>
              </w:rPr>
              <w:t>Name and</w:t>
            </w:r>
          </w:p>
        </w:tc>
        <w:tc>
          <w:tcPr>
            <w:tcW w:w="580" w:type="dxa"/>
            <w:vAlign w:val="bottom"/>
            <w:shd w:val="clear" w:color="auto" w:fill="052B82"/>
          </w:tcPr>
          <w:p>
            <w:pPr>
              <w:jc w:val="right"/>
              <w:ind w:right="48"/>
              <w:spacing w:after="0"/>
              <w:rPr>
                <w:sz w:val="20"/>
                <w:szCs w:val="20"/>
                <w:color w:val="auto"/>
              </w:rPr>
            </w:pPr>
            <w:r>
              <w:rPr>
                <w:rFonts w:ascii="Arial" w:cs="Arial" w:eastAsia="Arial" w:hAnsi="Arial"/>
                <w:sz w:val="14"/>
                <w:szCs w:val="14"/>
                <w:b w:val="1"/>
                <w:bCs w:val="1"/>
                <w:color w:val="FFFFFF"/>
              </w:rPr>
              <w:t>Fiscal</w:t>
            </w:r>
          </w:p>
        </w:tc>
        <w:tc>
          <w:tcPr>
            <w:tcW w:w="840" w:type="dxa"/>
            <w:vAlign w:val="bottom"/>
            <w:shd w:val="clear" w:color="auto" w:fill="052B82"/>
          </w:tcPr>
          <w:p>
            <w:pPr>
              <w:jc w:val="right"/>
              <w:ind w:right="148"/>
              <w:spacing w:after="0"/>
              <w:rPr>
                <w:sz w:val="20"/>
                <w:szCs w:val="20"/>
                <w:color w:val="auto"/>
              </w:rPr>
            </w:pPr>
            <w:r>
              <w:rPr>
                <w:rFonts w:ascii="Arial" w:cs="Arial" w:eastAsia="Arial" w:hAnsi="Arial"/>
                <w:sz w:val="14"/>
                <w:szCs w:val="14"/>
                <w:b w:val="1"/>
                <w:bCs w:val="1"/>
                <w:color w:val="FFFFFF"/>
              </w:rPr>
              <w:t>Salary</w:t>
            </w:r>
          </w:p>
        </w:tc>
        <w:tc>
          <w:tcPr>
            <w:tcW w:w="740" w:type="dxa"/>
            <w:vAlign w:val="bottom"/>
            <w:shd w:val="clear" w:color="auto" w:fill="052B82"/>
          </w:tcPr>
          <w:p>
            <w:pPr>
              <w:ind w:left="120"/>
              <w:spacing w:after="0"/>
              <w:rPr>
                <w:sz w:val="20"/>
                <w:szCs w:val="20"/>
                <w:color w:val="auto"/>
              </w:rPr>
            </w:pPr>
            <w:r>
              <w:rPr>
                <w:rFonts w:ascii="Arial" w:cs="Arial" w:eastAsia="Arial" w:hAnsi="Arial"/>
                <w:sz w:val="14"/>
                <w:szCs w:val="14"/>
                <w:b w:val="1"/>
                <w:bCs w:val="1"/>
                <w:color w:val="FFFFFF"/>
              </w:rPr>
              <w:t>Bonus</w:t>
            </w:r>
          </w:p>
        </w:tc>
        <w:tc>
          <w:tcPr>
            <w:tcW w:w="84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Awards</w:t>
            </w:r>
          </w:p>
        </w:tc>
        <w:tc>
          <w:tcPr>
            <w:tcW w:w="84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w w:val="98"/>
              </w:rPr>
              <w:t>Awards</w:t>
            </w:r>
          </w:p>
        </w:tc>
        <w:tc>
          <w:tcPr>
            <w:tcW w:w="118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Compensation</w:t>
            </w:r>
          </w:p>
        </w:tc>
        <w:tc>
          <w:tcPr>
            <w:tcW w:w="120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Compensation</w:t>
            </w:r>
          </w:p>
        </w:tc>
        <w:tc>
          <w:tcPr>
            <w:tcW w:w="940" w:type="dxa"/>
            <w:vAlign w:val="bottom"/>
            <w:shd w:val="clear" w:color="auto" w:fill="052B82"/>
          </w:tcPr>
          <w:p>
            <w:pPr>
              <w:jc w:val="right"/>
              <w:ind w:right="268"/>
              <w:spacing w:after="0"/>
              <w:rPr>
                <w:sz w:val="20"/>
                <w:szCs w:val="20"/>
                <w:color w:val="auto"/>
              </w:rPr>
            </w:pPr>
            <w:r>
              <w:rPr>
                <w:rFonts w:ascii="Arial" w:cs="Arial" w:eastAsia="Arial" w:hAnsi="Arial"/>
                <w:sz w:val="14"/>
                <w:szCs w:val="14"/>
                <w:b w:val="1"/>
                <w:bCs w:val="1"/>
                <w:color w:val="FFFFFF"/>
              </w:rPr>
              <w:t>Total</w:t>
            </w:r>
          </w:p>
        </w:tc>
      </w:tr>
      <w:tr>
        <w:trPr>
          <w:trHeight w:val="189"/>
        </w:trPr>
        <w:tc>
          <w:tcPr>
            <w:tcW w:w="3860" w:type="dxa"/>
            <w:vAlign w:val="bottom"/>
            <w:shd w:val="clear" w:color="auto" w:fill="052B82"/>
          </w:tcPr>
          <w:p>
            <w:pPr>
              <w:ind w:left="20"/>
              <w:spacing w:after="0"/>
              <w:rPr>
                <w:sz w:val="20"/>
                <w:szCs w:val="20"/>
                <w:color w:val="auto"/>
              </w:rPr>
            </w:pPr>
            <w:r>
              <w:rPr>
                <w:rFonts w:ascii="Arial" w:cs="Arial" w:eastAsia="Arial" w:hAnsi="Arial"/>
                <w:sz w:val="14"/>
                <w:szCs w:val="14"/>
                <w:b w:val="1"/>
                <w:bCs w:val="1"/>
                <w:color w:val="FFFFFF"/>
              </w:rPr>
              <w:t>Principal Position</w:t>
            </w:r>
          </w:p>
        </w:tc>
        <w:tc>
          <w:tcPr>
            <w:tcW w:w="580" w:type="dxa"/>
            <w:vAlign w:val="bottom"/>
            <w:shd w:val="clear" w:color="auto" w:fill="052B82"/>
          </w:tcPr>
          <w:p>
            <w:pPr>
              <w:jc w:val="right"/>
              <w:ind w:right="88"/>
              <w:spacing w:after="0"/>
              <w:rPr>
                <w:sz w:val="20"/>
                <w:szCs w:val="20"/>
                <w:color w:val="auto"/>
              </w:rPr>
            </w:pPr>
            <w:r>
              <w:rPr>
                <w:rFonts w:ascii="Arial" w:cs="Arial" w:eastAsia="Arial" w:hAnsi="Arial"/>
                <w:sz w:val="14"/>
                <w:szCs w:val="14"/>
                <w:b w:val="1"/>
                <w:bCs w:val="1"/>
                <w:color w:val="FFFFFF"/>
              </w:rPr>
              <w:t>Year</w:t>
            </w:r>
          </w:p>
        </w:tc>
        <w:tc>
          <w:tcPr>
            <w:tcW w:w="840" w:type="dxa"/>
            <w:vAlign w:val="bottom"/>
            <w:shd w:val="clear" w:color="auto" w:fill="052B82"/>
          </w:tcPr>
          <w:p>
            <w:pPr>
              <w:jc w:val="right"/>
              <w:ind w:right="288"/>
              <w:spacing w:after="0"/>
              <w:rPr>
                <w:sz w:val="20"/>
                <w:szCs w:val="20"/>
                <w:color w:val="auto"/>
              </w:rPr>
            </w:pPr>
            <w:r>
              <w:rPr>
                <w:rFonts w:ascii="Arial" w:cs="Arial" w:eastAsia="Arial" w:hAnsi="Arial"/>
                <w:sz w:val="14"/>
                <w:szCs w:val="14"/>
                <w:b w:val="1"/>
                <w:bCs w:val="1"/>
                <w:color w:val="FFFFFF"/>
              </w:rPr>
              <w:t>($)</w:t>
            </w:r>
          </w:p>
        </w:tc>
        <w:tc>
          <w:tcPr>
            <w:tcW w:w="740" w:type="dxa"/>
            <w:vAlign w:val="bottom"/>
            <w:shd w:val="clear" w:color="auto" w:fill="052B82"/>
          </w:tcPr>
          <w:p>
            <w:pPr>
              <w:ind w:left="180"/>
              <w:spacing w:after="0"/>
              <w:rPr>
                <w:sz w:val="20"/>
                <w:szCs w:val="20"/>
                <w:color w:val="auto"/>
              </w:rPr>
            </w:pPr>
            <w:r>
              <w:rPr>
                <w:rFonts w:ascii="Arial" w:cs="Arial" w:eastAsia="Arial" w:hAnsi="Arial"/>
                <w:sz w:val="14"/>
                <w:szCs w:val="14"/>
                <w:b w:val="1"/>
                <w:bCs w:val="1"/>
                <w:color w:val="FFFFFF"/>
              </w:rPr>
              <w:t>($)(1)</w:t>
            </w:r>
          </w:p>
        </w:tc>
        <w:tc>
          <w:tcPr>
            <w:tcW w:w="84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($)(2a)</w:t>
            </w:r>
          </w:p>
        </w:tc>
        <w:tc>
          <w:tcPr>
            <w:tcW w:w="84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w w:val="98"/>
              </w:rPr>
              <w:t>($)(2b)</w:t>
            </w:r>
          </w:p>
        </w:tc>
        <w:tc>
          <w:tcPr>
            <w:tcW w:w="118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($)(3)</w:t>
            </w:r>
          </w:p>
        </w:tc>
        <w:tc>
          <w:tcPr>
            <w:tcW w:w="120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($)(4)</w:t>
            </w:r>
          </w:p>
        </w:tc>
        <w:tc>
          <w:tcPr>
            <w:tcW w:w="940" w:type="dxa"/>
            <w:vAlign w:val="bottom"/>
            <w:shd w:val="clear" w:color="auto" w:fill="052B82"/>
          </w:tcPr>
          <w:p>
            <w:pPr>
              <w:jc w:val="right"/>
              <w:ind w:right="348"/>
              <w:spacing w:after="0"/>
              <w:rPr>
                <w:sz w:val="20"/>
                <w:szCs w:val="20"/>
                <w:color w:val="auto"/>
              </w:rPr>
            </w:pPr>
            <w:r>
              <w:rPr>
                <w:rFonts w:ascii="Arial" w:cs="Arial" w:eastAsia="Arial" w:hAnsi="Arial"/>
                <w:sz w:val="14"/>
                <w:szCs w:val="14"/>
                <w:b w:val="1"/>
                <w:bCs w:val="1"/>
                <w:color w:val="FFFFFF"/>
              </w:rPr>
              <w:t>($)</w:t>
            </w:r>
          </w:p>
        </w:tc>
      </w:tr>
      <w:tr>
        <w:trPr>
          <w:trHeight w:val="234"/>
        </w:trPr>
        <w:tc>
          <w:tcPr>
            <w:tcW w:w="3860" w:type="dxa"/>
            <w:vAlign w:val="bottom"/>
          </w:tcPr>
          <w:p>
            <w:pPr>
              <w:ind w:left="20"/>
              <w:spacing w:after="0"/>
              <w:rPr>
                <w:sz w:val="20"/>
                <w:szCs w:val="20"/>
                <w:color w:val="auto"/>
              </w:rPr>
            </w:pPr>
            <w:r>
              <w:rPr>
                <w:rFonts w:ascii="Arial" w:cs="Arial" w:eastAsia="Arial" w:hAnsi="Arial"/>
                <w:sz w:val="14"/>
                <w:szCs w:val="14"/>
                <w:b w:val="1"/>
                <w:bCs w:val="1"/>
                <w:color w:val="auto"/>
              </w:rPr>
              <w:t>Vincent Roche</w:t>
            </w: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2019</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1,030,769</w:t>
            </w:r>
          </w:p>
        </w:tc>
        <w:tc>
          <w:tcPr>
            <w:tcW w:w="740" w:type="dxa"/>
            <w:vAlign w:val="bottom"/>
          </w:tcPr>
          <w:p>
            <w:pPr>
              <w:ind w:left="40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7,039,560</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2,362,177</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1,430,337</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85,591</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11,948,434</w:t>
            </w:r>
          </w:p>
        </w:tc>
      </w:tr>
      <w:tr>
        <w:trPr>
          <w:trHeight w:val="162"/>
        </w:trPr>
        <w:tc>
          <w:tcPr>
            <w:tcW w:w="3860" w:type="dxa"/>
            <w:vAlign w:val="bottom"/>
          </w:tcPr>
          <w:p>
            <w:pPr>
              <w:ind w:left="120"/>
              <w:spacing w:after="0"/>
              <w:rPr>
                <w:sz w:val="20"/>
                <w:szCs w:val="20"/>
                <w:color w:val="auto"/>
              </w:rPr>
            </w:pPr>
            <w:r>
              <w:rPr>
                <w:rFonts w:ascii="Arial" w:cs="Arial" w:eastAsia="Arial" w:hAnsi="Arial"/>
                <w:sz w:val="14"/>
                <w:szCs w:val="14"/>
                <w:color w:val="auto"/>
              </w:rPr>
              <w:t>President and Chief</w:t>
            </w: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2018</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984,615</w:t>
            </w:r>
          </w:p>
        </w:tc>
        <w:tc>
          <w:tcPr>
            <w:tcW w:w="740" w:type="dxa"/>
            <w:vAlign w:val="bottom"/>
          </w:tcPr>
          <w:p>
            <w:pPr>
              <w:ind w:left="40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4,949,953</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2,305,013</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2,682,173</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85,937</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11,007,691</w:t>
            </w:r>
          </w:p>
        </w:tc>
      </w:tr>
      <w:tr>
        <w:trPr>
          <w:trHeight w:val="157"/>
        </w:trPr>
        <w:tc>
          <w:tcPr>
            <w:tcW w:w="3860" w:type="dxa"/>
            <w:vAlign w:val="bottom"/>
          </w:tcPr>
          <w:p>
            <w:pPr>
              <w:ind w:left="120"/>
              <w:spacing w:after="0" w:line="157" w:lineRule="exact"/>
              <w:rPr>
                <w:sz w:val="20"/>
                <w:szCs w:val="20"/>
                <w:color w:val="auto"/>
              </w:rPr>
            </w:pPr>
            <w:r>
              <w:rPr>
                <w:rFonts w:ascii="Arial" w:cs="Arial" w:eastAsia="Arial" w:hAnsi="Arial"/>
                <w:sz w:val="14"/>
                <w:szCs w:val="14"/>
                <w:color w:val="auto"/>
              </w:rPr>
              <w:t>Executive Officer</w:t>
            </w:r>
          </w:p>
        </w:tc>
        <w:tc>
          <w:tcPr>
            <w:tcW w:w="580" w:type="dxa"/>
            <w:vAlign w:val="bottom"/>
          </w:tcPr>
          <w:p>
            <w:pPr>
              <w:jc w:val="right"/>
              <w:ind w:right="28"/>
              <w:spacing w:after="0" w:line="157" w:lineRule="exact"/>
              <w:rPr>
                <w:sz w:val="20"/>
                <w:szCs w:val="20"/>
                <w:color w:val="auto"/>
              </w:rPr>
            </w:pPr>
            <w:r>
              <w:rPr>
                <w:rFonts w:ascii="Arial" w:cs="Arial" w:eastAsia="Arial" w:hAnsi="Arial"/>
                <w:sz w:val="14"/>
                <w:szCs w:val="14"/>
                <w:color w:val="auto"/>
              </w:rPr>
              <w:t>2017</w:t>
            </w:r>
          </w:p>
        </w:tc>
        <w:tc>
          <w:tcPr>
            <w:tcW w:w="840" w:type="dxa"/>
            <w:vAlign w:val="bottom"/>
          </w:tcPr>
          <w:p>
            <w:pPr>
              <w:jc w:val="right"/>
              <w:ind w:right="28"/>
              <w:spacing w:after="0" w:line="157" w:lineRule="exact"/>
              <w:rPr>
                <w:sz w:val="20"/>
                <w:szCs w:val="20"/>
                <w:color w:val="auto"/>
              </w:rPr>
            </w:pPr>
            <w:r>
              <w:rPr>
                <w:rFonts w:ascii="Arial" w:cs="Arial" w:eastAsia="Arial" w:hAnsi="Arial"/>
                <w:sz w:val="14"/>
                <w:szCs w:val="14"/>
                <w:color w:val="auto"/>
              </w:rPr>
              <w:t>878,000</w:t>
            </w:r>
          </w:p>
        </w:tc>
        <w:tc>
          <w:tcPr>
            <w:tcW w:w="740" w:type="dxa"/>
            <w:vAlign w:val="bottom"/>
          </w:tcPr>
          <w:p>
            <w:pPr>
              <w:ind w:left="400"/>
              <w:spacing w:after="0" w:line="157"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line="157" w:lineRule="exact"/>
              <w:rPr>
                <w:sz w:val="20"/>
                <w:szCs w:val="20"/>
                <w:color w:val="auto"/>
              </w:rPr>
            </w:pPr>
            <w:r>
              <w:rPr>
                <w:rFonts w:ascii="Arial" w:cs="Arial" w:eastAsia="Arial" w:hAnsi="Arial"/>
                <w:sz w:val="14"/>
                <w:szCs w:val="14"/>
                <w:color w:val="auto"/>
              </w:rPr>
              <w:t>4,316,355</w:t>
            </w:r>
          </w:p>
        </w:tc>
        <w:tc>
          <w:tcPr>
            <w:tcW w:w="840" w:type="dxa"/>
            <w:vAlign w:val="bottom"/>
          </w:tcPr>
          <w:p>
            <w:pPr>
              <w:jc w:val="right"/>
              <w:ind w:right="8"/>
              <w:spacing w:after="0" w:line="157" w:lineRule="exact"/>
              <w:rPr>
                <w:sz w:val="20"/>
                <w:szCs w:val="20"/>
                <w:color w:val="auto"/>
              </w:rPr>
            </w:pPr>
            <w:r>
              <w:rPr>
                <w:rFonts w:ascii="Arial" w:cs="Arial" w:eastAsia="Arial" w:hAnsi="Arial"/>
                <w:sz w:val="14"/>
                <w:szCs w:val="14"/>
                <w:color w:val="auto"/>
              </w:rPr>
              <w:t>1,978,473</w:t>
            </w:r>
          </w:p>
        </w:tc>
        <w:tc>
          <w:tcPr>
            <w:tcW w:w="1180" w:type="dxa"/>
            <w:vAlign w:val="bottom"/>
          </w:tcPr>
          <w:p>
            <w:pPr>
              <w:jc w:val="right"/>
              <w:ind w:right="28"/>
              <w:spacing w:after="0" w:line="157" w:lineRule="exact"/>
              <w:rPr>
                <w:sz w:val="20"/>
                <w:szCs w:val="20"/>
                <w:color w:val="auto"/>
              </w:rPr>
            </w:pPr>
            <w:r>
              <w:rPr>
                <w:rFonts w:ascii="Arial" w:cs="Arial" w:eastAsia="Arial" w:hAnsi="Arial"/>
                <w:sz w:val="14"/>
                <w:szCs w:val="14"/>
                <w:color w:val="auto"/>
              </w:rPr>
              <w:t>3,268,693</w:t>
            </w:r>
          </w:p>
        </w:tc>
        <w:tc>
          <w:tcPr>
            <w:tcW w:w="1200" w:type="dxa"/>
            <w:vAlign w:val="bottom"/>
          </w:tcPr>
          <w:p>
            <w:pPr>
              <w:jc w:val="right"/>
              <w:ind w:right="48"/>
              <w:spacing w:after="0" w:line="157" w:lineRule="exact"/>
              <w:rPr>
                <w:sz w:val="20"/>
                <w:szCs w:val="20"/>
                <w:color w:val="auto"/>
              </w:rPr>
            </w:pPr>
            <w:r>
              <w:rPr>
                <w:rFonts w:ascii="Arial" w:cs="Arial" w:eastAsia="Arial" w:hAnsi="Arial"/>
                <w:sz w:val="14"/>
                <w:szCs w:val="14"/>
                <w:color w:val="auto"/>
              </w:rPr>
              <w:t>70,240</w:t>
            </w:r>
          </w:p>
        </w:tc>
        <w:tc>
          <w:tcPr>
            <w:tcW w:w="940" w:type="dxa"/>
            <w:vAlign w:val="bottom"/>
          </w:tcPr>
          <w:p>
            <w:pPr>
              <w:jc w:val="right"/>
              <w:ind w:right="48"/>
              <w:spacing w:after="0" w:line="157" w:lineRule="exact"/>
              <w:rPr>
                <w:sz w:val="20"/>
                <w:szCs w:val="20"/>
                <w:color w:val="auto"/>
              </w:rPr>
            </w:pPr>
            <w:r>
              <w:rPr>
                <w:rFonts w:ascii="Arial" w:cs="Arial" w:eastAsia="Arial" w:hAnsi="Arial"/>
                <w:sz w:val="14"/>
                <w:szCs w:val="14"/>
                <w:color w:val="auto"/>
              </w:rPr>
              <w:t>10,511,761</w:t>
            </w:r>
          </w:p>
        </w:tc>
      </w:tr>
      <w:tr>
        <w:trPr>
          <w:trHeight w:val="270"/>
        </w:trPr>
        <w:tc>
          <w:tcPr>
            <w:tcW w:w="3860" w:type="dxa"/>
            <w:vAlign w:val="bottom"/>
            <w:shd w:val="clear" w:color="auto" w:fill="E8EDF4"/>
          </w:tcPr>
          <w:p>
            <w:pPr>
              <w:ind w:left="20"/>
              <w:spacing w:after="0"/>
              <w:rPr>
                <w:sz w:val="20"/>
                <w:szCs w:val="20"/>
                <w:color w:val="auto"/>
              </w:rPr>
            </w:pPr>
            <w:r>
              <w:rPr>
                <w:rFonts w:ascii="Arial" w:cs="Arial" w:eastAsia="Arial" w:hAnsi="Arial"/>
                <w:sz w:val="14"/>
                <w:szCs w:val="14"/>
                <w:b w:val="1"/>
                <w:bCs w:val="1"/>
                <w:color w:val="auto"/>
              </w:rPr>
              <w:t>Prashanth Mahendra-Rajah</w:t>
            </w:r>
          </w:p>
        </w:tc>
        <w:tc>
          <w:tcPr>
            <w:tcW w:w="58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2019</w:t>
            </w:r>
          </w:p>
        </w:tc>
        <w:tc>
          <w:tcPr>
            <w:tcW w:w="84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565,385</w:t>
            </w:r>
          </w:p>
        </w:tc>
        <w:tc>
          <w:tcPr>
            <w:tcW w:w="740" w:type="dxa"/>
            <w:vAlign w:val="bottom"/>
            <w:shd w:val="clear" w:color="auto" w:fill="E8EDF4"/>
          </w:tcPr>
          <w:p>
            <w:pPr>
              <w:ind w:left="400"/>
              <w:spacing w:after="0"/>
              <w:rPr>
                <w:sz w:val="20"/>
                <w:szCs w:val="20"/>
                <w:color w:val="auto"/>
              </w:rPr>
            </w:pPr>
            <w:r>
              <w:rPr>
                <w:rFonts w:ascii="Arial" w:cs="Arial" w:eastAsia="Arial" w:hAnsi="Arial"/>
                <w:sz w:val="14"/>
                <w:szCs w:val="14"/>
                <w:color w:val="auto"/>
              </w:rPr>
              <w:t>—</w:t>
            </w:r>
          </w:p>
        </w:tc>
        <w:tc>
          <w:tcPr>
            <w:tcW w:w="84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1,851,447</w:t>
            </w:r>
          </w:p>
        </w:tc>
        <w:tc>
          <w:tcPr>
            <w:tcW w:w="840" w:type="dxa"/>
            <w:vAlign w:val="bottom"/>
            <w:shd w:val="clear" w:color="auto" w:fill="E8EDF4"/>
          </w:tcPr>
          <w:p>
            <w:pPr>
              <w:jc w:val="right"/>
              <w:ind w:right="8"/>
              <w:spacing w:after="0"/>
              <w:rPr>
                <w:sz w:val="20"/>
                <w:szCs w:val="20"/>
                <w:color w:val="auto"/>
              </w:rPr>
            </w:pPr>
            <w:r>
              <w:rPr>
                <w:rFonts w:ascii="Arial" w:cs="Arial" w:eastAsia="Arial" w:hAnsi="Arial"/>
                <w:sz w:val="14"/>
                <w:szCs w:val="14"/>
                <w:color w:val="auto"/>
              </w:rPr>
              <w:t>621,295</w:t>
            </w:r>
          </w:p>
        </w:tc>
        <w:tc>
          <w:tcPr>
            <w:tcW w:w="118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523,413</w:t>
            </w:r>
          </w:p>
        </w:tc>
        <w:tc>
          <w:tcPr>
            <w:tcW w:w="1200" w:type="dxa"/>
            <w:vAlign w:val="bottom"/>
            <w:shd w:val="clear" w:color="auto" w:fill="E8EDF4"/>
          </w:tcPr>
          <w:p>
            <w:pPr>
              <w:jc w:val="right"/>
              <w:ind w:right="48"/>
              <w:spacing w:after="0"/>
              <w:rPr>
                <w:sz w:val="20"/>
                <w:szCs w:val="20"/>
                <w:color w:val="auto"/>
              </w:rPr>
            </w:pPr>
            <w:r>
              <w:rPr>
                <w:rFonts w:ascii="Arial" w:cs="Arial" w:eastAsia="Arial" w:hAnsi="Arial"/>
                <w:sz w:val="14"/>
                <w:szCs w:val="14"/>
                <w:color w:val="auto"/>
              </w:rPr>
              <w:t>153,136</w:t>
            </w:r>
          </w:p>
        </w:tc>
        <w:tc>
          <w:tcPr>
            <w:tcW w:w="940" w:type="dxa"/>
            <w:vAlign w:val="bottom"/>
            <w:shd w:val="clear" w:color="auto" w:fill="E8EDF4"/>
          </w:tcPr>
          <w:p>
            <w:pPr>
              <w:jc w:val="right"/>
              <w:ind w:right="48"/>
              <w:spacing w:after="0"/>
              <w:rPr>
                <w:sz w:val="20"/>
                <w:szCs w:val="20"/>
                <w:color w:val="auto"/>
              </w:rPr>
            </w:pPr>
            <w:r>
              <w:rPr>
                <w:rFonts w:ascii="Arial" w:cs="Arial" w:eastAsia="Arial" w:hAnsi="Arial"/>
                <w:sz w:val="14"/>
                <w:szCs w:val="14"/>
                <w:color w:val="auto"/>
              </w:rPr>
              <w:t>3,714,676</w:t>
            </w:r>
          </w:p>
        </w:tc>
      </w:tr>
      <w:tr>
        <w:trPr>
          <w:trHeight w:val="162"/>
        </w:trPr>
        <w:tc>
          <w:tcPr>
            <w:tcW w:w="3860" w:type="dxa"/>
            <w:vAlign w:val="bottom"/>
            <w:shd w:val="clear" w:color="auto" w:fill="E8EDF4"/>
          </w:tcPr>
          <w:p>
            <w:pPr>
              <w:ind w:left="120"/>
              <w:spacing w:after="0"/>
              <w:rPr>
                <w:sz w:val="20"/>
                <w:szCs w:val="20"/>
                <w:color w:val="auto"/>
              </w:rPr>
            </w:pPr>
            <w:r>
              <w:rPr>
                <w:rFonts w:ascii="Arial" w:cs="Arial" w:eastAsia="Arial" w:hAnsi="Arial"/>
                <w:sz w:val="14"/>
                <w:szCs w:val="14"/>
                <w:color w:val="auto"/>
              </w:rPr>
              <w:t>Senior Vice President,</w:t>
            </w:r>
          </w:p>
        </w:tc>
        <w:tc>
          <w:tcPr>
            <w:tcW w:w="58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2018</w:t>
            </w:r>
          </w:p>
        </w:tc>
        <w:tc>
          <w:tcPr>
            <w:tcW w:w="84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571,154</w:t>
            </w:r>
          </w:p>
        </w:tc>
        <w:tc>
          <w:tcPr>
            <w:tcW w:w="740" w:type="dxa"/>
            <w:vAlign w:val="bottom"/>
            <w:shd w:val="clear" w:color="auto" w:fill="E8EDF4"/>
          </w:tcPr>
          <w:p>
            <w:pPr>
              <w:ind w:left="400"/>
              <w:spacing w:after="0"/>
              <w:rPr>
                <w:sz w:val="20"/>
                <w:szCs w:val="20"/>
                <w:color w:val="auto"/>
              </w:rPr>
            </w:pPr>
            <w:r>
              <w:rPr>
                <w:rFonts w:ascii="Arial" w:cs="Arial" w:eastAsia="Arial" w:hAnsi="Arial"/>
                <w:sz w:val="14"/>
                <w:szCs w:val="14"/>
                <w:color w:val="auto"/>
              </w:rPr>
              <w:t>—</w:t>
            </w:r>
          </w:p>
        </w:tc>
        <w:tc>
          <w:tcPr>
            <w:tcW w:w="84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1,555,801</w:t>
            </w:r>
          </w:p>
        </w:tc>
        <w:tc>
          <w:tcPr>
            <w:tcW w:w="840" w:type="dxa"/>
            <w:vAlign w:val="bottom"/>
            <w:shd w:val="clear" w:color="auto" w:fill="E8EDF4"/>
          </w:tcPr>
          <w:p>
            <w:pPr>
              <w:jc w:val="right"/>
              <w:ind w:right="8"/>
              <w:spacing w:after="0"/>
              <w:rPr>
                <w:sz w:val="20"/>
                <w:szCs w:val="20"/>
                <w:color w:val="auto"/>
              </w:rPr>
            </w:pPr>
            <w:r>
              <w:rPr>
                <w:rFonts w:ascii="Arial" w:cs="Arial" w:eastAsia="Arial" w:hAnsi="Arial"/>
                <w:sz w:val="14"/>
                <w:szCs w:val="14"/>
                <w:color w:val="auto"/>
              </w:rPr>
              <w:t>724,429</w:t>
            </w:r>
          </w:p>
        </w:tc>
        <w:tc>
          <w:tcPr>
            <w:tcW w:w="118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1,040,769</w:t>
            </w:r>
          </w:p>
        </w:tc>
        <w:tc>
          <w:tcPr>
            <w:tcW w:w="1200" w:type="dxa"/>
            <w:vAlign w:val="bottom"/>
            <w:shd w:val="clear" w:color="auto" w:fill="E8EDF4"/>
          </w:tcPr>
          <w:p>
            <w:pPr>
              <w:jc w:val="right"/>
              <w:ind w:right="48"/>
              <w:spacing w:after="0"/>
              <w:rPr>
                <w:sz w:val="20"/>
                <w:szCs w:val="20"/>
                <w:color w:val="auto"/>
              </w:rPr>
            </w:pPr>
            <w:r>
              <w:rPr>
                <w:rFonts w:ascii="Arial" w:cs="Arial" w:eastAsia="Arial" w:hAnsi="Arial"/>
                <w:sz w:val="14"/>
                <w:szCs w:val="14"/>
                <w:color w:val="auto"/>
              </w:rPr>
              <w:t>92,608</w:t>
            </w:r>
          </w:p>
        </w:tc>
        <w:tc>
          <w:tcPr>
            <w:tcW w:w="940" w:type="dxa"/>
            <w:vAlign w:val="bottom"/>
            <w:shd w:val="clear" w:color="auto" w:fill="E8EDF4"/>
          </w:tcPr>
          <w:p>
            <w:pPr>
              <w:jc w:val="right"/>
              <w:ind w:right="48"/>
              <w:spacing w:after="0"/>
              <w:rPr>
                <w:sz w:val="20"/>
                <w:szCs w:val="20"/>
                <w:color w:val="auto"/>
              </w:rPr>
            </w:pPr>
            <w:r>
              <w:rPr>
                <w:rFonts w:ascii="Arial" w:cs="Arial" w:eastAsia="Arial" w:hAnsi="Arial"/>
                <w:sz w:val="14"/>
                <w:szCs w:val="14"/>
                <w:color w:val="auto"/>
              </w:rPr>
              <w:t>3,984,761</w:t>
            </w:r>
          </w:p>
        </w:tc>
      </w:tr>
      <w:tr>
        <w:trPr>
          <w:trHeight w:val="167"/>
        </w:trPr>
        <w:tc>
          <w:tcPr>
            <w:tcW w:w="3860" w:type="dxa"/>
            <w:vAlign w:val="bottom"/>
            <w:shd w:val="clear" w:color="auto" w:fill="E8EDF4"/>
          </w:tcPr>
          <w:p>
            <w:pPr>
              <w:ind w:left="120"/>
              <w:spacing w:after="0"/>
              <w:rPr>
                <w:sz w:val="20"/>
                <w:szCs w:val="20"/>
                <w:color w:val="auto"/>
              </w:rPr>
            </w:pPr>
            <w:r>
              <w:rPr>
                <w:rFonts w:ascii="Arial" w:cs="Arial" w:eastAsia="Arial" w:hAnsi="Arial"/>
                <w:sz w:val="14"/>
                <w:szCs w:val="14"/>
                <w:color w:val="auto"/>
              </w:rPr>
              <w:t>Finance and Chief</w:t>
            </w:r>
          </w:p>
        </w:tc>
        <w:tc>
          <w:tcPr>
            <w:tcW w:w="58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2017</w:t>
            </w:r>
          </w:p>
        </w:tc>
        <w:tc>
          <w:tcPr>
            <w:tcW w:w="84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35,962</w:t>
            </w:r>
          </w:p>
        </w:tc>
        <w:tc>
          <w:tcPr>
            <w:tcW w:w="740" w:type="dxa"/>
            <w:vAlign w:val="bottom"/>
            <w:shd w:val="clear" w:color="auto" w:fill="E8EDF4"/>
          </w:tcPr>
          <w:p>
            <w:pPr>
              <w:ind w:left="120"/>
              <w:spacing w:after="0"/>
              <w:rPr>
                <w:sz w:val="20"/>
                <w:szCs w:val="20"/>
                <w:color w:val="auto"/>
              </w:rPr>
            </w:pPr>
            <w:r>
              <w:rPr>
                <w:rFonts w:ascii="Arial" w:cs="Arial" w:eastAsia="Arial" w:hAnsi="Arial"/>
                <w:sz w:val="14"/>
                <w:szCs w:val="14"/>
                <w:color w:val="auto"/>
              </w:rPr>
              <w:t>500,000</w:t>
            </w:r>
          </w:p>
        </w:tc>
        <w:tc>
          <w:tcPr>
            <w:tcW w:w="84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3,746,541</w:t>
            </w:r>
          </w:p>
        </w:tc>
        <w:tc>
          <w:tcPr>
            <w:tcW w:w="840" w:type="dxa"/>
            <w:vAlign w:val="bottom"/>
            <w:shd w:val="clear" w:color="auto" w:fill="E8EDF4"/>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82,712</w:t>
            </w:r>
          </w:p>
        </w:tc>
        <w:tc>
          <w:tcPr>
            <w:tcW w:w="1200" w:type="dxa"/>
            <w:vAlign w:val="bottom"/>
            <w:shd w:val="clear" w:color="auto" w:fill="E8EDF4"/>
          </w:tcPr>
          <w:p>
            <w:pPr>
              <w:jc w:val="right"/>
              <w:ind w:right="48"/>
              <w:spacing w:after="0"/>
              <w:rPr>
                <w:sz w:val="20"/>
                <w:szCs w:val="20"/>
                <w:color w:val="auto"/>
              </w:rPr>
            </w:pPr>
            <w:r>
              <w:rPr>
                <w:rFonts w:ascii="Arial" w:cs="Arial" w:eastAsia="Arial" w:hAnsi="Arial"/>
                <w:sz w:val="14"/>
                <w:szCs w:val="14"/>
                <w:color w:val="auto"/>
              </w:rPr>
              <w:t>65,895</w:t>
            </w:r>
          </w:p>
        </w:tc>
        <w:tc>
          <w:tcPr>
            <w:tcW w:w="940" w:type="dxa"/>
            <w:vAlign w:val="bottom"/>
            <w:shd w:val="clear" w:color="auto" w:fill="E8EDF4"/>
          </w:tcPr>
          <w:p>
            <w:pPr>
              <w:jc w:val="right"/>
              <w:ind w:right="48"/>
              <w:spacing w:after="0"/>
              <w:rPr>
                <w:sz w:val="20"/>
                <w:szCs w:val="20"/>
                <w:color w:val="auto"/>
              </w:rPr>
            </w:pPr>
            <w:r>
              <w:rPr>
                <w:rFonts w:ascii="Arial" w:cs="Arial" w:eastAsia="Arial" w:hAnsi="Arial"/>
                <w:sz w:val="14"/>
                <w:szCs w:val="14"/>
                <w:color w:val="auto"/>
              </w:rPr>
              <w:t>4,431,110</w:t>
            </w:r>
          </w:p>
        </w:tc>
      </w:tr>
      <w:tr>
        <w:trPr>
          <w:trHeight w:val="171"/>
        </w:trPr>
        <w:tc>
          <w:tcPr>
            <w:tcW w:w="3860" w:type="dxa"/>
            <w:vAlign w:val="bottom"/>
            <w:shd w:val="clear" w:color="auto" w:fill="E8EDF4"/>
          </w:tcPr>
          <w:p>
            <w:pPr>
              <w:ind w:left="120"/>
              <w:spacing w:after="0"/>
              <w:rPr>
                <w:sz w:val="20"/>
                <w:szCs w:val="20"/>
                <w:color w:val="auto"/>
              </w:rPr>
            </w:pPr>
            <w:r>
              <w:rPr>
                <w:rFonts w:ascii="Arial" w:cs="Arial" w:eastAsia="Arial" w:hAnsi="Arial"/>
                <w:sz w:val="14"/>
                <w:szCs w:val="14"/>
                <w:color w:val="auto"/>
              </w:rPr>
              <w:t>Financial Officer</w:t>
            </w:r>
          </w:p>
        </w:tc>
        <w:tc>
          <w:tcPr>
            <w:tcW w:w="580" w:type="dxa"/>
            <w:vAlign w:val="bottom"/>
            <w:shd w:val="clear" w:color="auto" w:fill="E8EDF4"/>
          </w:tcPr>
          <w:p>
            <w:pPr>
              <w:spacing w:after="0"/>
              <w:rPr>
                <w:sz w:val="14"/>
                <w:szCs w:val="14"/>
                <w:color w:val="auto"/>
              </w:rPr>
            </w:pPr>
          </w:p>
        </w:tc>
        <w:tc>
          <w:tcPr>
            <w:tcW w:w="840" w:type="dxa"/>
            <w:vAlign w:val="bottom"/>
            <w:shd w:val="clear" w:color="auto" w:fill="E8EDF4"/>
          </w:tcPr>
          <w:p>
            <w:pPr>
              <w:spacing w:after="0"/>
              <w:rPr>
                <w:sz w:val="14"/>
                <w:szCs w:val="14"/>
                <w:color w:val="auto"/>
              </w:rPr>
            </w:pPr>
          </w:p>
        </w:tc>
        <w:tc>
          <w:tcPr>
            <w:tcW w:w="740" w:type="dxa"/>
            <w:vAlign w:val="bottom"/>
            <w:shd w:val="clear" w:color="auto" w:fill="E8EDF4"/>
          </w:tcPr>
          <w:p>
            <w:pPr>
              <w:spacing w:after="0"/>
              <w:rPr>
                <w:sz w:val="14"/>
                <w:szCs w:val="14"/>
                <w:color w:val="auto"/>
              </w:rPr>
            </w:pPr>
          </w:p>
        </w:tc>
        <w:tc>
          <w:tcPr>
            <w:tcW w:w="840" w:type="dxa"/>
            <w:vAlign w:val="bottom"/>
            <w:shd w:val="clear" w:color="auto" w:fill="E8EDF4"/>
          </w:tcPr>
          <w:p>
            <w:pPr>
              <w:spacing w:after="0"/>
              <w:rPr>
                <w:sz w:val="14"/>
                <w:szCs w:val="14"/>
                <w:color w:val="auto"/>
              </w:rPr>
            </w:pPr>
          </w:p>
        </w:tc>
        <w:tc>
          <w:tcPr>
            <w:tcW w:w="840" w:type="dxa"/>
            <w:vAlign w:val="bottom"/>
            <w:shd w:val="clear" w:color="auto" w:fill="E8EDF4"/>
          </w:tcPr>
          <w:p>
            <w:pPr>
              <w:spacing w:after="0"/>
              <w:rPr>
                <w:sz w:val="14"/>
                <w:szCs w:val="14"/>
                <w:color w:val="auto"/>
              </w:rPr>
            </w:pPr>
          </w:p>
        </w:tc>
        <w:tc>
          <w:tcPr>
            <w:tcW w:w="1180" w:type="dxa"/>
            <w:vAlign w:val="bottom"/>
            <w:shd w:val="clear" w:color="auto" w:fill="E8EDF4"/>
          </w:tcPr>
          <w:p>
            <w:pPr>
              <w:spacing w:after="0"/>
              <w:rPr>
                <w:sz w:val="14"/>
                <w:szCs w:val="14"/>
                <w:color w:val="auto"/>
              </w:rPr>
            </w:pPr>
          </w:p>
        </w:tc>
        <w:tc>
          <w:tcPr>
            <w:tcW w:w="1200" w:type="dxa"/>
            <w:vAlign w:val="bottom"/>
            <w:shd w:val="clear" w:color="auto" w:fill="E8EDF4"/>
          </w:tcPr>
          <w:p>
            <w:pPr>
              <w:spacing w:after="0"/>
              <w:rPr>
                <w:sz w:val="14"/>
                <w:szCs w:val="14"/>
                <w:color w:val="auto"/>
              </w:rPr>
            </w:pPr>
          </w:p>
        </w:tc>
        <w:tc>
          <w:tcPr>
            <w:tcW w:w="940" w:type="dxa"/>
            <w:vAlign w:val="bottom"/>
            <w:shd w:val="clear" w:color="auto" w:fill="E8EDF4"/>
          </w:tcPr>
          <w:p>
            <w:pPr>
              <w:spacing w:after="0"/>
              <w:rPr>
                <w:sz w:val="14"/>
                <w:szCs w:val="14"/>
                <w:color w:val="auto"/>
              </w:rPr>
            </w:pPr>
          </w:p>
        </w:tc>
      </w:tr>
      <w:tr>
        <w:trPr>
          <w:trHeight w:val="275"/>
        </w:trPr>
        <w:tc>
          <w:tcPr>
            <w:tcW w:w="3860" w:type="dxa"/>
            <w:vAlign w:val="bottom"/>
          </w:tcPr>
          <w:p>
            <w:pPr>
              <w:ind w:left="60"/>
              <w:spacing w:after="0"/>
              <w:rPr>
                <w:sz w:val="20"/>
                <w:szCs w:val="20"/>
                <w:color w:val="auto"/>
              </w:rPr>
            </w:pPr>
            <w:r>
              <w:rPr>
                <w:rFonts w:ascii="Arial" w:cs="Arial" w:eastAsia="Arial" w:hAnsi="Arial"/>
                <w:sz w:val="14"/>
                <w:szCs w:val="14"/>
                <w:b w:val="1"/>
                <w:bCs w:val="1"/>
                <w:color w:val="auto"/>
              </w:rPr>
              <w:t>Martin Cotter</w:t>
            </w: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2019</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456,154</w:t>
            </w:r>
          </w:p>
        </w:tc>
        <w:tc>
          <w:tcPr>
            <w:tcW w:w="740" w:type="dxa"/>
            <w:vAlign w:val="bottom"/>
          </w:tcPr>
          <w:p>
            <w:pPr>
              <w:ind w:left="40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1,178,980</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408,592</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395,809</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103,098</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2,542,633</w:t>
            </w:r>
          </w:p>
        </w:tc>
      </w:tr>
      <w:tr>
        <w:trPr>
          <w:trHeight w:val="162"/>
        </w:trPr>
        <w:tc>
          <w:tcPr>
            <w:tcW w:w="3860" w:type="dxa"/>
            <w:vAlign w:val="bottom"/>
          </w:tcPr>
          <w:p>
            <w:pPr>
              <w:ind w:left="120"/>
              <w:spacing w:after="0"/>
              <w:rPr>
                <w:sz w:val="20"/>
                <w:szCs w:val="20"/>
                <w:color w:val="auto"/>
              </w:rPr>
            </w:pPr>
            <w:r>
              <w:rPr>
                <w:rFonts w:ascii="Arial" w:cs="Arial" w:eastAsia="Arial" w:hAnsi="Arial"/>
                <w:sz w:val="14"/>
                <w:szCs w:val="14"/>
                <w:color w:val="auto"/>
              </w:rPr>
              <w:t>Senior Vice President, Worldwide</w:t>
            </w: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2018</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445,673</w:t>
            </w:r>
          </w:p>
        </w:tc>
        <w:tc>
          <w:tcPr>
            <w:tcW w:w="740" w:type="dxa"/>
            <w:vAlign w:val="bottom"/>
          </w:tcPr>
          <w:p>
            <w:pPr>
              <w:ind w:left="40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1,208,486</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428,088</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687,348</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108,627</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2,878,222</w:t>
            </w:r>
          </w:p>
        </w:tc>
      </w:tr>
      <w:tr>
        <w:trPr>
          <w:trHeight w:val="171"/>
        </w:trPr>
        <w:tc>
          <w:tcPr>
            <w:tcW w:w="3860" w:type="dxa"/>
            <w:vAlign w:val="bottom"/>
          </w:tcPr>
          <w:p>
            <w:pPr>
              <w:ind w:left="120"/>
              <w:spacing w:after="0"/>
              <w:rPr>
                <w:sz w:val="20"/>
                <w:szCs w:val="20"/>
                <w:color w:val="auto"/>
              </w:rPr>
            </w:pPr>
            <w:r>
              <w:rPr>
                <w:rFonts w:ascii="Arial" w:cs="Arial" w:eastAsia="Arial" w:hAnsi="Arial"/>
                <w:sz w:val="14"/>
                <w:szCs w:val="14"/>
                <w:color w:val="auto"/>
              </w:rPr>
              <w:t>Sales &amp; Digital Marketing</w:t>
            </w: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70"/>
        </w:trPr>
        <w:tc>
          <w:tcPr>
            <w:tcW w:w="3860" w:type="dxa"/>
            <w:vAlign w:val="bottom"/>
            <w:shd w:val="clear" w:color="auto" w:fill="E8EDF4"/>
          </w:tcPr>
          <w:p>
            <w:pPr>
              <w:ind w:left="20"/>
              <w:spacing w:after="0"/>
              <w:rPr>
                <w:sz w:val="20"/>
                <w:szCs w:val="20"/>
                <w:color w:val="auto"/>
              </w:rPr>
            </w:pPr>
            <w:r>
              <w:rPr>
                <w:rFonts w:ascii="Arial" w:cs="Arial" w:eastAsia="Arial" w:hAnsi="Arial"/>
                <w:sz w:val="14"/>
                <w:szCs w:val="14"/>
                <w:b w:val="1"/>
                <w:bCs w:val="1"/>
                <w:color w:val="auto"/>
              </w:rPr>
              <w:t>John Hassett</w:t>
            </w:r>
          </w:p>
        </w:tc>
        <w:tc>
          <w:tcPr>
            <w:tcW w:w="58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2019</w:t>
            </w:r>
          </w:p>
        </w:tc>
        <w:tc>
          <w:tcPr>
            <w:tcW w:w="84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471,154</w:t>
            </w:r>
          </w:p>
        </w:tc>
        <w:tc>
          <w:tcPr>
            <w:tcW w:w="740" w:type="dxa"/>
            <w:vAlign w:val="bottom"/>
            <w:shd w:val="clear" w:color="auto" w:fill="E8EDF4"/>
          </w:tcPr>
          <w:p>
            <w:pPr>
              <w:ind w:left="400"/>
              <w:spacing w:after="0"/>
              <w:rPr>
                <w:sz w:val="20"/>
                <w:szCs w:val="20"/>
                <w:color w:val="auto"/>
              </w:rPr>
            </w:pPr>
            <w:r>
              <w:rPr>
                <w:rFonts w:ascii="Arial" w:cs="Arial" w:eastAsia="Arial" w:hAnsi="Arial"/>
                <w:sz w:val="14"/>
                <w:szCs w:val="14"/>
                <w:color w:val="auto"/>
              </w:rPr>
              <w:t>—</w:t>
            </w:r>
          </w:p>
        </w:tc>
        <w:tc>
          <w:tcPr>
            <w:tcW w:w="84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1,234,544</w:t>
            </w:r>
          </w:p>
        </w:tc>
        <w:tc>
          <w:tcPr>
            <w:tcW w:w="840" w:type="dxa"/>
            <w:vAlign w:val="bottom"/>
            <w:shd w:val="clear" w:color="auto" w:fill="E8EDF4"/>
          </w:tcPr>
          <w:p>
            <w:pPr>
              <w:jc w:val="right"/>
              <w:ind w:right="8"/>
              <w:spacing w:after="0"/>
              <w:rPr>
                <w:sz w:val="20"/>
                <w:szCs w:val="20"/>
                <w:color w:val="auto"/>
              </w:rPr>
            </w:pPr>
            <w:r>
              <w:rPr>
                <w:rFonts w:ascii="Arial" w:cs="Arial" w:eastAsia="Arial" w:hAnsi="Arial"/>
                <w:sz w:val="14"/>
                <w:szCs w:val="14"/>
                <w:color w:val="auto"/>
              </w:rPr>
              <w:t>414,212</w:t>
            </w:r>
          </w:p>
        </w:tc>
        <w:tc>
          <w:tcPr>
            <w:tcW w:w="118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437,875</w:t>
            </w:r>
          </w:p>
        </w:tc>
        <w:tc>
          <w:tcPr>
            <w:tcW w:w="1200" w:type="dxa"/>
            <w:vAlign w:val="bottom"/>
            <w:shd w:val="clear" w:color="auto" w:fill="E8EDF4"/>
          </w:tcPr>
          <w:p>
            <w:pPr>
              <w:jc w:val="right"/>
              <w:ind w:right="48"/>
              <w:spacing w:after="0"/>
              <w:rPr>
                <w:sz w:val="20"/>
                <w:szCs w:val="20"/>
                <w:color w:val="auto"/>
              </w:rPr>
            </w:pPr>
            <w:r>
              <w:rPr>
                <w:rFonts w:ascii="Arial" w:cs="Arial" w:eastAsia="Arial" w:hAnsi="Arial"/>
                <w:sz w:val="14"/>
                <w:szCs w:val="14"/>
                <w:color w:val="auto"/>
              </w:rPr>
              <w:t>45,899</w:t>
            </w:r>
          </w:p>
        </w:tc>
        <w:tc>
          <w:tcPr>
            <w:tcW w:w="940" w:type="dxa"/>
            <w:vAlign w:val="bottom"/>
            <w:shd w:val="clear" w:color="auto" w:fill="E8EDF4"/>
          </w:tcPr>
          <w:p>
            <w:pPr>
              <w:jc w:val="right"/>
              <w:ind w:right="48"/>
              <w:spacing w:after="0"/>
              <w:rPr>
                <w:sz w:val="20"/>
                <w:szCs w:val="20"/>
                <w:color w:val="auto"/>
              </w:rPr>
            </w:pPr>
            <w:r>
              <w:rPr>
                <w:rFonts w:ascii="Arial" w:cs="Arial" w:eastAsia="Arial" w:hAnsi="Arial"/>
                <w:sz w:val="14"/>
                <w:szCs w:val="14"/>
                <w:color w:val="auto"/>
              </w:rPr>
              <w:t>2,603,684</w:t>
            </w:r>
          </w:p>
        </w:tc>
      </w:tr>
      <w:tr>
        <w:trPr>
          <w:trHeight w:val="162"/>
        </w:trPr>
        <w:tc>
          <w:tcPr>
            <w:tcW w:w="3860" w:type="dxa"/>
            <w:vAlign w:val="bottom"/>
            <w:shd w:val="clear" w:color="auto" w:fill="E8EDF4"/>
          </w:tcPr>
          <w:p>
            <w:pPr>
              <w:ind w:left="120"/>
              <w:spacing w:after="0"/>
              <w:rPr>
                <w:sz w:val="20"/>
                <w:szCs w:val="20"/>
                <w:color w:val="auto"/>
              </w:rPr>
            </w:pPr>
            <w:r>
              <w:rPr>
                <w:rFonts w:ascii="Arial" w:cs="Arial" w:eastAsia="Arial" w:hAnsi="Arial"/>
                <w:sz w:val="14"/>
                <w:szCs w:val="14"/>
                <w:color w:val="auto"/>
              </w:rPr>
              <w:t>Senior Vice President, Industrial and Consumer</w:t>
            </w:r>
          </w:p>
        </w:tc>
        <w:tc>
          <w:tcPr>
            <w:tcW w:w="58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2018</w:t>
            </w:r>
          </w:p>
        </w:tc>
        <w:tc>
          <w:tcPr>
            <w:tcW w:w="84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469,423</w:t>
            </w:r>
          </w:p>
        </w:tc>
        <w:tc>
          <w:tcPr>
            <w:tcW w:w="740" w:type="dxa"/>
            <w:vAlign w:val="bottom"/>
            <w:shd w:val="clear" w:color="auto" w:fill="E8EDF4"/>
          </w:tcPr>
          <w:p>
            <w:pPr>
              <w:ind w:left="400"/>
              <w:spacing w:after="0"/>
              <w:rPr>
                <w:sz w:val="20"/>
                <w:szCs w:val="20"/>
                <w:color w:val="auto"/>
              </w:rPr>
            </w:pPr>
            <w:r>
              <w:rPr>
                <w:rFonts w:ascii="Arial" w:cs="Arial" w:eastAsia="Arial" w:hAnsi="Arial"/>
                <w:sz w:val="14"/>
                <w:szCs w:val="14"/>
                <w:color w:val="auto"/>
              </w:rPr>
              <w:t>—</w:t>
            </w:r>
          </w:p>
        </w:tc>
        <w:tc>
          <w:tcPr>
            <w:tcW w:w="84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1,208,486</w:t>
            </w:r>
          </w:p>
        </w:tc>
        <w:tc>
          <w:tcPr>
            <w:tcW w:w="840" w:type="dxa"/>
            <w:vAlign w:val="bottom"/>
            <w:shd w:val="clear" w:color="auto" w:fill="E8EDF4"/>
          </w:tcPr>
          <w:p>
            <w:pPr>
              <w:jc w:val="right"/>
              <w:ind w:right="8"/>
              <w:spacing w:after="0"/>
              <w:rPr>
                <w:sz w:val="20"/>
                <w:szCs w:val="20"/>
                <w:color w:val="auto"/>
              </w:rPr>
            </w:pPr>
            <w:r>
              <w:rPr>
                <w:rFonts w:ascii="Arial" w:cs="Arial" w:eastAsia="Arial" w:hAnsi="Arial"/>
                <w:sz w:val="14"/>
                <w:szCs w:val="14"/>
                <w:color w:val="auto"/>
              </w:rPr>
              <w:t>428,088</w:t>
            </w:r>
          </w:p>
        </w:tc>
        <w:tc>
          <w:tcPr>
            <w:tcW w:w="118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762,186</w:t>
            </w:r>
          </w:p>
        </w:tc>
        <w:tc>
          <w:tcPr>
            <w:tcW w:w="1200" w:type="dxa"/>
            <w:vAlign w:val="bottom"/>
            <w:shd w:val="clear" w:color="auto" w:fill="E8EDF4"/>
          </w:tcPr>
          <w:p>
            <w:pPr>
              <w:jc w:val="right"/>
              <w:ind w:right="48"/>
              <w:spacing w:after="0"/>
              <w:rPr>
                <w:sz w:val="20"/>
                <w:szCs w:val="20"/>
                <w:color w:val="auto"/>
              </w:rPr>
            </w:pPr>
            <w:r>
              <w:rPr>
                <w:rFonts w:ascii="Arial" w:cs="Arial" w:eastAsia="Arial" w:hAnsi="Arial"/>
                <w:sz w:val="14"/>
                <w:szCs w:val="14"/>
                <w:color w:val="auto"/>
              </w:rPr>
              <w:t>49,668</w:t>
            </w:r>
          </w:p>
        </w:tc>
        <w:tc>
          <w:tcPr>
            <w:tcW w:w="940" w:type="dxa"/>
            <w:vAlign w:val="bottom"/>
            <w:shd w:val="clear" w:color="auto" w:fill="E8EDF4"/>
          </w:tcPr>
          <w:p>
            <w:pPr>
              <w:jc w:val="right"/>
              <w:ind w:right="48"/>
              <w:spacing w:after="0"/>
              <w:rPr>
                <w:sz w:val="20"/>
                <w:szCs w:val="20"/>
                <w:color w:val="auto"/>
              </w:rPr>
            </w:pPr>
            <w:r>
              <w:rPr>
                <w:rFonts w:ascii="Arial" w:cs="Arial" w:eastAsia="Arial" w:hAnsi="Arial"/>
                <w:sz w:val="14"/>
                <w:szCs w:val="14"/>
                <w:color w:val="auto"/>
              </w:rPr>
              <w:t>2,917,851</w:t>
            </w:r>
          </w:p>
        </w:tc>
      </w:tr>
      <w:tr>
        <w:trPr>
          <w:trHeight w:val="162"/>
        </w:trPr>
        <w:tc>
          <w:tcPr>
            <w:tcW w:w="3860" w:type="dxa"/>
            <w:vAlign w:val="bottom"/>
            <w:shd w:val="clear" w:color="auto" w:fill="E8EDF4"/>
          </w:tcPr>
          <w:p>
            <w:pPr>
              <w:spacing w:after="0"/>
              <w:rPr>
                <w:sz w:val="14"/>
                <w:szCs w:val="14"/>
                <w:color w:val="auto"/>
              </w:rPr>
            </w:pPr>
          </w:p>
        </w:tc>
        <w:tc>
          <w:tcPr>
            <w:tcW w:w="58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2017</w:t>
            </w:r>
          </w:p>
        </w:tc>
        <w:tc>
          <w:tcPr>
            <w:tcW w:w="84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423,077</w:t>
            </w:r>
          </w:p>
        </w:tc>
        <w:tc>
          <w:tcPr>
            <w:tcW w:w="740" w:type="dxa"/>
            <w:vAlign w:val="bottom"/>
            <w:shd w:val="clear" w:color="auto" w:fill="E8EDF4"/>
          </w:tcPr>
          <w:p>
            <w:pPr>
              <w:ind w:left="400"/>
              <w:spacing w:after="0"/>
              <w:rPr>
                <w:sz w:val="20"/>
                <w:szCs w:val="20"/>
                <w:color w:val="auto"/>
              </w:rPr>
            </w:pPr>
            <w:r>
              <w:rPr>
                <w:rFonts w:ascii="Arial" w:cs="Arial" w:eastAsia="Arial" w:hAnsi="Arial"/>
                <w:sz w:val="14"/>
                <w:szCs w:val="14"/>
                <w:color w:val="auto"/>
              </w:rPr>
              <w:t>—</w:t>
            </w:r>
          </w:p>
        </w:tc>
        <w:tc>
          <w:tcPr>
            <w:tcW w:w="84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2,132,825</w:t>
            </w:r>
          </w:p>
        </w:tc>
        <w:tc>
          <w:tcPr>
            <w:tcW w:w="840" w:type="dxa"/>
            <w:vAlign w:val="bottom"/>
            <w:shd w:val="clear" w:color="auto" w:fill="E8EDF4"/>
          </w:tcPr>
          <w:p>
            <w:pPr>
              <w:jc w:val="right"/>
              <w:ind w:right="8"/>
              <w:spacing w:after="0"/>
              <w:rPr>
                <w:sz w:val="20"/>
                <w:szCs w:val="20"/>
                <w:color w:val="auto"/>
              </w:rPr>
            </w:pPr>
            <w:r>
              <w:rPr>
                <w:rFonts w:ascii="Arial" w:cs="Arial" w:eastAsia="Arial" w:hAnsi="Arial"/>
                <w:sz w:val="14"/>
                <w:szCs w:val="14"/>
                <w:color w:val="auto"/>
              </w:rPr>
              <w:t>338,200</w:t>
            </w:r>
          </w:p>
        </w:tc>
        <w:tc>
          <w:tcPr>
            <w:tcW w:w="118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839,803</w:t>
            </w:r>
          </w:p>
        </w:tc>
        <w:tc>
          <w:tcPr>
            <w:tcW w:w="1200" w:type="dxa"/>
            <w:vAlign w:val="bottom"/>
            <w:shd w:val="clear" w:color="auto" w:fill="E8EDF4"/>
          </w:tcPr>
          <w:p>
            <w:pPr>
              <w:jc w:val="right"/>
              <w:ind w:right="48"/>
              <w:spacing w:after="0"/>
              <w:rPr>
                <w:sz w:val="20"/>
                <w:szCs w:val="20"/>
                <w:color w:val="auto"/>
              </w:rPr>
            </w:pPr>
            <w:r>
              <w:rPr>
                <w:rFonts w:ascii="Arial" w:cs="Arial" w:eastAsia="Arial" w:hAnsi="Arial"/>
                <w:sz w:val="14"/>
                <w:szCs w:val="14"/>
                <w:color w:val="auto"/>
              </w:rPr>
              <w:t>39,948</w:t>
            </w:r>
          </w:p>
        </w:tc>
        <w:tc>
          <w:tcPr>
            <w:tcW w:w="940" w:type="dxa"/>
            <w:vAlign w:val="bottom"/>
            <w:shd w:val="clear" w:color="auto" w:fill="E8EDF4"/>
          </w:tcPr>
          <w:p>
            <w:pPr>
              <w:jc w:val="right"/>
              <w:ind w:right="48"/>
              <w:spacing w:after="0"/>
              <w:rPr>
                <w:sz w:val="20"/>
                <w:szCs w:val="20"/>
                <w:color w:val="auto"/>
              </w:rPr>
            </w:pPr>
            <w:r>
              <w:rPr>
                <w:rFonts w:ascii="Arial" w:cs="Arial" w:eastAsia="Arial" w:hAnsi="Arial"/>
                <w:sz w:val="14"/>
                <w:szCs w:val="14"/>
                <w:color w:val="auto"/>
              </w:rPr>
              <w:t>3,773,853</w:t>
            </w:r>
          </w:p>
        </w:tc>
      </w:tr>
      <w:tr>
        <w:trPr>
          <w:trHeight w:val="275"/>
        </w:trPr>
        <w:tc>
          <w:tcPr>
            <w:tcW w:w="3860" w:type="dxa"/>
            <w:vAlign w:val="bottom"/>
          </w:tcPr>
          <w:p>
            <w:pPr>
              <w:ind w:left="20"/>
              <w:spacing w:after="0"/>
              <w:rPr>
                <w:sz w:val="20"/>
                <w:szCs w:val="20"/>
                <w:color w:val="auto"/>
              </w:rPr>
            </w:pPr>
            <w:r>
              <w:rPr>
                <w:rFonts w:ascii="Arial" w:cs="Arial" w:eastAsia="Arial" w:hAnsi="Arial"/>
                <w:sz w:val="14"/>
                <w:szCs w:val="14"/>
                <w:b w:val="1"/>
                <w:bCs w:val="1"/>
                <w:color w:val="auto"/>
              </w:rPr>
              <w:t>Steve Pietkiewicz</w:t>
            </w: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2019</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438,462</w:t>
            </w:r>
          </w:p>
        </w:tc>
        <w:tc>
          <w:tcPr>
            <w:tcW w:w="740" w:type="dxa"/>
            <w:vAlign w:val="bottom"/>
          </w:tcPr>
          <w:p>
            <w:pPr>
              <w:ind w:left="40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1,618,867</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414,212</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365,763</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331,740</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3,169,044</w:t>
            </w:r>
          </w:p>
        </w:tc>
      </w:tr>
      <w:tr>
        <w:trPr>
          <w:trHeight w:val="162"/>
        </w:trPr>
        <w:tc>
          <w:tcPr>
            <w:tcW w:w="3860" w:type="dxa"/>
            <w:vAlign w:val="bottom"/>
          </w:tcPr>
          <w:p>
            <w:pPr>
              <w:ind w:left="120"/>
              <w:spacing w:after="0"/>
              <w:rPr>
                <w:sz w:val="20"/>
                <w:szCs w:val="20"/>
                <w:color w:val="auto"/>
              </w:rPr>
            </w:pPr>
            <w:r>
              <w:rPr>
                <w:rFonts w:ascii="Arial" w:cs="Arial" w:eastAsia="Arial" w:hAnsi="Arial"/>
                <w:sz w:val="14"/>
                <w:szCs w:val="14"/>
                <w:color w:val="auto"/>
              </w:rPr>
              <w:t>Senior Vice President, Power</w:t>
            </w: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2018</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408,786</w:t>
            </w:r>
          </w:p>
        </w:tc>
        <w:tc>
          <w:tcPr>
            <w:tcW w:w="740" w:type="dxa"/>
            <w:vAlign w:val="bottom"/>
          </w:tcPr>
          <w:p>
            <w:pPr>
              <w:ind w:left="40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1,451,045</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493,930</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771,403</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242,397</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3,367,561</w:t>
            </w:r>
          </w:p>
        </w:tc>
      </w:tr>
      <w:tr>
        <w:trPr>
          <w:trHeight w:val="172"/>
        </w:trPr>
        <w:tc>
          <w:tcPr>
            <w:tcW w:w="3860" w:type="dxa"/>
            <w:vAlign w:val="bottom"/>
          </w:tcPr>
          <w:p>
            <w:pPr>
              <w:ind w:left="120"/>
              <w:spacing w:after="0"/>
              <w:rPr>
                <w:sz w:val="20"/>
                <w:szCs w:val="20"/>
                <w:color w:val="auto"/>
              </w:rPr>
            </w:pPr>
            <w:r>
              <w:rPr>
                <w:rFonts w:ascii="Arial" w:cs="Arial" w:eastAsia="Arial" w:hAnsi="Arial"/>
                <w:sz w:val="14"/>
                <w:szCs w:val="14"/>
                <w:color w:val="auto"/>
              </w:rPr>
              <w:t>Products</w:t>
            </w: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2017</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215,926</w:t>
            </w:r>
          </w:p>
        </w:tc>
        <w:tc>
          <w:tcPr>
            <w:tcW w:w="740" w:type="dxa"/>
            <w:vAlign w:val="bottom"/>
          </w:tcPr>
          <w:p>
            <w:pPr>
              <w:ind w:left="40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3,288,608</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476,470</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553,183</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41,010</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4,575,197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6539865</wp:posOffset>
            </wp:positionH>
            <wp:positionV relativeFrom="paragraph">
              <wp:posOffset>-763270</wp:posOffset>
            </wp:positionV>
            <wp:extent cx="8890" cy="5486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890" cy="548640"/>
                    </a:xfrm>
                    <a:prstGeom prst="rect">
                      <a:avLst/>
                    </a:prstGeom>
                    <a:noFill/>
                  </pic:spPr>
                </pic:pic>
              </a:graphicData>
            </a:graphic>
          </wp:anchor>
        </w:drawing>
        <w:drawing>
          <wp:anchor simplePos="0" relativeHeight="251657728" behindDoc="1" locked="0" layoutInCell="0" allowOverlap="1">
            <wp:simplePos x="0" y="0"/>
            <wp:positionH relativeFrom="column">
              <wp:posOffset>5793740</wp:posOffset>
            </wp:positionH>
            <wp:positionV relativeFrom="paragraph">
              <wp:posOffset>-763270</wp:posOffset>
            </wp:positionV>
            <wp:extent cx="8890" cy="5486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890" cy="548640"/>
                    </a:xfrm>
                    <a:prstGeom prst="rect">
                      <a:avLst/>
                    </a:prstGeom>
                    <a:noFill/>
                  </pic:spPr>
                </pic:pic>
              </a:graphicData>
            </a:graphic>
          </wp:anchor>
        </w:drawing>
        <w:drawing>
          <wp:anchor simplePos="0" relativeHeight="251657728" behindDoc="1" locked="0" layoutInCell="0" allowOverlap="1">
            <wp:simplePos x="0" y="0"/>
            <wp:positionH relativeFrom="column">
              <wp:posOffset>5047615</wp:posOffset>
            </wp:positionH>
            <wp:positionV relativeFrom="paragraph">
              <wp:posOffset>-763270</wp:posOffset>
            </wp:positionV>
            <wp:extent cx="8890" cy="5486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890" cy="548640"/>
                    </a:xfrm>
                    <a:prstGeom prst="rect">
                      <a:avLst/>
                    </a:prstGeom>
                    <a:noFill/>
                  </pic:spPr>
                </pic:pic>
              </a:graphicData>
            </a:graphic>
          </wp:anchor>
        </w:drawing>
        <w:drawing>
          <wp:anchor simplePos="0" relativeHeight="251657728" behindDoc="1" locked="0" layoutInCell="0" allowOverlap="1">
            <wp:simplePos x="0" y="0"/>
            <wp:positionH relativeFrom="column">
              <wp:posOffset>4507230</wp:posOffset>
            </wp:positionH>
            <wp:positionV relativeFrom="paragraph">
              <wp:posOffset>-763270</wp:posOffset>
            </wp:positionV>
            <wp:extent cx="8890" cy="5486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890" cy="548640"/>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-763270</wp:posOffset>
            </wp:positionV>
            <wp:extent cx="8890" cy="5486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890" cy="548640"/>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-763270</wp:posOffset>
            </wp:positionV>
            <wp:extent cx="8890" cy="5486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890" cy="548640"/>
                    </a:xfrm>
                    <a:prstGeom prst="rect">
                      <a:avLst/>
                    </a:prstGeom>
                    <a:noFill/>
                  </pic:spPr>
                </pic:pic>
              </a:graphicData>
            </a:graphic>
          </wp:anchor>
        </w:drawing>
        <w:drawing>
          <wp:anchor simplePos="0" relativeHeight="251657728" behindDoc="1" locked="0" layoutInCell="0" allowOverlap="1">
            <wp:simplePos x="0" y="0"/>
            <wp:positionH relativeFrom="column">
              <wp:posOffset>2963545</wp:posOffset>
            </wp:positionH>
            <wp:positionV relativeFrom="paragraph">
              <wp:posOffset>-763270</wp:posOffset>
            </wp:positionV>
            <wp:extent cx="8890" cy="5486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890" cy="548640"/>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-763270</wp:posOffset>
            </wp:positionV>
            <wp:extent cx="8890" cy="5486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890" cy="548640"/>
                    </a:xfrm>
                    <a:prstGeom prst="rect">
                      <a:avLst/>
                    </a:prstGeom>
                    <a:noFill/>
                  </pic:spPr>
                </pic:pic>
              </a:graphicData>
            </a:graphic>
          </wp:anchor>
        </w:drawing>
        <w:drawing>
          <wp:anchor simplePos="0" relativeHeight="251657728" behindDoc="1" locked="0" layoutInCell="0" allowOverlap="1">
            <wp:simplePos x="0" y="0"/>
            <wp:positionH relativeFrom="column">
              <wp:posOffset>6539865</wp:posOffset>
            </wp:positionH>
            <wp:positionV relativeFrom="paragraph">
              <wp:posOffset>-1638300</wp:posOffset>
            </wp:positionV>
            <wp:extent cx="8890" cy="4889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890" cy="488950"/>
                    </a:xfrm>
                    <a:prstGeom prst="rect">
                      <a:avLst/>
                    </a:prstGeom>
                    <a:noFill/>
                  </pic:spPr>
                </pic:pic>
              </a:graphicData>
            </a:graphic>
          </wp:anchor>
        </w:drawing>
        <w:drawing>
          <wp:anchor simplePos="0" relativeHeight="251657728" behindDoc="1" locked="0" layoutInCell="0" allowOverlap="1">
            <wp:simplePos x="0" y="0"/>
            <wp:positionH relativeFrom="column">
              <wp:posOffset>5793740</wp:posOffset>
            </wp:positionH>
            <wp:positionV relativeFrom="paragraph">
              <wp:posOffset>-1638300</wp:posOffset>
            </wp:positionV>
            <wp:extent cx="8890" cy="4889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890" cy="488950"/>
                    </a:xfrm>
                    <a:prstGeom prst="rect">
                      <a:avLst/>
                    </a:prstGeom>
                    <a:noFill/>
                  </pic:spPr>
                </pic:pic>
              </a:graphicData>
            </a:graphic>
          </wp:anchor>
        </w:drawing>
        <w:drawing>
          <wp:anchor simplePos="0" relativeHeight="251657728" behindDoc="1" locked="0" layoutInCell="0" allowOverlap="1">
            <wp:simplePos x="0" y="0"/>
            <wp:positionH relativeFrom="column">
              <wp:posOffset>5047615</wp:posOffset>
            </wp:positionH>
            <wp:positionV relativeFrom="paragraph">
              <wp:posOffset>-1638300</wp:posOffset>
            </wp:positionV>
            <wp:extent cx="8890" cy="4889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890" cy="488950"/>
                    </a:xfrm>
                    <a:prstGeom prst="rect">
                      <a:avLst/>
                    </a:prstGeom>
                    <a:noFill/>
                  </pic:spPr>
                </pic:pic>
              </a:graphicData>
            </a:graphic>
          </wp:anchor>
        </w:drawing>
        <w:drawing>
          <wp:anchor simplePos="0" relativeHeight="251657728" behindDoc="1" locked="0" layoutInCell="0" allowOverlap="1">
            <wp:simplePos x="0" y="0"/>
            <wp:positionH relativeFrom="column">
              <wp:posOffset>4507230</wp:posOffset>
            </wp:positionH>
            <wp:positionV relativeFrom="paragraph">
              <wp:posOffset>-1638300</wp:posOffset>
            </wp:positionV>
            <wp:extent cx="8890" cy="4889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890" cy="488950"/>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-1638300</wp:posOffset>
            </wp:positionV>
            <wp:extent cx="8890" cy="4889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890" cy="488950"/>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-1638300</wp:posOffset>
            </wp:positionV>
            <wp:extent cx="8890" cy="4889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890" cy="488950"/>
                    </a:xfrm>
                    <a:prstGeom prst="rect">
                      <a:avLst/>
                    </a:prstGeom>
                    <a:noFill/>
                  </pic:spPr>
                </pic:pic>
              </a:graphicData>
            </a:graphic>
          </wp:anchor>
        </w:drawing>
        <w:drawing>
          <wp:anchor simplePos="0" relativeHeight="251657728" behindDoc="1" locked="0" layoutInCell="0" allowOverlap="1">
            <wp:simplePos x="0" y="0"/>
            <wp:positionH relativeFrom="column">
              <wp:posOffset>2963545</wp:posOffset>
            </wp:positionH>
            <wp:positionV relativeFrom="paragraph">
              <wp:posOffset>-1638300</wp:posOffset>
            </wp:positionV>
            <wp:extent cx="8890" cy="4889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890" cy="488950"/>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-1638300</wp:posOffset>
            </wp:positionV>
            <wp:extent cx="8890" cy="4889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890" cy="48895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85090</wp:posOffset>
            </wp:positionV>
            <wp:extent cx="76327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3" w:lineRule="exact"/>
        <w:rPr>
          <w:sz w:val="20"/>
          <w:szCs w:val="20"/>
          <w:color w:val="auto"/>
        </w:rPr>
      </w:pPr>
    </w:p>
    <w:p>
      <w:pPr>
        <w:ind w:left="640" w:right="740" w:hanging="436"/>
        <w:spacing w:after="0" w:line="246" w:lineRule="auto"/>
        <w:tabs>
          <w:tab w:leader="none" w:pos="6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amount reported for Mr. Mahendra-Rajah for fiscal 2017 represents a hiring bonus paid pursuant to his offer letter dated August 4, 2017.</w:t>
      </w:r>
    </w:p>
    <w:p>
      <w:pPr>
        <w:spacing w:after="0" w:line="102" w:lineRule="exact"/>
        <w:rPr>
          <w:rFonts w:ascii="Arial" w:cs="Arial" w:eastAsia="Arial" w:hAnsi="Arial"/>
          <w:sz w:val="18"/>
          <w:szCs w:val="18"/>
          <w:color w:val="auto"/>
        </w:rPr>
      </w:pPr>
    </w:p>
    <w:p>
      <w:pPr>
        <w:ind w:left="1180" w:right="460" w:hanging="976"/>
        <w:spacing w:after="0" w:line="246" w:lineRule="auto"/>
        <w:tabs>
          <w:tab w:leader="none" w:pos="664" w:val="left"/>
        </w:tabs>
        <w:numPr>
          <w:ilvl w:val="0"/>
          <w:numId w:val="85"/>
        </w:numPr>
        <w:rPr>
          <w:rFonts w:ascii="Arial" w:cs="Arial" w:eastAsia="Arial" w:hAnsi="Arial"/>
          <w:sz w:val="18"/>
          <w:szCs w:val="18"/>
          <w:color w:val="auto"/>
        </w:rPr>
      </w:pPr>
      <w:r>
        <w:rPr>
          <w:rFonts w:ascii="Arial" w:cs="Arial" w:eastAsia="Arial" w:hAnsi="Arial"/>
          <w:sz w:val="18"/>
          <w:szCs w:val="18"/>
          <w:color w:val="auto"/>
        </w:rPr>
        <w:t>a.Amounts represent the aggregate grant date fair value of time-based RSUs and PRSUs granted in fiscal 2019, 2018 and 2017 to the NEOs and the Linear Integration PRSUs granted in fiscal 2017 to the NEOs (excluding our CEO).</w:t>
      </w:r>
    </w:p>
    <w:p>
      <w:pPr>
        <w:spacing w:after="0" w:line="102" w:lineRule="exact"/>
        <w:rPr>
          <w:sz w:val="20"/>
          <w:szCs w:val="20"/>
          <w:color w:val="auto"/>
        </w:rPr>
      </w:pPr>
    </w:p>
    <w:p>
      <w:pPr>
        <w:ind w:left="1180" w:hanging="494"/>
        <w:spacing w:after="0"/>
        <w:tabs>
          <w:tab w:leader="none" w:pos="11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Amounts represent the aggregate grant date fair value of stock options granted in fiscal 2019, 2018 and 2017.</w:t>
      </w:r>
    </w:p>
    <w:p>
      <w:pPr>
        <w:spacing w:after="0" w:line="104" w:lineRule="exact"/>
        <w:rPr>
          <w:sz w:val="20"/>
          <w:szCs w:val="20"/>
          <w:color w:val="auto"/>
        </w:rPr>
      </w:pPr>
    </w:p>
    <w:p>
      <w:pPr>
        <w:ind w:left="200" w:right="40" w:firstLine="441"/>
        <w:spacing w:after="0"/>
        <w:rPr>
          <w:sz w:val="20"/>
          <w:szCs w:val="20"/>
          <w:color w:val="auto"/>
        </w:rPr>
      </w:pPr>
      <w:r>
        <w:rPr>
          <w:rFonts w:ascii="Arial" w:cs="Arial" w:eastAsia="Arial" w:hAnsi="Arial"/>
          <w:sz w:val="18"/>
          <w:szCs w:val="18"/>
          <w:color w:val="auto"/>
        </w:rPr>
        <w:t>These amounts do not represent the actual amounts paid to or realized by the NEO for these awards during the respective fiscal years. We recognize the value as of the grant date for stock options and time-based RSUs and PRSUs over the number of days of service required for the grant to become vested.</w:t>
      </w:r>
    </w:p>
    <w:p>
      <w:pPr>
        <w:spacing w:after="0" w:line="376" w:lineRule="exact"/>
        <w:rPr>
          <w:sz w:val="20"/>
          <w:szCs w:val="20"/>
          <w:color w:val="auto"/>
        </w:rPr>
      </w:pPr>
    </w:p>
    <w:p>
      <w:pPr>
        <w:ind w:left="600" w:hanging="396"/>
        <w:spacing w:after="0"/>
        <w:tabs>
          <w:tab w:leader="none" w:pos="600" w:val="left"/>
        </w:tabs>
        <w:numPr>
          <w:ilvl w:val="0"/>
          <w:numId w:val="87"/>
        </w:numPr>
        <w:rPr>
          <w:rFonts w:ascii="Arial" w:cs="Arial" w:eastAsia="Arial" w:hAnsi="Arial"/>
          <w:sz w:val="18"/>
          <w:szCs w:val="18"/>
          <w:color w:val="999999"/>
        </w:rPr>
      </w:pPr>
      <w:r>
        <w:rPr>
          <w:rFonts w:ascii="Arial" w:cs="Arial" w:eastAsia="Arial" w:hAnsi="Arial"/>
          <w:sz w:val="14"/>
          <w:szCs w:val="14"/>
          <w:b w:val="1"/>
          <w:bCs w:val="1"/>
          <w:color w:val="052B82"/>
        </w:rPr>
        <w:t>Analog Devices, Inc.</w:t>
      </w:r>
    </w:p>
    <w:p>
      <w:pPr>
        <w:sectPr>
          <w:pgSz w:w="11900" w:h="16838" w:orient="portrait"/>
          <w:cols w:equalWidth="0" w:num="1">
            <w:col w:w="11240"/>
          </w:cols>
          <w:pgMar w:left="240" w:top="459" w:right="41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205740</wp:posOffset>
            </wp:positionV>
            <wp:extent cx="2649855" cy="1371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0" w:right="160" w:firstLine="441"/>
        <w:spacing w:after="0" w:line="239" w:lineRule="auto"/>
        <w:rPr>
          <w:sz w:val="20"/>
          <w:szCs w:val="20"/>
          <w:color w:val="auto"/>
        </w:rPr>
      </w:pPr>
      <w:r>
        <w:rPr>
          <w:rFonts w:ascii="Arial" w:cs="Arial" w:eastAsia="Arial" w:hAnsi="Arial"/>
          <w:sz w:val="18"/>
          <w:szCs w:val="18"/>
          <w:color w:val="auto"/>
        </w:rPr>
        <w:t>The following table includes the assumptions, rounded to the nearest hundredth, that we used to calculate the grant date fair value reported for fiscal years 2019, 2018 and 2017 on a grant-by-grant basis and the grant date fair value of relative TSR PRSUs, financial metric PRSUs and the Linear Integration PRSUs granted in fiscal 2017, assuming the achievement of the maximum level of performance conditions.</w:t>
      </w:r>
    </w:p>
    <w:p>
      <w:pPr>
        <w:spacing w:after="0" w:line="230"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480" w:type="dxa"/>
            <w:vAlign w:val="bottom"/>
            <w:shd w:val="clear" w:color="auto" w:fill="052B82"/>
          </w:tcPr>
          <w:p>
            <w:pPr>
              <w:spacing w:after="0"/>
              <w:rPr>
                <w:sz w:val="14"/>
                <w:szCs w:val="14"/>
                <w:color w:val="auto"/>
              </w:rPr>
            </w:pPr>
          </w:p>
        </w:tc>
        <w:tc>
          <w:tcPr>
            <w:tcW w:w="920" w:type="dxa"/>
            <w:vAlign w:val="bottom"/>
            <w:shd w:val="clear" w:color="auto" w:fill="052B82"/>
          </w:tcPr>
          <w:p>
            <w:pPr>
              <w:spacing w:after="0"/>
              <w:rPr>
                <w:sz w:val="14"/>
                <w:szCs w:val="14"/>
                <w:color w:val="auto"/>
              </w:rPr>
            </w:pPr>
          </w:p>
        </w:tc>
        <w:tc>
          <w:tcPr>
            <w:tcW w:w="260" w:type="dxa"/>
            <w:vAlign w:val="bottom"/>
            <w:shd w:val="clear" w:color="auto" w:fill="052B82"/>
          </w:tcPr>
          <w:p>
            <w:pPr>
              <w:spacing w:after="0"/>
              <w:rPr>
                <w:sz w:val="14"/>
                <w:szCs w:val="14"/>
                <w:color w:val="auto"/>
              </w:rPr>
            </w:pPr>
          </w:p>
        </w:tc>
        <w:tc>
          <w:tcPr>
            <w:tcW w:w="660" w:type="dxa"/>
            <w:vAlign w:val="bottom"/>
            <w:shd w:val="clear" w:color="auto" w:fill="052B82"/>
          </w:tcPr>
          <w:p>
            <w:pPr>
              <w:spacing w:after="0"/>
              <w:rPr>
                <w:sz w:val="14"/>
                <w:szCs w:val="14"/>
                <w:color w:val="auto"/>
              </w:rPr>
            </w:pPr>
          </w:p>
        </w:tc>
        <w:tc>
          <w:tcPr>
            <w:tcW w:w="280" w:type="dxa"/>
            <w:vAlign w:val="bottom"/>
            <w:shd w:val="clear" w:color="auto" w:fill="052B82"/>
          </w:tcPr>
          <w:p>
            <w:pPr>
              <w:spacing w:after="0"/>
              <w:rPr>
                <w:sz w:val="14"/>
                <w:szCs w:val="14"/>
                <w:color w:val="auto"/>
              </w:rPr>
            </w:pPr>
          </w:p>
        </w:tc>
        <w:tc>
          <w:tcPr>
            <w:tcW w:w="760" w:type="dxa"/>
            <w:vAlign w:val="bottom"/>
            <w:shd w:val="clear" w:color="auto" w:fill="052B82"/>
          </w:tcPr>
          <w:p>
            <w:pPr>
              <w:spacing w:after="0"/>
              <w:rPr>
                <w:sz w:val="14"/>
                <w:szCs w:val="14"/>
                <w:color w:val="auto"/>
              </w:rPr>
            </w:pPr>
          </w:p>
        </w:tc>
        <w:tc>
          <w:tcPr>
            <w:tcW w:w="900" w:type="dxa"/>
            <w:vAlign w:val="bottom"/>
            <w:shd w:val="clear" w:color="auto" w:fill="052B82"/>
          </w:tcPr>
          <w:p>
            <w:pPr>
              <w:spacing w:after="0"/>
              <w:rPr>
                <w:sz w:val="14"/>
                <w:szCs w:val="14"/>
                <w:color w:val="auto"/>
              </w:rPr>
            </w:pPr>
          </w:p>
        </w:tc>
        <w:tc>
          <w:tcPr>
            <w:tcW w:w="1720" w:type="dxa"/>
            <w:vAlign w:val="bottom"/>
            <w:gridSpan w:val="2"/>
            <w:shd w:val="clear" w:color="auto" w:fill="052B82"/>
          </w:tcPr>
          <w:p>
            <w:pPr>
              <w:jc w:val="right"/>
              <w:ind w:right="328"/>
              <w:spacing w:after="0"/>
              <w:rPr>
                <w:sz w:val="20"/>
                <w:szCs w:val="20"/>
                <w:color w:val="auto"/>
              </w:rPr>
            </w:pPr>
            <w:r>
              <w:rPr>
                <w:rFonts w:ascii="Arial" w:cs="Arial" w:eastAsia="Arial" w:hAnsi="Arial"/>
                <w:sz w:val="14"/>
                <w:szCs w:val="14"/>
                <w:b w:val="1"/>
                <w:bCs w:val="1"/>
                <w:color w:val="FFFFFF"/>
              </w:rPr>
              <w:t>Assumptions</w:t>
            </w:r>
          </w:p>
        </w:tc>
        <w:tc>
          <w:tcPr>
            <w:tcW w:w="820" w:type="dxa"/>
            <w:vAlign w:val="bottom"/>
            <w:shd w:val="clear" w:color="auto" w:fill="052B82"/>
          </w:tcPr>
          <w:p>
            <w:pPr>
              <w:spacing w:after="0"/>
              <w:rPr>
                <w:sz w:val="14"/>
                <w:szCs w:val="14"/>
                <w:color w:val="auto"/>
              </w:rPr>
            </w:pPr>
          </w:p>
        </w:tc>
        <w:tc>
          <w:tcPr>
            <w:tcW w:w="660" w:type="dxa"/>
            <w:vAlign w:val="bottom"/>
            <w:vMerge w:val="restart"/>
            <w:shd w:val="clear" w:color="auto" w:fill="052B82"/>
          </w:tcPr>
          <w:p>
            <w:pPr>
              <w:jc w:val="center"/>
              <w:spacing w:after="0"/>
              <w:rPr>
                <w:sz w:val="20"/>
                <w:szCs w:val="20"/>
                <w:color w:val="auto"/>
              </w:rPr>
            </w:pPr>
            <w:r>
              <w:rPr>
                <w:rFonts w:ascii="Arial" w:cs="Arial" w:eastAsia="Arial" w:hAnsi="Arial"/>
                <w:sz w:val="14"/>
                <w:szCs w:val="14"/>
                <w:b w:val="1"/>
                <w:bCs w:val="1"/>
                <w:color w:val="FFFFFF"/>
              </w:rPr>
              <w:t>Grant</w:t>
            </w:r>
          </w:p>
        </w:tc>
        <w:tc>
          <w:tcPr>
            <w:tcW w:w="1560" w:type="dxa"/>
            <w:vAlign w:val="bottom"/>
            <w:shd w:val="clear" w:color="auto" w:fill="052B82"/>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80" w:type="dxa"/>
            <w:vAlign w:val="bottom"/>
            <w:shd w:val="clear" w:color="auto" w:fill="052B82"/>
          </w:tcPr>
          <w:p>
            <w:pPr>
              <w:spacing w:after="0"/>
              <w:rPr>
                <w:sz w:val="12"/>
                <w:szCs w:val="12"/>
                <w:color w:val="auto"/>
              </w:rPr>
            </w:pPr>
          </w:p>
        </w:tc>
        <w:tc>
          <w:tcPr>
            <w:tcW w:w="920" w:type="dxa"/>
            <w:vAlign w:val="bottom"/>
            <w:shd w:val="clear" w:color="auto" w:fill="052B82"/>
          </w:tcPr>
          <w:p>
            <w:pPr>
              <w:spacing w:after="0"/>
              <w:rPr>
                <w:sz w:val="12"/>
                <w:szCs w:val="12"/>
                <w:color w:val="auto"/>
              </w:rPr>
            </w:pPr>
          </w:p>
        </w:tc>
        <w:tc>
          <w:tcPr>
            <w:tcW w:w="260" w:type="dxa"/>
            <w:vAlign w:val="bottom"/>
            <w:shd w:val="clear" w:color="auto" w:fill="052B82"/>
          </w:tcPr>
          <w:p>
            <w:pPr>
              <w:spacing w:after="0"/>
              <w:rPr>
                <w:sz w:val="12"/>
                <w:szCs w:val="12"/>
                <w:color w:val="auto"/>
              </w:rPr>
            </w:pPr>
          </w:p>
        </w:tc>
        <w:tc>
          <w:tcPr>
            <w:tcW w:w="660" w:type="dxa"/>
            <w:vAlign w:val="bottom"/>
            <w:shd w:val="clear" w:color="auto" w:fill="052B82"/>
          </w:tcPr>
          <w:p>
            <w:pPr>
              <w:spacing w:after="0"/>
              <w:rPr>
                <w:sz w:val="12"/>
                <w:szCs w:val="12"/>
                <w:color w:val="auto"/>
              </w:rPr>
            </w:pPr>
          </w:p>
        </w:tc>
        <w:tc>
          <w:tcPr>
            <w:tcW w:w="280" w:type="dxa"/>
            <w:vAlign w:val="bottom"/>
            <w:shd w:val="clear" w:color="auto" w:fill="052B82"/>
          </w:tcPr>
          <w:p>
            <w:pPr>
              <w:spacing w:after="0"/>
              <w:rPr>
                <w:sz w:val="12"/>
                <w:szCs w:val="12"/>
                <w:color w:val="auto"/>
              </w:rPr>
            </w:pPr>
          </w:p>
        </w:tc>
        <w:tc>
          <w:tcPr>
            <w:tcW w:w="760" w:type="dxa"/>
            <w:vAlign w:val="bottom"/>
            <w:shd w:val="clear" w:color="auto" w:fill="052B82"/>
          </w:tcPr>
          <w:p>
            <w:pPr>
              <w:spacing w:after="0"/>
              <w:rPr>
                <w:sz w:val="12"/>
                <w:szCs w:val="12"/>
                <w:color w:val="auto"/>
              </w:rPr>
            </w:pPr>
          </w:p>
        </w:tc>
        <w:tc>
          <w:tcPr>
            <w:tcW w:w="900" w:type="dxa"/>
            <w:vAlign w:val="bottom"/>
            <w:shd w:val="clear" w:color="auto" w:fill="052B82"/>
          </w:tcPr>
          <w:p>
            <w:pPr>
              <w:spacing w:after="0"/>
              <w:rPr>
                <w:sz w:val="12"/>
                <w:szCs w:val="12"/>
                <w:color w:val="auto"/>
              </w:rPr>
            </w:pPr>
          </w:p>
        </w:tc>
        <w:tc>
          <w:tcPr>
            <w:tcW w:w="840" w:type="dxa"/>
            <w:vAlign w:val="bottom"/>
            <w:shd w:val="clear" w:color="auto" w:fill="052B82"/>
          </w:tcPr>
          <w:p>
            <w:pPr>
              <w:spacing w:after="0"/>
              <w:rPr>
                <w:sz w:val="12"/>
                <w:szCs w:val="12"/>
                <w:color w:val="auto"/>
              </w:rPr>
            </w:pPr>
          </w:p>
        </w:tc>
        <w:tc>
          <w:tcPr>
            <w:tcW w:w="880" w:type="dxa"/>
            <w:vAlign w:val="bottom"/>
            <w:shd w:val="clear" w:color="auto" w:fill="052B82"/>
          </w:tcPr>
          <w:p>
            <w:pPr>
              <w:spacing w:after="0"/>
              <w:rPr>
                <w:sz w:val="12"/>
                <w:szCs w:val="12"/>
                <w:color w:val="auto"/>
              </w:rPr>
            </w:pPr>
          </w:p>
        </w:tc>
        <w:tc>
          <w:tcPr>
            <w:tcW w:w="820" w:type="dxa"/>
            <w:vAlign w:val="bottom"/>
            <w:shd w:val="clear" w:color="auto" w:fill="052B82"/>
          </w:tcPr>
          <w:p>
            <w:pPr>
              <w:spacing w:after="0"/>
              <w:rPr>
                <w:sz w:val="12"/>
                <w:szCs w:val="12"/>
                <w:color w:val="auto"/>
              </w:rPr>
            </w:pPr>
          </w:p>
        </w:tc>
        <w:tc>
          <w:tcPr>
            <w:tcW w:w="660" w:type="dxa"/>
            <w:vAlign w:val="bottom"/>
            <w:vMerge w:val="continue"/>
            <w:shd w:val="clear" w:color="auto" w:fill="052B82"/>
          </w:tcPr>
          <w:p>
            <w:pPr>
              <w:spacing w:after="0"/>
              <w:rPr>
                <w:sz w:val="12"/>
                <w:szCs w:val="12"/>
                <w:color w:val="auto"/>
              </w:rPr>
            </w:pPr>
          </w:p>
        </w:tc>
        <w:tc>
          <w:tcPr>
            <w:tcW w:w="1560" w:type="dxa"/>
            <w:vAlign w:val="bottom"/>
            <w:shd w:val="clear" w:color="auto" w:fill="052B82"/>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480" w:type="dxa"/>
            <w:vAlign w:val="bottom"/>
            <w:shd w:val="clear" w:color="auto" w:fill="052B82"/>
          </w:tcPr>
          <w:p>
            <w:pPr>
              <w:spacing w:after="0"/>
              <w:rPr>
                <w:sz w:val="14"/>
                <w:szCs w:val="14"/>
                <w:color w:val="auto"/>
              </w:rPr>
            </w:pPr>
          </w:p>
        </w:tc>
        <w:tc>
          <w:tcPr>
            <w:tcW w:w="920" w:type="dxa"/>
            <w:vAlign w:val="bottom"/>
            <w:shd w:val="clear" w:color="auto" w:fill="052B82"/>
          </w:tcPr>
          <w:p>
            <w:pPr>
              <w:spacing w:after="0"/>
              <w:rPr>
                <w:sz w:val="14"/>
                <w:szCs w:val="14"/>
                <w:color w:val="auto"/>
              </w:rPr>
            </w:pPr>
          </w:p>
        </w:tc>
        <w:tc>
          <w:tcPr>
            <w:tcW w:w="260" w:type="dxa"/>
            <w:vAlign w:val="bottom"/>
            <w:shd w:val="clear" w:color="auto" w:fill="052B82"/>
          </w:tcPr>
          <w:p>
            <w:pPr>
              <w:spacing w:after="0"/>
              <w:rPr>
                <w:sz w:val="14"/>
                <w:szCs w:val="14"/>
                <w:color w:val="auto"/>
              </w:rPr>
            </w:pPr>
          </w:p>
        </w:tc>
        <w:tc>
          <w:tcPr>
            <w:tcW w:w="940" w:type="dxa"/>
            <w:vAlign w:val="bottom"/>
            <w:gridSpan w:val="2"/>
            <w:shd w:val="clear" w:color="auto" w:fill="052B82"/>
          </w:tcPr>
          <w:p>
            <w:pPr>
              <w:jc w:val="center"/>
              <w:ind w:right="340"/>
              <w:spacing w:after="0"/>
              <w:rPr>
                <w:sz w:val="20"/>
                <w:szCs w:val="20"/>
                <w:color w:val="auto"/>
              </w:rPr>
            </w:pPr>
            <w:r>
              <w:rPr>
                <w:rFonts w:ascii="Arial" w:cs="Arial" w:eastAsia="Arial" w:hAnsi="Arial"/>
                <w:sz w:val="14"/>
                <w:szCs w:val="14"/>
                <w:b w:val="1"/>
                <w:bCs w:val="1"/>
                <w:color w:val="FFFFFF"/>
              </w:rPr>
              <w:t>Options/</w:t>
            </w:r>
          </w:p>
        </w:tc>
        <w:tc>
          <w:tcPr>
            <w:tcW w:w="760" w:type="dxa"/>
            <w:vAlign w:val="bottom"/>
            <w:shd w:val="clear" w:color="auto" w:fill="052B82"/>
          </w:tcPr>
          <w:p>
            <w:pPr>
              <w:spacing w:after="0"/>
              <w:rPr>
                <w:sz w:val="14"/>
                <w:szCs w:val="14"/>
                <w:color w:val="auto"/>
              </w:rPr>
            </w:pPr>
          </w:p>
        </w:tc>
        <w:tc>
          <w:tcPr>
            <w:tcW w:w="900" w:type="dxa"/>
            <w:vAlign w:val="bottom"/>
            <w:shd w:val="clear" w:color="auto" w:fill="052B82"/>
          </w:tcPr>
          <w:p>
            <w:pPr>
              <w:spacing w:after="0"/>
              <w:rPr>
                <w:sz w:val="14"/>
                <w:szCs w:val="14"/>
                <w:color w:val="auto"/>
              </w:rPr>
            </w:pPr>
          </w:p>
        </w:tc>
        <w:tc>
          <w:tcPr>
            <w:tcW w:w="840" w:type="dxa"/>
            <w:vAlign w:val="bottom"/>
            <w:shd w:val="clear" w:color="auto" w:fill="052B82"/>
          </w:tcPr>
          <w:p>
            <w:pPr>
              <w:spacing w:after="0"/>
              <w:rPr>
                <w:sz w:val="14"/>
                <w:szCs w:val="14"/>
                <w:color w:val="auto"/>
              </w:rPr>
            </w:pPr>
          </w:p>
        </w:tc>
        <w:tc>
          <w:tcPr>
            <w:tcW w:w="880" w:type="dxa"/>
            <w:vAlign w:val="bottom"/>
            <w:shd w:val="clear" w:color="auto" w:fill="052B82"/>
          </w:tcPr>
          <w:p>
            <w:pPr>
              <w:spacing w:after="0"/>
              <w:rPr>
                <w:sz w:val="14"/>
                <w:szCs w:val="14"/>
                <w:color w:val="auto"/>
              </w:rPr>
            </w:pPr>
          </w:p>
        </w:tc>
        <w:tc>
          <w:tcPr>
            <w:tcW w:w="820" w:type="dxa"/>
            <w:vAlign w:val="bottom"/>
            <w:shd w:val="clear" w:color="auto" w:fill="052B82"/>
          </w:tcPr>
          <w:p>
            <w:pPr>
              <w:spacing w:after="0"/>
              <w:rPr>
                <w:sz w:val="14"/>
                <w:szCs w:val="14"/>
                <w:color w:val="auto"/>
              </w:rPr>
            </w:pPr>
          </w:p>
        </w:tc>
        <w:tc>
          <w:tcPr>
            <w:tcW w:w="6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w w:val="98"/>
              </w:rPr>
              <w:t>Date</w:t>
            </w:r>
          </w:p>
        </w:tc>
        <w:tc>
          <w:tcPr>
            <w:tcW w:w="15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Grant Date</w:t>
            </w:r>
          </w:p>
        </w:tc>
        <w:tc>
          <w:tcPr>
            <w:tcW w:w="0" w:type="dxa"/>
            <w:vAlign w:val="bottom"/>
          </w:tcPr>
          <w:p>
            <w:pPr>
              <w:spacing w:after="0"/>
              <w:rPr>
                <w:sz w:val="1"/>
                <w:szCs w:val="1"/>
                <w:color w:val="auto"/>
              </w:rPr>
            </w:pPr>
          </w:p>
        </w:tc>
      </w:tr>
      <w:tr>
        <w:trPr>
          <w:trHeight w:val="162"/>
        </w:trPr>
        <w:tc>
          <w:tcPr>
            <w:tcW w:w="2480" w:type="dxa"/>
            <w:vAlign w:val="bottom"/>
            <w:shd w:val="clear" w:color="auto" w:fill="052B82"/>
          </w:tcPr>
          <w:p>
            <w:pPr>
              <w:spacing w:after="0"/>
              <w:rPr>
                <w:sz w:val="14"/>
                <w:szCs w:val="14"/>
                <w:color w:val="auto"/>
              </w:rPr>
            </w:pPr>
          </w:p>
        </w:tc>
        <w:tc>
          <w:tcPr>
            <w:tcW w:w="920" w:type="dxa"/>
            <w:vAlign w:val="bottom"/>
            <w:shd w:val="clear" w:color="auto" w:fill="052B82"/>
          </w:tcPr>
          <w:p>
            <w:pPr>
              <w:spacing w:after="0"/>
              <w:rPr>
                <w:sz w:val="14"/>
                <w:szCs w:val="14"/>
                <w:color w:val="auto"/>
              </w:rPr>
            </w:pPr>
          </w:p>
        </w:tc>
        <w:tc>
          <w:tcPr>
            <w:tcW w:w="1200" w:type="dxa"/>
            <w:vAlign w:val="bottom"/>
            <w:gridSpan w:val="3"/>
            <w:shd w:val="clear" w:color="auto" w:fill="052B82"/>
          </w:tcPr>
          <w:p>
            <w:pPr>
              <w:jc w:val="center"/>
              <w:ind w:right="80"/>
              <w:spacing w:after="0"/>
              <w:rPr>
                <w:sz w:val="20"/>
                <w:szCs w:val="20"/>
                <w:color w:val="auto"/>
              </w:rPr>
            </w:pPr>
            <w:r>
              <w:rPr>
                <w:rFonts w:ascii="Arial" w:cs="Arial" w:eastAsia="Arial" w:hAnsi="Arial"/>
                <w:sz w:val="14"/>
                <w:szCs w:val="14"/>
                <w:b w:val="1"/>
                <w:bCs w:val="1"/>
                <w:color w:val="FFFFFF"/>
              </w:rPr>
              <w:t>Restricted</w:t>
            </w:r>
          </w:p>
        </w:tc>
        <w:tc>
          <w:tcPr>
            <w:tcW w:w="760" w:type="dxa"/>
            <w:vAlign w:val="bottom"/>
            <w:shd w:val="clear" w:color="auto" w:fill="052B82"/>
          </w:tcPr>
          <w:p>
            <w:pPr>
              <w:spacing w:after="0"/>
              <w:rPr>
                <w:sz w:val="14"/>
                <w:szCs w:val="14"/>
                <w:color w:val="auto"/>
              </w:rPr>
            </w:pPr>
          </w:p>
        </w:tc>
        <w:tc>
          <w:tcPr>
            <w:tcW w:w="900" w:type="dxa"/>
            <w:vAlign w:val="bottom"/>
            <w:shd w:val="clear" w:color="auto" w:fill="052B82"/>
          </w:tcPr>
          <w:p>
            <w:pPr>
              <w:spacing w:after="0"/>
              <w:rPr>
                <w:sz w:val="14"/>
                <w:szCs w:val="14"/>
                <w:color w:val="auto"/>
              </w:rPr>
            </w:pPr>
          </w:p>
        </w:tc>
        <w:tc>
          <w:tcPr>
            <w:tcW w:w="840" w:type="dxa"/>
            <w:vAlign w:val="bottom"/>
            <w:shd w:val="clear" w:color="auto" w:fill="052B82"/>
          </w:tcPr>
          <w:p>
            <w:pPr>
              <w:spacing w:after="0"/>
              <w:rPr>
                <w:sz w:val="14"/>
                <w:szCs w:val="14"/>
                <w:color w:val="auto"/>
              </w:rPr>
            </w:pPr>
          </w:p>
        </w:tc>
        <w:tc>
          <w:tcPr>
            <w:tcW w:w="880" w:type="dxa"/>
            <w:vAlign w:val="bottom"/>
            <w:shd w:val="clear" w:color="auto" w:fill="052B82"/>
          </w:tcPr>
          <w:p>
            <w:pPr>
              <w:spacing w:after="0"/>
              <w:rPr>
                <w:sz w:val="14"/>
                <w:szCs w:val="14"/>
                <w:color w:val="auto"/>
              </w:rPr>
            </w:pPr>
          </w:p>
        </w:tc>
        <w:tc>
          <w:tcPr>
            <w:tcW w:w="820" w:type="dxa"/>
            <w:vAlign w:val="bottom"/>
            <w:shd w:val="clear" w:color="auto" w:fill="052B82"/>
          </w:tcPr>
          <w:p>
            <w:pPr>
              <w:spacing w:after="0"/>
              <w:rPr>
                <w:sz w:val="14"/>
                <w:szCs w:val="14"/>
                <w:color w:val="auto"/>
              </w:rPr>
            </w:pPr>
          </w:p>
        </w:tc>
        <w:tc>
          <w:tcPr>
            <w:tcW w:w="6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Fair</w:t>
            </w:r>
          </w:p>
        </w:tc>
        <w:tc>
          <w:tcPr>
            <w:tcW w:w="15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Fair Value at</w:t>
            </w:r>
          </w:p>
        </w:tc>
        <w:tc>
          <w:tcPr>
            <w:tcW w:w="0" w:type="dxa"/>
            <w:vAlign w:val="bottom"/>
          </w:tcPr>
          <w:p>
            <w:pPr>
              <w:spacing w:after="0"/>
              <w:rPr>
                <w:sz w:val="1"/>
                <w:szCs w:val="1"/>
                <w:color w:val="auto"/>
              </w:rPr>
            </w:pPr>
          </w:p>
        </w:tc>
      </w:tr>
      <w:tr>
        <w:trPr>
          <w:trHeight w:val="162"/>
        </w:trPr>
        <w:tc>
          <w:tcPr>
            <w:tcW w:w="2480" w:type="dxa"/>
            <w:vAlign w:val="bottom"/>
            <w:shd w:val="clear" w:color="auto" w:fill="052B82"/>
          </w:tcPr>
          <w:p>
            <w:pPr>
              <w:spacing w:after="0"/>
              <w:rPr>
                <w:sz w:val="14"/>
                <w:szCs w:val="14"/>
                <w:color w:val="auto"/>
              </w:rPr>
            </w:pPr>
          </w:p>
        </w:tc>
        <w:tc>
          <w:tcPr>
            <w:tcW w:w="920" w:type="dxa"/>
            <w:vAlign w:val="bottom"/>
            <w:shd w:val="clear" w:color="auto" w:fill="052B82"/>
          </w:tcPr>
          <w:p>
            <w:pPr>
              <w:spacing w:after="0"/>
              <w:rPr>
                <w:sz w:val="14"/>
                <w:szCs w:val="14"/>
                <w:color w:val="auto"/>
              </w:rPr>
            </w:pPr>
          </w:p>
        </w:tc>
        <w:tc>
          <w:tcPr>
            <w:tcW w:w="260" w:type="dxa"/>
            <w:vAlign w:val="bottom"/>
            <w:shd w:val="clear" w:color="auto" w:fill="052B82"/>
          </w:tcPr>
          <w:p>
            <w:pPr>
              <w:spacing w:after="0"/>
              <w:rPr>
                <w:sz w:val="14"/>
                <w:szCs w:val="14"/>
                <w:color w:val="auto"/>
              </w:rPr>
            </w:pPr>
          </w:p>
        </w:tc>
        <w:tc>
          <w:tcPr>
            <w:tcW w:w="940" w:type="dxa"/>
            <w:vAlign w:val="bottom"/>
            <w:gridSpan w:val="2"/>
            <w:shd w:val="clear" w:color="auto" w:fill="052B82"/>
          </w:tcPr>
          <w:p>
            <w:pPr>
              <w:jc w:val="center"/>
              <w:ind w:right="340"/>
              <w:spacing w:after="0"/>
              <w:rPr>
                <w:sz w:val="20"/>
                <w:szCs w:val="20"/>
                <w:color w:val="auto"/>
              </w:rPr>
            </w:pPr>
            <w:r>
              <w:rPr>
                <w:rFonts w:ascii="Arial" w:cs="Arial" w:eastAsia="Arial" w:hAnsi="Arial"/>
                <w:sz w:val="14"/>
                <w:szCs w:val="14"/>
                <w:b w:val="1"/>
                <w:bCs w:val="1"/>
                <w:color w:val="FFFFFF"/>
              </w:rPr>
              <w:t>Stock</w:t>
            </w:r>
          </w:p>
        </w:tc>
        <w:tc>
          <w:tcPr>
            <w:tcW w:w="760" w:type="dxa"/>
            <w:vAlign w:val="bottom"/>
            <w:shd w:val="clear" w:color="auto" w:fill="052B82"/>
          </w:tcPr>
          <w:p>
            <w:pPr>
              <w:spacing w:after="0"/>
              <w:rPr>
                <w:sz w:val="14"/>
                <w:szCs w:val="14"/>
                <w:color w:val="auto"/>
              </w:rPr>
            </w:pPr>
          </w:p>
        </w:tc>
        <w:tc>
          <w:tcPr>
            <w:tcW w:w="900" w:type="dxa"/>
            <w:vAlign w:val="bottom"/>
            <w:shd w:val="clear" w:color="auto" w:fill="052B82"/>
          </w:tcPr>
          <w:p>
            <w:pPr>
              <w:spacing w:after="0"/>
              <w:rPr>
                <w:sz w:val="14"/>
                <w:szCs w:val="14"/>
                <w:color w:val="auto"/>
              </w:rPr>
            </w:pPr>
          </w:p>
        </w:tc>
        <w:tc>
          <w:tcPr>
            <w:tcW w:w="840" w:type="dxa"/>
            <w:vAlign w:val="bottom"/>
            <w:shd w:val="clear" w:color="auto" w:fill="052B82"/>
          </w:tcPr>
          <w:p>
            <w:pPr>
              <w:spacing w:after="0"/>
              <w:rPr>
                <w:sz w:val="14"/>
                <w:szCs w:val="14"/>
                <w:color w:val="auto"/>
              </w:rPr>
            </w:pPr>
          </w:p>
        </w:tc>
        <w:tc>
          <w:tcPr>
            <w:tcW w:w="880" w:type="dxa"/>
            <w:vAlign w:val="bottom"/>
            <w:shd w:val="clear" w:color="auto" w:fill="052B82"/>
          </w:tcPr>
          <w:p>
            <w:pPr>
              <w:spacing w:after="0"/>
              <w:rPr>
                <w:sz w:val="14"/>
                <w:szCs w:val="14"/>
                <w:color w:val="auto"/>
              </w:rPr>
            </w:pPr>
          </w:p>
        </w:tc>
        <w:tc>
          <w:tcPr>
            <w:tcW w:w="820" w:type="dxa"/>
            <w:vAlign w:val="bottom"/>
            <w:shd w:val="clear" w:color="auto" w:fill="052B82"/>
          </w:tcPr>
          <w:p>
            <w:pPr>
              <w:spacing w:after="0"/>
              <w:rPr>
                <w:sz w:val="14"/>
                <w:szCs w:val="14"/>
                <w:color w:val="auto"/>
              </w:rPr>
            </w:pPr>
          </w:p>
        </w:tc>
        <w:tc>
          <w:tcPr>
            <w:tcW w:w="6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Value</w:t>
            </w:r>
          </w:p>
        </w:tc>
        <w:tc>
          <w:tcPr>
            <w:tcW w:w="15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Maximum</w:t>
            </w:r>
          </w:p>
        </w:tc>
        <w:tc>
          <w:tcPr>
            <w:tcW w:w="0" w:type="dxa"/>
            <w:vAlign w:val="bottom"/>
          </w:tcPr>
          <w:p>
            <w:pPr>
              <w:spacing w:after="0"/>
              <w:rPr>
                <w:sz w:val="1"/>
                <w:szCs w:val="1"/>
                <w:color w:val="auto"/>
              </w:rPr>
            </w:pPr>
          </w:p>
        </w:tc>
      </w:tr>
      <w:tr>
        <w:trPr>
          <w:trHeight w:val="162"/>
        </w:trPr>
        <w:tc>
          <w:tcPr>
            <w:tcW w:w="2480" w:type="dxa"/>
            <w:vAlign w:val="bottom"/>
            <w:shd w:val="clear" w:color="auto" w:fill="052B82"/>
          </w:tcPr>
          <w:p>
            <w:pPr>
              <w:spacing w:after="0"/>
              <w:rPr>
                <w:sz w:val="14"/>
                <w:szCs w:val="14"/>
                <w:color w:val="auto"/>
              </w:rPr>
            </w:pPr>
          </w:p>
        </w:tc>
        <w:tc>
          <w:tcPr>
            <w:tcW w:w="920" w:type="dxa"/>
            <w:vAlign w:val="bottom"/>
            <w:shd w:val="clear" w:color="auto" w:fill="052B82"/>
          </w:tcPr>
          <w:p>
            <w:pPr>
              <w:spacing w:after="0"/>
              <w:rPr>
                <w:sz w:val="14"/>
                <w:szCs w:val="14"/>
                <w:color w:val="auto"/>
              </w:rPr>
            </w:pPr>
          </w:p>
        </w:tc>
        <w:tc>
          <w:tcPr>
            <w:tcW w:w="260" w:type="dxa"/>
            <w:vAlign w:val="bottom"/>
            <w:shd w:val="clear" w:color="auto" w:fill="052B82"/>
          </w:tcPr>
          <w:p>
            <w:pPr>
              <w:spacing w:after="0"/>
              <w:rPr>
                <w:sz w:val="14"/>
                <w:szCs w:val="14"/>
                <w:color w:val="auto"/>
              </w:rPr>
            </w:pPr>
          </w:p>
        </w:tc>
        <w:tc>
          <w:tcPr>
            <w:tcW w:w="940" w:type="dxa"/>
            <w:vAlign w:val="bottom"/>
            <w:gridSpan w:val="2"/>
            <w:shd w:val="clear" w:color="auto" w:fill="052B82"/>
          </w:tcPr>
          <w:p>
            <w:pPr>
              <w:jc w:val="center"/>
              <w:ind w:right="340"/>
              <w:spacing w:after="0"/>
              <w:rPr>
                <w:sz w:val="20"/>
                <w:szCs w:val="20"/>
                <w:color w:val="auto"/>
              </w:rPr>
            </w:pPr>
            <w:r>
              <w:rPr>
                <w:rFonts w:ascii="Arial" w:cs="Arial" w:eastAsia="Arial" w:hAnsi="Arial"/>
                <w:sz w:val="14"/>
                <w:szCs w:val="14"/>
                <w:b w:val="1"/>
                <w:bCs w:val="1"/>
                <w:color w:val="FFFFFF"/>
              </w:rPr>
              <w:t>Units</w:t>
            </w:r>
          </w:p>
        </w:tc>
        <w:tc>
          <w:tcPr>
            <w:tcW w:w="760" w:type="dxa"/>
            <w:vAlign w:val="bottom"/>
            <w:shd w:val="clear" w:color="auto" w:fill="052B82"/>
          </w:tcPr>
          <w:p>
            <w:pPr>
              <w:jc w:val="center"/>
              <w:ind w:left="68"/>
              <w:spacing w:after="0"/>
              <w:rPr>
                <w:sz w:val="20"/>
                <w:szCs w:val="20"/>
                <w:color w:val="auto"/>
              </w:rPr>
            </w:pPr>
            <w:r>
              <w:rPr>
                <w:rFonts w:ascii="Arial" w:cs="Arial" w:eastAsia="Arial" w:hAnsi="Arial"/>
                <w:sz w:val="14"/>
                <w:szCs w:val="14"/>
                <w:b w:val="1"/>
                <w:bCs w:val="1"/>
                <w:color w:val="FFFFFF"/>
              </w:rPr>
              <w:t>Exercise</w:t>
            </w:r>
          </w:p>
        </w:tc>
        <w:tc>
          <w:tcPr>
            <w:tcW w:w="900" w:type="dxa"/>
            <w:vAlign w:val="bottom"/>
            <w:shd w:val="clear" w:color="auto" w:fill="052B82"/>
          </w:tcPr>
          <w:p>
            <w:pPr>
              <w:spacing w:after="0"/>
              <w:rPr>
                <w:sz w:val="14"/>
                <w:szCs w:val="14"/>
                <w:color w:val="auto"/>
              </w:rPr>
            </w:pPr>
          </w:p>
        </w:tc>
        <w:tc>
          <w:tcPr>
            <w:tcW w:w="840" w:type="dxa"/>
            <w:vAlign w:val="bottom"/>
            <w:shd w:val="clear" w:color="auto" w:fill="052B82"/>
          </w:tcPr>
          <w:p>
            <w:pPr>
              <w:jc w:val="right"/>
              <w:ind w:right="28"/>
              <w:spacing w:after="0"/>
              <w:rPr>
                <w:sz w:val="20"/>
                <w:szCs w:val="20"/>
                <w:color w:val="auto"/>
              </w:rPr>
            </w:pPr>
            <w:r>
              <w:rPr>
                <w:rFonts w:ascii="Arial" w:cs="Arial" w:eastAsia="Arial" w:hAnsi="Arial"/>
                <w:sz w:val="14"/>
                <w:szCs w:val="14"/>
                <w:b w:val="1"/>
                <w:bCs w:val="1"/>
                <w:color w:val="FFFFFF"/>
              </w:rPr>
              <w:t>Expected</w:t>
            </w:r>
          </w:p>
        </w:tc>
        <w:tc>
          <w:tcPr>
            <w:tcW w:w="88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Risk-Free</w:t>
            </w:r>
          </w:p>
        </w:tc>
        <w:tc>
          <w:tcPr>
            <w:tcW w:w="820" w:type="dxa"/>
            <w:vAlign w:val="bottom"/>
            <w:shd w:val="clear" w:color="auto" w:fill="052B82"/>
          </w:tcPr>
          <w:p>
            <w:pPr>
              <w:jc w:val="right"/>
              <w:ind w:right="48"/>
              <w:spacing w:after="0"/>
              <w:rPr>
                <w:sz w:val="20"/>
                <w:szCs w:val="20"/>
                <w:color w:val="auto"/>
              </w:rPr>
            </w:pPr>
            <w:r>
              <w:rPr>
                <w:rFonts w:ascii="Arial" w:cs="Arial" w:eastAsia="Arial" w:hAnsi="Arial"/>
                <w:sz w:val="14"/>
                <w:szCs w:val="14"/>
                <w:b w:val="1"/>
                <w:bCs w:val="1"/>
                <w:color w:val="FFFFFF"/>
              </w:rPr>
              <w:t>Dividend</w:t>
            </w:r>
          </w:p>
        </w:tc>
        <w:tc>
          <w:tcPr>
            <w:tcW w:w="6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w:t>
            </w:r>
          </w:p>
        </w:tc>
        <w:tc>
          <w:tcPr>
            <w:tcW w:w="15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Achievement Level</w:t>
            </w:r>
          </w:p>
        </w:tc>
        <w:tc>
          <w:tcPr>
            <w:tcW w:w="0" w:type="dxa"/>
            <w:vAlign w:val="bottom"/>
          </w:tcPr>
          <w:p>
            <w:pPr>
              <w:spacing w:after="0"/>
              <w:rPr>
                <w:sz w:val="1"/>
                <w:szCs w:val="1"/>
                <w:color w:val="auto"/>
              </w:rPr>
            </w:pPr>
          </w:p>
        </w:tc>
      </w:tr>
      <w:tr>
        <w:trPr>
          <w:trHeight w:val="162"/>
        </w:trPr>
        <w:tc>
          <w:tcPr>
            <w:tcW w:w="2480" w:type="dxa"/>
            <w:vAlign w:val="bottom"/>
            <w:shd w:val="clear" w:color="auto" w:fill="052B82"/>
          </w:tcPr>
          <w:p>
            <w:pPr>
              <w:spacing w:after="0"/>
              <w:rPr>
                <w:sz w:val="14"/>
                <w:szCs w:val="14"/>
                <w:color w:val="auto"/>
              </w:rPr>
            </w:pPr>
          </w:p>
        </w:tc>
        <w:tc>
          <w:tcPr>
            <w:tcW w:w="920" w:type="dxa"/>
            <w:vAlign w:val="bottom"/>
            <w:shd w:val="clear" w:color="auto" w:fill="052B82"/>
          </w:tcPr>
          <w:p>
            <w:pPr>
              <w:jc w:val="right"/>
              <w:ind w:right="128"/>
              <w:spacing w:after="0"/>
              <w:rPr>
                <w:sz w:val="20"/>
                <w:szCs w:val="20"/>
                <w:color w:val="auto"/>
              </w:rPr>
            </w:pPr>
            <w:r>
              <w:rPr>
                <w:rFonts w:ascii="Arial" w:cs="Arial" w:eastAsia="Arial" w:hAnsi="Arial"/>
                <w:sz w:val="14"/>
                <w:szCs w:val="14"/>
                <w:b w:val="1"/>
                <w:bCs w:val="1"/>
                <w:color w:val="FFFFFF"/>
              </w:rPr>
              <w:t>Grant</w:t>
            </w:r>
          </w:p>
        </w:tc>
        <w:tc>
          <w:tcPr>
            <w:tcW w:w="260" w:type="dxa"/>
            <w:vAlign w:val="bottom"/>
            <w:shd w:val="clear" w:color="auto" w:fill="052B82"/>
          </w:tcPr>
          <w:p>
            <w:pPr>
              <w:spacing w:after="0"/>
              <w:rPr>
                <w:sz w:val="14"/>
                <w:szCs w:val="14"/>
                <w:color w:val="auto"/>
              </w:rPr>
            </w:pPr>
          </w:p>
        </w:tc>
        <w:tc>
          <w:tcPr>
            <w:tcW w:w="940" w:type="dxa"/>
            <w:vAlign w:val="bottom"/>
            <w:gridSpan w:val="2"/>
            <w:shd w:val="clear" w:color="auto" w:fill="052B82"/>
          </w:tcPr>
          <w:p>
            <w:pPr>
              <w:jc w:val="center"/>
              <w:ind w:right="340"/>
              <w:spacing w:after="0"/>
              <w:rPr>
                <w:sz w:val="20"/>
                <w:szCs w:val="20"/>
                <w:color w:val="auto"/>
              </w:rPr>
            </w:pPr>
            <w:r>
              <w:rPr>
                <w:rFonts w:ascii="Arial" w:cs="Arial" w:eastAsia="Arial" w:hAnsi="Arial"/>
                <w:sz w:val="14"/>
                <w:szCs w:val="14"/>
                <w:b w:val="1"/>
                <w:bCs w:val="1"/>
                <w:color w:val="FFFFFF"/>
              </w:rPr>
              <w:t>Granted</w:t>
            </w:r>
          </w:p>
        </w:tc>
        <w:tc>
          <w:tcPr>
            <w:tcW w:w="760" w:type="dxa"/>
            <w:vAlign w:val="bottom"/>
            <w:shd w:val="clear" w:color="auto" w:fill="052B82"/>
          </w:tcPr>
          <w:p>
            <w:pPr>
              <w:jc w:val="center"/>
              <w:ind w:left="68"/>
              <w:spacing w:after="0"/>
              <w:rPr>
                <w:sz w:val="20"/>
                <w:szCs w:val="20"/>
                <w:color w:val="auto"/>
              </w:rPr>
            </w:pPr>
            <w:r>
              <w:rPr>
                <w:rFonts w:ascii="Arial" w:cs="Arial" w:eastAsia="Arial" w:hAnsi="Arial"/>
                <w:sz w:val="14"/>
                <w:szCs w:val="14"/>
                <w:b w:val="1"/>
                <w:bCs w:val="1"/>
                <w:color w:val="FFFFFF"/>
                <w:w w:val="99"/>
              </w:rPr>
              <w:t>Price</w:t>
            </w:r>
          </w:p>
        </w:tc>
        <w:tc>
          <w:tcPr>
            <w:tcW w:w="900" w:type="dxa"/>
            <w:vAlign w:val="bottom"/>
            <w:shd w:val="clear" w:color="auto" w:fill="052B82"/>
          </w:tcPr>
          <w:p>
            <w:pPr>
              <w:jc w:val="right"/>
              <w:ind w:right="48"/>
              <w:spacing w:after="0"/>
              <w:rPr>
                <w:sz w:val="20"/>
                <w:szCs w:val="20"/>
                <w:color w:val="auto"/>
              </w:rPr>
            </w:pPr>
            <w:r>
              <w:rPr>
                <w:rFonts w:ascii="Arial" w:cs="Arial" w:eastAsia="Arial" w:hAnsi="Arial"/>
                <w:sz w:val="14"/>
                <w:szCs w:val="14"/>
                <w:b w:val="1"/>
                <w:bCs w:val="1"/>
                <w:color w:val="FFFFFF"/>
              </w:rPr>
              <w:t>Volatility</w:t>
            </w:r>
          </w:p>
        </w:tc>
        <w:tc>
          <w:tcPr>
            <w:tcW w:w="840" w:type="dxa"/>
            <w:vAlign w:val="bottom"/>
            <w:shd w:val="clear" w:color="auto" w:fill="052B82"/>
          </w:tcPr>
          <w:p>
            <w:pPr>
              <w:jc w:val="right"/>
              <w:ind w:right="208"/>
              <w:spacing w:after="0"/>
              <w:rPr>
                <w:sz w:val="20"/>
                <w:szCs w:val="20"/>
                <w:color w:val="auto"/>
              </w:rPr>
            </w:pPr>
            <w:r>
              <w:rPr>
                <w:rFonts w:ascii="Arial" w:cs="Arial" w:eastAsia="Arial" w:hAnsi="Arial"/>
                <w:sz w:val="14"/>
                <w:szCs w:val="14"/>
                <w:b w:val="1"/>
                <w:bCs w:val="1"/>
                <w:color w:val="FFFFFF"/>
              </w:rPr>
              <w:t>Life</w:t>
            </w:r>
          </w:p>
        </w:tc>
        <w:tc>
          <w:tcPr>
            <w:tcW w:w="88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Interest</w:t>
            </w:r>
          </w:p>
        </w:tc>
        <w:tc>
          <w:tcPr>
            <w:tcW w:w="820" w:type="dxa"/>
            <w:vAlign w:val="bottom"/>
            <w:shd w:val="clear" w:color="auto" w:fill="052B82"/>
          </w:tcPr>
          <w:p>
            <w:pPr>
              <w:jc w:val="right"/>
              <w:ind w:right="188"/>
              <w:spacing w:after="0"/>
              <w:rPr>
                <w:sz w:val="20"/>
                <w:szCs w:val="20"/>
                <w:color w:val="auto"/>
              </w:rPr>
            </w:pPr>
            <w:r>
              <w:rPr>
                <w:rFonts w:ascii="Arial" w:cs="Arial" w:eastAsia="Arial" w:hAnsi="Arial"/>
                <w:sz w:val="14"/>
                <w:szCs w:val="14"/>
                <w:b w:val="1"/>
                <w:bCs w:val="1"/>
                <w:color w:val="FFFFFF"/>
              </w:rPr>
              <w:t>Yield</w:t>
            </w:r>
          </w:p>
        </w:tc>
        <w:tc>
          <w:tcPr>
            <w:tcW w:w="6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w w:val="97"/>
              </w:rPr>
              <w:t>Per</w:t>
            </w:r>
          </w:p>
        </w:tc>
        <w:tc>
          <w:tcPr>
            <w:tcW w:w="15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for Performance</w:t>
            </w:r>
          </w:p>
        </w:tc>
        <w:tc>
          <w:tcPr>
            <w:tcW w:w="0" w:type="dxa"/>
            <w:vAlign w:val="bottom"/>
          </w:tcPr>
          <w:p>
            <w:pPr>
              <w:spacing w:after="0"/>
              <w:rPr>
                <w:sz w:val="1"/>
                <w:szCs w:val="1"/>
                <w:color w:val="auto"/>
              </w:rPr>
            </w:pPr>
          </w:p>
        </w:tc>
      </w:tr>
      <w:tr>
        <w:trPr>
          <w:trHeight w:val="189"/>
        </w:trPr>
        <w:tc>
          <w:tcPr>
            <w:tcW w:w="2480" w:type="dxa"/>
            <w:vAlign w:val="bottom"/>
            <w:shd w:val="clear" w:color="auto" w:fill="052B82"/>
          </w:tcPr>
          <w:p>
            <w:pPr>
              <w:ind w:left="20"/>
              <w:spacing w:after="0"/>
              <w:rPr>
                <w:sz w:val="20"/>
                <w:szCs w:val="20"/>
                <w:color w:val="auto"/>
              </w:rPr>
            </w:pPr>
            <w:r>
              <w:rPr>
                <w:rFonts w:ascii="Arial" w:cs="Arial" w:eastAsia="Arial" w:hAnsi="Arial"/>
                <w:sz w:val="14"/>
                <w:szCs w:val="14"/>
                <w:b w:val="1"/>
                <w:bCs w:val="1"/>
                <w:color w:val="FFFFFF"/>
              </w:rPr>
              <w:t>Name</w:t>
            </w:r>
          </w:p>
        </w:tc>
        <w:tc>
          <w:tcPr>
            <w:tcW w:w="920" w:type="dxa"/>
            <w:vAlign w:val="bottom"/>
            <w:shd w:val="clear" w:color="auto" w:fill="052B82"/>
          </w:tcPr>
          <w:p>
            <w:pPr>
              <w:jc w:val="right"/>
              <w:ind w:right="148"/>
              <w:spacing w:after="0"/>
              <w:rPr>
                <w:sz w:val="20"/>
                <w:szCs w:val="20"/>
                <w:color w:val="auto"/>
              </w:rPr>
            </w:pPr>
            <w:r>
              <w:rPr>
                <w:rFonts w:ascii="Arial" w:cs="Arial" w:eastAsia="Arial" w:hAnsi="Arial"/>
                <w:sz w:val="14"/>
                <w:szCs w:val="14"/>
                <w:b w:val="1"/>
                <w:bCs w:val="1"/>
                <w:color w:val="FFFFFF"/>
              </w:rPr>
              <w:t>Date</w:t>
            </w:r>
          </w:p>
        </w:tc>
        <w:tc>
          <w:tcPr>
            <w:tcW w:w="920" w:type="dxa"/>
            <w:vAlign w:val="bottom"/>
            <w:gridSpan w:val="2"/>
            <w:shd w:val="clear" w:color="auto" w:fill="052B82"/>
          </w:tcPr>
          <w:p>
            <w:pPr>
              <w:jc w:val="center"/>
              <w:ind w:left="128"/>
              <w:spacing w:after="0"/>
              <w:rPr>
                <w:sz w:val="20"/>
                <w:szCs w:val="20"/>
                <w:color w:val="auto"/>
              </w:rPr>
            </w:pPr>
            <w:r>
              <w:rPr>
                <w:rFonts w:ascii="Arial" w:cs="Arial" w:eastAsia="Arial" w:hAnsi="Arial"/>
                <w:sz w:val="14"/>
                <w:szCs w:val="14"/>
                <w:b w:val="1"/>
                <w:bCs w:val="1"/>
                <w:color w:val="FFFFFF"/>
                <w:w w:val="93"/>
              </w:rPr>
              <w:t>(#)</w:t>
            </w:r>
          </w:p>
        </w:tc>
        <w:tc>
          <w:tcPr>
            <w:tcW w:w="280" w:type="dxa"/>
            <w:vAlign w:val="bottom"/>
            <w:shd w:val="clear" w:color="auto" w:fill="052B82"/>
          </w:tcPr>
          <w:p>
            <w:pPr>
              <w:spacing w:after="0"/>
              <w:rPr>
                <w:sz w:val="16"/>
                <w:szCs w:val="16"/>
                <w:color w:val="auto"/>
              </w:rPr>
            </w:pPr>
          </w:p>
        </w:tc>
        <w:tc>
          <w:tcPr>
            <w:tcW w:w="760" w:type="dxa"/>
            <w:vAlign w:val="bottom"/>
            <w:shd w:val="clear" w:color="auto" w:fill="052B82"/>
          </w:tcPr>
          <w:p>
            <w:pPr>
              <w:jc w:val="center"/>
              <w:ind w:left="68"/>
              <w:spacing w:after="0"/>
              <w:rPr>
                <w:sz w:val="20"/>
                <w:szCs w:val="20"/>
                <w:color w:val="auto"/>
              </w:rPr>
            </w:pPr>
            <w:r>
              <w:rPr>
                <w:rFonts w:ascii="Arial" w:cs="Arial" w:eastAsia="Arial" w:hAnsi="Arial"/>
                <w:sz w:val="14"/>
                <w:szCs w:val="14"/>
                <w:b w:val="1"/>
                <w:bCs w:val="1"/>
                <w:color w:val="FFFFFF"/>
              </w:rPr>
              <w:t>($)</w:t>
            </w:r>
          </w:p>
        </w:tc>
        <w:tc>
          <w:tcPr>
            <w:tcW w:w="900" w:type="dxa"/>
            <w:vAlign w:val="bottom"/>
            <w:shd w:val="clear" w:color="auto" w:fill="052B82"/>
          </w:tcPr>
          <w:p>
            <w:pPr>
              <w:jc w:val="right"/>
              <w:ind w:right="228"/>
              <w:spacing w:after="0"/>
              <w:rPr>
                <w:sz w:val="20"/>
                <w:szCs w:val="20"/>
                <w:color w:val="auto"/>
              </w:rPr>
            </w:pPr>
            <w:r>
              <w:rPr>
                <w:rFonts w:ascii="Arial" w:cs="Arial" w:eastAsia="Arial" w:hAnsi="Arial"/>
                <w:sz w:val="14"/>
                <w:szCs w:val="14"/>
                <w:b w:val="1"/>
                <w:bCs w:val="1"/>
                <w:color w:val="FFFFFF"/>
              </w:rPr>
              <w:t>(%)</w:t>
            </w:r>
          </w:p>
        </w:tc>
        <w:tc>
          <w:tcPr>
            <w:tcW w:w="840" w:type="dxa"/>
            <w:vAlign w:val="bottom"/>
            <w:shd w:val="clear" w:color="auto" w:fill="052B82"/>
          </w:tcPr>
          <w:p>
            <w:pPr>
              <w:jc w:val="right"/>
              <w:ind w:right="108"/>
              <w:spacing w:after="0"/>
              <w:rPr>
                <w:sz w:val="20"/>
                <w:szCs w:val="20"/>
                <w:color w:val="auto"/>
              </w:rPr>
            </w:pPr>
            <w:r>
              <w:rPr>
                <w:rFonts w:ascii="Arial" w:cs="Arial" w:eastAsia="Arial" w:hAnsi="Arial"/>
                <w:sz w:val="14"/>
                <w:szCs w:val="14"/>
                <w:b w:val="1"/>
                <w:bCs w:val="1"/>
                <w:color w:val="FFFFFF"/>
              </w:rPr>
              <w:t>(Years)</w:t>
            </w:r>
          </w:p>
        </w:tc>
        <w:tc>
          <w:tcPr>
            <w:tcW w:w="88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w w:val="99"/>
              </w:rPr>
              <w:t>Rate (%)</w:t>
            </w:r>
          </w:p>
        </w:tc>
        <w:tc>
          <w:tcPr>
            <w:tcW w:w="820" w:type="dxa"/>
            <w:vAlign w:val="bottom"/>
            <w:shd w:val="clear" w:color="auto" w:fill="052B82"/>
          </w:tcPr>
          <w:p>
            <w:pPr>
              <w:jc w:val="right"/>
              <w:ind w:right="248"/>
              <w:spacing w:after="0"/>
              <w:rPr>
                <w:sz w:val="20"/>
                <w:szCs w:val="20"/>
                <w:color w:val="auto"/>
              </w:rPr>
            </w:pPr>
            <w:r>
              <w:rPr>
                <w:rFonts w:ascii="Arial" w:cs="Arial" w:eastAsia="Arial" w:hAnsi="Arial"/>
                <w:sz w:val="14"/>
                <w:szCs w:val="14"/>
                <w:b w:val="1"/>
                <w:bCs w:val="1"/>
                <w:color w:val="FFFFFF"/>
              </w:rPr>
              <w:t>(%)</w:t>
            </w:r>
          </w:p>
        </w:tc>
        <w:tc>
          <w:tcPr>
            <w:tcW w:w="6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Share</w:t>
            </w:r>
          </w:p>
        </w:tc>
        <w:tc>
          <w:tcPr>
            <w:tcW w:w="15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Based RSUs ($)</w:t>
            </w:r>
          </w:p>
        </w:tc>
        <w:tc>
          <w:tcPr>
            <w:tcW w:w="0" w:type="dxa"/>
            <w:vAlign w:val="bottom"/>
          </w:tcPr>
          <w:p>
            <w:pPr>
              <w:spacing w:after="0"/>
              <w:rPr>
                <w:sz w:val="1"/>
                <w:szCs w:val="1"/>
                <w:color w:val="auto"/>
              </w:rPr>
            </w:pPr>
          </w:p>
        </w:tc>
      </w:tr>
      <w:tr>
        <w:trPr>
          <w:trHeight w:val="275"/>
        </w:trPr>
        <w:tc>
          <w:tcPr>
            <w:tcW w:w="2480" w:type="dxa"/>
            <w:vAlign w:val="bottom"/>
          </w:tcPr>
          <w:p>
            <w:pPr>
              <w:ind w:left="20"/>
              <w:spacing w:after="0"/>
              <w:rPr>
                <w:sz w:val="20"/>
                <w:szCs w:val="20"/>
                <w:color w:val="auto"/>
              </w:rPr>
            </w:pPr>
            <w:r>
              <w:rPr>
                <w:rFonts w:ascii="Arial" w:cs="Arial" w:eastAsia="Arial" w:hAnsi="Arial"/>
                <w:sz w:val="14"/>
                <w:szCs w:val="14"/>
                <w:color w:val="auto"/>
              </w:rPr>
              <w:t>Vincent Roche</w:t>
            </w:r>
          </w:p>
        </w:tc>
        <w:tc>
          <w:tcPr>
            <w:tcW w:w="920" w:type="dxa"/>
            <w:vAlign w:val="bottom"/>
          </w:tcPr>
          <w:p>
            <w:pPr>
              <w:jc w:val="right"/>
              <w:spacing w:after="0"/>
              <w:rPr>
                <w:sz w:val="20"/>
                <w:szCs w:val="20"/>
                <w:color w:val="auto"/>
              </w:rPr>
            </w:pPr>
            <w:r>
              <w:rPr>
                <w:rFonts w:ascii="Arial" w:cs="Arial" w:eastAsia="Arial" w:hAnsi="Arial"/>
                <w:sz w:val="14"/>
                <w:szCs w:val="14"/>
                <w:color w:val="auto"/>
              </w:rPr>
              <w:t>3/8/2017</w:t>
            </w:r>
          </w:p>
        </w:tc>
        <w:tc>
          <w:tcPr>
            <w:tcW w:w="1200" w:type="dxa"/>
            <w:vAlign w:val="bottom"/>
            <w:gridSpan w:val="3"/>
          </w:tcPr>
          <w:p>
            <w:pPr>
              <w:jc w:val="right"/>
              <w:ind w:right="220"/>
              <w:spacing w:after="0"/>
              <w:rPr>
                <w:sz w:val="20"/>
                <w:szCs w:val="20"/>
                <w:color w:val="auto"/>
              </w:rPr>
            </w:pPr>
            <w:r>
              <w:rPr>
                <w:rFonts w:ascii="Arial" w:cs="Arial" w:eastAsia="Arial" w:hAnsi="Arial"/>
                <w:sz w:val="14"/>
                <w:szCs w:val="14"/>
                <w:color w:val="auto"/>
              </w:rPr>
              <w:t>25,026*</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1.65</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2.16</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78.22</w:t>
            </w: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24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3/8/2017</w:t>
            </w:r>
          </w:p>
        </w:tc>
        <w:tc>
          <w:tcPr>
            <w:tcW w:w="1200" w:type="dxa"/>
            <w:vAlign w:val="bottom"/>
            <w:gridSpan w:val="3"/>
          </w:tcPr>
          <w:p>
            <w:pPr>
              <w:jc w:val="right"/>
              <w:ind w:right="160"/>
              <w:spacing w:after="0"/>
              <w:rPr>
                <w:sz w:val="20"/>
                <w:szCs w:val="20"/>
                <w:color w:val="auto"/>
              </w:rPr>
            </w:pPr>
            <w:r>
              <w:rPr>
                <w:rFonts w:ascii="Arial" w:cs="Arial" w:eastAsia="Arial" w:hAnsi="Arial"/>
                <w:sz w:val="14"/>
                <w:szCs w:val="14"/>
                <w:color w:val="auto"/>
              </w:rPr>
              <w:t>25,026**</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25.97</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1.64</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3.00</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94.25</w:t>
            </w: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4,717,401</w:t>
            </w:r>
          </w:p>
        </w:tc>
        <w:tc>
          <w:tcPr>
            <w:tcW w:w="0" w:type="dxa"/>
            <w:vAlign w:val="bottom"/>
          </w:tcPr>
          <w:p>
            <w:pPr>
              <w:spacing w:after="0"/>
              <w:rPr>
                <w:sz w:val="1"/>
                <w:szCs w:val="1"/>
                <w:color w:val="auto"/>
              </w:rPr>
            </w:pPr>
          </w:p>
        </w:tc>
      </w:tr>
      <w:tr>
        <w:trPr>
          <w:trHeight w:val="162"/>
        </w:trPr>
        <w:tc>
          <w:tcPr>
            <w:tcW w:w="24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3/8/2017</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114,356</w:t>
            </w:r>
          </w:p>
        </w:tc>
        <w:tc>
          <w:tcPr>
            <w:tcW w:w="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83.48</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26.42</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5.0</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2.08</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2.16</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17.30</w:t>
            </w: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3/29/2018</w:t>
            </w:r>
          </w:p>
        </w:tc>
        <w:tc>
          <w:tcPr>
            <w:tcW w:w="1200" w:type="dxa"/>
            <w:vAlign w:val="bottom"/>
            <w:gridSpan w:val="3"/>
          </w:tcPr>
          <w:p>
            <w:pPr>
              <w:jc w:val="right"/>
              <w:ind w:right="220"/>
              <w:spacing w:after="0"/>
              <w:rPr>
                <w:sz w:val="20"/>
                <w:szCs w:val="20"/>
                <w:color w:val="auto"/>
              </w:rPr>
            </w:pPr>
            <w:r>
              <w:rPr>
                <w:rFonts w:ascii="Arial" w:cs="Arial" w:eastAsia="Arial" w:hAnsi="Arial"/>
                <w:sz w:val="14"/>
                <w:szCs w:val="14"/>
                <w:color w:val="auto"/>
              </w:rPr>
              <w:t>26,366*</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2.54</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2.11</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86.51</w:t>
            </w: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3/29/2018</w:t>
            </w:r>
          </w:p>
        </w:tc>
        <w:tc>
          <w:tcPr>
            <w:tcW w:w="1200" w:type="dxa"/>
            <w:vAlign w:val="bottom"/>
            <w:gridSpan w:val="3"/>
          </w:tcPr>
          <w:p>
            <w:pPr>
              <w:jc w:val="right"/>
              <w:ind w:right="160"/>
              <w:spacing w:after="0"/>
              <w:rPr>
                <w:sz w:val="20"/>
                <w:szCs w:val="20"/>
                <w:color w:val="auto"/>
              </w:rPr>
            </w:pPr>
            <w:r>
              <w:rPr>
                <w:rFonts w:ascii="Arial" w:cs="Arial" w:eastAsia="Arial" w:hAnsi="Arial"/>
                <w:sz w:val="14"/>
                <w:szCs w:val="14"/>
                <w:color w:val="auto"/>
              </w:rPr>
              <w:t>26,366**</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25.63</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2.37</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2.08</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101.23</w:t>
            </w: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5,338,060</w:t>
            </w:r>
          </w:p>
        </w:tc>
        <w:tc>
          <w:tcPr>
            <w:tcW w:w="0" w:type="dxa"/>
            <w:vAlign w:val="bottom"/>
          </w:tcPr>
          <w:p>
            <w:pPr>
              <w:spacing w:after="0"/>
              <w:rPr>
                <w:sz w:val="1"/>
                <w:szCs w:val="1"/>
                <w:color w:val="auto"/>
              </w:rPr>
            </w:pPr>
          </w:p>
        </w:tc>
      </w:tr>
      <w:tr>
        <w:trPr>
          <w:trHeight w:val="162"/>
        </w:trPr>
        <w:tc>
          <w:tcPr>
            <w:tcW w:w="24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3/29/2018</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110,661</w:t>
            </w:r>
          </w:p>
        </w:tc>
        <w:tc>
          <w:tcPr>
            <w:tcW w:w="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91.13</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27.77</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5.0</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2.64</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2.11</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20.83</w:t>
            </w: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3/13/2019</w:t>
            </w:r>
          </w:p>
        </w:tc>
        <w:tc>
          <w:tcPr>
            <w:tcW w:w="1200" w:type="dxa"/>
            <w:vAlign w:val="bottom"/>
            <w:gridSpan w:val="3"/>
          </w:tcPr>
          <w:p>
            <w:pPr>
              <w:jc w:val="right"/>
              <w:ind w:right="220"/>
              <w:spacing w:after="0"/>
              <w:rPr>
                <w:sz w:val="20"/>
                <w:szCs w:val="20"/>
                <w:color w:val="auto"/>
              </w:rPr>
            </w:pPr>
            <w:r>
              <w:rPr>
                <w:rFonts w:ascii="Arial" w:cs="Arial" w:eastAsia="Arial" w:hAnsi="Arial"/>
                <w:sz w:val="14"/>
                <w:szCs w:val="14"/>
                <w:color w:val="auto"/>
              </w:rPr>
              <w:t>22,763*</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2.42</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2.00</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102.89</w:t>
            </w: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3/13/2019</w:t>
            </w:r>
          </w:p>
        </w:tc>
        <w:tc>
          <w:tcPr>
            <w:tcW w:w="1200" w:type="dxa"/>
            <w:vAlign w:val="bottom"/>
            <w:gridSpan w:val="3"/>
          </w:tcPr>
          <w:p>
            <w:pPr>
              <w:jc w:val="right"/>
              <w:ind w:right="160"/>
              <w:spacing w:after="0"/>
              <w:rPr>
                <w:sz w:val="20"/>
                <w:szCs w:val="20"/>
                <w:color w:val="auto"/>
              </w:rPr>
            </w:pPr>
            <w:r>
              <w:rPr>
                <w:rFonts w:ascii="Arial" w:cs="Arial" w:eastAsia="Arial" w:hAnsi="Arial"/>
                <w:sz w:val="14"/>
                <w:szCs w:val="14"/>
                <w:color w:val="auto"/>
              </w:rPr>
              <w:t>22,763**</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24.07</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2.38</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2.00</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114.36</w:t>
            </w: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5,206,353</w:t>
            </w:r>
          </w:p>
        </w:tc>
        <w:tc>
          <w:tcPr>
            <w:tcW w:w="0" w:type="dxa"/>
            <w:vAlign w:val="bottom"/>
          </w:tcPr>
          <w:p>
            <w:pPr>
              <w:spacing w:after="0"/>
              <w:rPr>
                <w:sz w:val="1"/>
                <w:szCs w:val="1"/>
                <w:color w:val="auto"/>
              </w:rPr>
            </w:pPr>
          </w:p>
        </w:tc>
      </w:tr>
      <w:tr>
        <w:trPr>
          <w:trHeight w:val="162"/>
        </w:trPr>
        <w:tc>
          <w:tcPr>
            <w:tcW w:w="24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3/13/2019</w:t>
            </w:r>
          </w:p>
        </w:tc>
        <w:tc>
          <w:tcPr>
            <w:tcW w:w="1200" w:type="dxa"/>
            <w:vAlign w:val="bottom"/>
            <w:gridSpan w:val="3"/>
          </w:tcPr>
          <w:p>
            <w:pPr>
              <w:jc w:val="right"/>
              <w:ind w:right="60"/>
              <w:spacing w:after="0"/>
              <w:rPr>
                <w:sz w:val="20"/>
                <w:szCs w:val="20"/>
                <w:color w:val="auto"/>
              </w:rPr>
            </w:pPr>
            <w:r>
              <w:rPr>
                <w:rFonts w:ascii="Arial" w:cs="Arial" w:eastAsia="Arial" w:hAnsi="Arial"/>
                <w:sz w:val="14"/>
                <w:szCs w:val="14"/>
                <w:color w:val="auto"/>
              </w:rPr>
              <w:t>22,763****</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2.42</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2.00</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92.00</w:t>
            </w: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4,636,823</w:t>
            </w:r>
          </w:p>
        </w:tc>
        <w:tc>
          <w:tcPr>
            <w:tcW w:w="0" w:type="dxa"/>
            <w:vAlign w:val="bottom"/>
          </w:tcPr>
          <w:p>
            <w:pPr>
              <w:spacing w:after="0"/>
              <w:rPr>
                <w:sz w:val="1"/>
                <w:szCs w:val="1"/>
                <w:color w:val="auto"/>
              </w:rPr>
            </w:pPr>
          </w:p>
        </w:tc>
      </w:tr>
      <w:tr>
        <w:trPr>
          <w:trHeight w:val="157"/>
        </w:trPr>
        <w:tc>
          <w:tcPr>
            <w:tcW w:w="2480" w:type="dxa"/>
            <w:vAlign w:val="bottom"/>
          </w:tcPr>
          <w:p>
            <w:pPr>
              <w:spacing w:after="0"/>
              <w:rPr>
                <w:sz w:val="13"/>
                <w:szCs w:val="13"/>
                <w:color w:val="auto"/>
              </w:rPr>
            </w:pPr>
          </w:p>
        </w:tc>
        <w:tc>
          <w:tcPr>
            <w:tcW w:w="920" w:type="dxa"/>
            <w:vAlign w:val="bottom"/>
          </w:tcPr>
          <w:p>
            <w:pPr>
              <w:jc w:val="right"/>
              <w:spacing w:after="0" w:line="157" w:lineRule="exact"/>
              <w:rPr>
                <w:sz w:val="20"/>
                <w:szCs w:val="20"/>
                <w:color w:val="auto"/>
              </w:rPr>
            </w:pPr>
            <w:r>
              <w:rPr>
                <w:rFonts w:ascii="Arial" w:cs="Arial" w:eastAsia="Arial" w:hAnsi="Arial"/>
                <w:sz w:val="14"/>
                <w:szCs w:val="14"/>
                <w:color w:val="auto"/>
              </w:rPr>
              <w:t>3/13/2019</w:t>
            </w:r>
          </w:p>
        </w:tc>
        <w:tc>
          <w:tcPr>
            <w:tcW w:w="92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100,803</w:t>
            </w:r>
          </w:p>
        </w:tc>
        <w:tc>
          <w:tcPr>
            <w:tcW w:w="280" w:type="dxa"/>
            <w:vAlign w:val="bottom"/>
          </w:tcPr>
          <w:p>
            <w:pPr>
              <w:spacing w:after="0"/>
              <w:rPr>
                <w:sz w:val="13"/>
                <w:szCs w:val="13"/>
                <w:color w:val="auto"/>
              </w:rPr>
            </w:pPr>
          </w:p>
        </w:tc>
        <w:tc>
          <w:tcPr>
            <w:tcW w:w="760" w:type="dxa"/>
            <w:vAlign w:val="bottom"/>
          </w:tcPr>
          <w:p>
            <w:pPr>
              <w:jc w:val="right"/>
              <w:spacing w:after="0" w:line="157" w:lineRule="exact"/>
              <w:rPr>
                <w:sz w:val="20"/>
                <w:szCs w:val="20"/>
                <w:color w:val="auto"/>
              </w:rPr>
            </w:pPr>
            <w:r>
              <w:rPr>
                <w:rFonts w:ascii="Arial" w:cs="Arial" w:eastAsia="Arial" w:hAnsi="Arial"/>
                <w:sz w:val="14"/>
                <w:szCs w:val="14"/>
                <w:color w:val="auto"/>
              </w:rPr>
              <w:t>108.08</w:t>
            </w:r>
          </w:p>
        </w:tc>
        <w:tc>
          <w:tcPr>
            <w:tcW w:w="900" w:type="dxa"/>
            <w:vAlign w:val="bottom"/>
          </w:tcPr>
          <w:p>
            <w:pPr>
              <w:jc w:val="right"/>
              <w:ind w:right="48"/>
              <w:spacing w:after="0" w:line="157" w:lineRule="exact"/>
              <w:rPr>
                <w:sz w:val="20"/>
                <w:szCs w:val="20"/>
                <w:color w:val="auto"/>
              </w:rPr>
            </w:pPr>
            <w:r>
              <w:rPr>
                <w:rFonts w:ascii="Arial" w:cs="Arial" w:eastAsia="Arial" w:hAnsi="Arial"/>
                <w:sz w:val="14"/>
                <w:szCs w:val="14"/>
                <w:color w:val="auto"/>
              </w:rPr>
              <w:t>26.32</w:t>
            </w:r>
          </w:p>
        </w:tc>
        <w:tc>
          <w:tcPr>
            <w:tcW w:w="840" w:type="dxa"/>
            <w:vAlign w:val="bottom"/>
          </w:tcPr>
          <w:p>
            <w:pPr>
              <w:jc w:val="right"/>
              <w:ind w:right="28"/>
              <w:spacing w:after="0" w:line="157" w:lineRule="exact"/>
              <w:rPr>
                <w:sz w:val="20"/>
                <w:szCs w:val="20"/>
                <w:color w:val="auto"/>
              </w:rPr>
            </w:pPr>
            <w:r>
              <w:rPr>
                <w:rFonts w:ascii="Arial" w:cs="Arial" w:eastAsia="Arial" w:hAnsi="Arial"/>
                <w:sz w:val="14"/>
                <w:szCs w:val="14"/>
                <w:color w:val="auto"/>
              </w:rPr>
              <w:t>5.0</w:t>
            </w:r>
          </w:p>
        </w:tc>
        <w:tc>
          <w:tcPr>
            <w:tcW w:w="880" w:type="dxa"/>
            <w:vAlign w:val="bottom"/>
          </w:tcPr>
          <w:p>
            <w:pPr>
              <w:jc w:val="right"/>
              <w:ind w:right="28"/>
              <w:spacing w:after="0" w:line="157" w:lineRule="exact"/>
              <w:rPr>
                <w:sz w:val="20"/>
                <w:szCs w:val="20"/>
                <w:color w:val="auto"/>
              </w:rPr>
            </w:pPr>
            <w:r>
              <w:rPr>
                <w:rFonts w:ascii="Arial" w:cs="Arial" w:eastAsia="Arial" w:hAnsi="Arial"/>
                <w:sz w:val="14"/>
                <w:szCs w:val="14"/>
                <w:color w:val="auto"/>
              </w:rPr>
              <w:t>2.42</w:t>
            </w:r>
          </w:p>
        </w:tc>
        <w:tc>
          <w:tcPr>
            <w:tcW w:w="820" w:type="dxa"/>
            <w:vAlign w:val="bottom"/>
          </w:tcPr>
          <w:p>
            <w:pPr>
              <w:jc w:val="right"/>
              <w:ind w:right="48"/>
              <w:spacing w:after="0" w:line="157" w:lineRule="exact"/>
              <w:rPr>
                <w:sz w:val="20"/>
                <w:szCs w:val="20"/>
                <w:color w:val="auto"/>
              </w:rPr>
            </w:pPr>
            <w:r>
              <w:rPr>
                <w:rFonts w:ascii="Arial" w:cs="Arial" w:eastAsia="Arial" w:hAnsi="Arial"/>
                <w:sz w:val="14"/>
                <w:szCs w:val="14"/>
                <w:color w:val="auto"/>
              </w:rPr>
              <w:t>2.00</w:t>
            </w:r>
          </w:p>
        </w:tc>
        <w:tc>
          <w:tcPr>
            <w:tcW w:w="660" w:type="dxa"/>
            <w:vAlign w:val="bottom"/>
          </w:tcPr>
          <w:p>
            <w:pPr>
              <w:jc w:val="right"/>
              <w:ind w:right="8"/>
              <w:spacing w:after="0" w:line="157" w:lineRule="exact"/>
              <w:rPr>
                <w:sz w:val="20"/>
                <w:szCs w:val="20"/>
                <w:color w:val="auto"/>
              </w:rPr>
            </w:pPr>
            <w:r>
              <w:rPr>
                <w:rFonts w:ascii="Arial" w:cs="Arial" w:eastAsia="Arial" w:hAnsi="Arial"/>
                <w:sz w:val="14"/>
                <w:szCs w:val="14"/>
                <w:color w:val="auto"/>
              </w:rPr>
              <w:t>23.43</w:t>
            </w: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480" w:type="dxa"/>
            <w:vAlign w:val="bottom"/>
            <w:shd w:val="clear" w:color="auto" w:fill="E8EDF4"/>
          </w:tcPr>
          <w:p>
            <w:pPr>
              <w:ind w:left="20"/>
              <w:spacing w:after="0"/>
              <w:rPr>
                <w:sz w:val="20"/>
                <w:szCs w:val="20"/>
                <w:color w:val="auto"/>
              </w:rPr>
            </w:pPr>
            <w:r>
              <w:rPr>
                <w:rFonts w:ascii="Arial" w:cs="Arial" w:eastAsia="Arial" w:hAnsi="Arial"/>
                <w:sz w:val="14"/>
                <w:szCs w:val="14"/>
                <w:color w:val="auto"/>
              </w:rPr>
              <w:t>Prashanth Mahendra- Rajah</w:t>
            </w:r>
          </w:p>
        </w:tc>
        <w:tc>
          <w:tcPr>
            <w:tcW w:w="920" w:type="dxa"/>
            <w:vAlign w:val="bottom"/>
            <w:shd w:val="clear" w:color="auto" w:fill="E8EDF4"/>
          </w:tcPr>
          <w:p>
            <w:pPr>
              <w:jc w:val="right"/>
              <w:spacing w:after="0"/>
              <w:rPr>
                <w:sz w:val="20"/>
                <w:szCs w:val="20"/>
                <w:color w:val="auto"/>
              </w:rPr>
            </w:pPr>
            <w:r>
              <w:rPr>
                <w:rFonts w:ascii="Arial" w:cs="Arial" w:eastAsia="Arial" w:hAnsi="Arial"/>
                <w:sz w:val="14"/>
                <w:szCs w:val="14"/>
                <w:color w:val="auto"/>
              </w:rPr>
              <w:t>10/16/2017</w:t>
            </w:r>
          </w:p>
        </w:tc>
        <w:tc>
          <w:tcPr>
            <w:tcW w:w="1200" w:type="dxa"/>
            <w:vAlign w:val="bottom"/>
            <w:gridSpan w:val="3"/>
            <w:shd w:val="clear" w:color="auto" w:fill="E8EDF4"/>
          </w:tcPr>
          <w:p>
            <w:pPr>
              <w:jc w:val="right"/>
              <w:ind w:right="220"/>
              <w:spacing w:after="0"/>
              <w:rPr>
                <w:sz w:val="20"/>
                <w:szCs w:val="20"/>
                <w:color w:val="auto"/>
              </w:rPr>
            </w:pPr>
            <w:r>
              <w:rPr>
                <w:rFonts w:ascii="Arial" w:cs="Arial" w:eastAsia="Arial" w:hAnsi="Arial"/>
                <w:sz w:val="14"/>
                <w:szCs w:val="14"/>
                <w:color w:val="auto"/>
              </w:rPr>
              <w:t>23,756*</w:t>
            </w:r>
          </w:p>
        </w:tc>
        <w:tc>
          <w:tcPr>
            <w:tcW w:w="76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shd w:val="clear" w:color="auto" w:fill="E8EDF4"/>
          </w:tcPr>
          <w:p>
            <w:pPr>
              <w:jc w:val="right"/>
              <w:ind w:right="128"/>
              <w:spacing w:after="0"/>
              <w:rPr>
                <w:sz w:val="20"/>
                <w:szCs w:val="20"/>
                <w:color w:val="auto"/>
              </w:rPr>
            </w:pPr>
            <w:r>
              <w:rPr>
                <w:rFonts w:ascii="Arial" w:cs="Arial" w:eastAsia="Arial" w:hAnsi="Arial"/>
                <w:sz w:val="14"/>
                <w:szCs w:val="14"/>
                <w:color w:val="auto"/>
              </w:rPr>
              <w:t>—</w:t>
            </w:r>
          </w:p>
        </w:tc>
        <w:tc>
          <w:tcPr>
            <w:tcW w:w="840" w:type="dxa"/>
            <w:vAlign w:val="bottom"/>
            <w:shd w:val="clear" w:color="auto" w:fill="E8EDF4"/>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1.66</w:t>
            </w:r>
          </w:p>
        </w:tc>
        <w:tc>
          <w:tcPr>
            <w:tcW w:w="820" w:type="dxa"/>
            <w:vAlign w:val="bottom"/>
            <w:shd w:val="clear" w:color="auto" w:fill="E8EDF4"/>
          </w:tcPr>
          <w:p>
            <w:pPr>
              <w:jc w:val="right"/>
              <w:ind w:right="48"/>
              <w:spacing w:after="0"/>
              <w:rPr>
                <w:sz w:val="20"/>
                <w:szCs w:val="20"/>
                <w:color w:val="auto"/>
              </w:rPr>
            </w:pPr>
            <w:r>
              <w:rPr>
                <w:rFonts w:ascii="Arial" w:cs="Arial" w:eastAsia="Arial" w:hAnsi="Arial"/>
                <w:sz w:val="14"/>
                <w:szCs w:val="14"/>
                <w:color w:val="auto"/>
              </w:rPr>
              <w:t>2.05</w:t>
            </w:r>
          </w:p>
        </w:tc>
        <w:tc>
          <w:tcPr>
            <w:tcW w:w="660" w:type="dxa"/>
            <w:vAlign w:val="bottom"/>
            <w:shd w:val="clear" w:color="auto" w:fill="E8EDF4"/>
          </w:tcPr>
          <w:p>
            <w:pPr>
              <w:jc w:val="right"/>
              <w:ind w:right="8"/>
              <w:spacing w:after="0"/>
              <w:rPr>
                <w:sz w:val="20"/>
                <w:szCs w:val="20"/>
                <w:color w:val="auto"/>
              </w:rPr>
            </w:pPr>
            <w:r>
              <w:rPr>
                <w:rFonts w:ascii="Arial" w:cs="Arial" w:eastAsia="Arial" w:hAnsi="Arial"/>
                <w:sz w:val="14"/>
                <w:szCs w:val="14"/>
                <w:color w:val="auto"/>
              </w:rPr>
              <w:t>85.31</w:t>
            </w:r>
          </w:p>
        </w:tc>
        <w:tc>
          <w:tcPr>
            <w:tcW w:w="1560" w:type="dxa"/>
            <w:vAlign w:val="bottom"/>
            <w:shd w:val="clear" w:color="auto" w:fill="E8EDF4"/>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2480" w:type="dxa"/>
            <w:vAlign w:val="bottom"/>
            <w:shd w:val="clear" w:color="auto" w:fill="E8EDF4"/>
          </w:tcPr>
          <w:p>
            <w:pPr>
              <w:spacing w:after="0"/>
              <w:rPr>
                <w:sz w:val="14"/>
                <w:szCs w:val="14"/>
                <w:color w:val="auto"/>
              </w:rPr>
            </w:pPr>
          </w:p>
        </w:tc>
        <w:tc>
          <w:tcPr>
            <w:tcW w:w="920" w:type="dxa"/>
            <w:vAlign w:val="bottom"/>
            <w:shd w:val="clear" w:color="auto" w:fill="E8EDF4"/>
          </w:tcPr>
          <w:p>
            <w:pPr>
              <w:jc w:val="right"/>
              <w:spacing w:after="0"/>
              <w:rPr>
                <w:sz w:val="20"/>
                <w:szCs w:val="20"/>
                <w:color w:val="auto"/>
              </w:rPr>
            </w:pPr>
            <w:r>
              <w:rPr>
                <w:rFonts w:ascii="Arial" w:cs="Arial" w:eastAsia="Arial" w:hAnsi="Arial"/>
                <w:sz w:val="14"/>
                <w:szCs w:val="14"/>
                <w:color w:val="auto"/>
              </w:rPr>
              <w:t>10/16/2017</w:t>
            </w:r>
          </w:p>
        </w:tc>
        <w:tc>
          <w:tcPr>
            <w:tcW w:w="1200" w:type="dxa"/>
            <w:vAlign w:val="bottom"/>
            <w:gridSpan w:val="3"/>
            <w:shd w:val="clear" w:color="auto" w:fill="E8EDF4"/>
          </w:tcPr>
          <w:p>
            <w:pPr>
              <w:jc w:val="right"/>
              <w:ind w:right="120"/>
              <w:spacing w:after="0"/>
              <w:rPr>
                <w:sz w:val="20"/>
                <w:szCs w:val="20"/>
                <w:color w:val="auto"/>
              </w:rPr>
            </w:pPr>
            <w:r>
              <w:rPr>
                <w:rFonts w:ascii="Arial" w:cs="Arial" w:eastAsia="Arial" w:hAnsi="Arial"/>
                <w:sz w:val="14"/>
                <w:szCs w:val="14"/>
                <w:color w:val="auto"/>
              </w:rPr>
              <w:t>20,013***</w:t>
            </w:r>
          </w:p>
        </w:tc>
        <w:tc>
          <w:tcPr>
            <w:tcW w:w="76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shd w:val="clear" w:color="auto" w:fill="E8EDF4"/>
          </w:tcPr>
          <w:p>
            <w:pPr>
              <w:jc w:val="right"/>
              <w:ind w:right="128"/>
              <w:spacing w:after="0"/>
              <w:rPr>
                <w:sz w:val="20"/>
                <w:szCs w:val="20"/>
                <w:color w:val="auto"/>
              </w:rPr>
            </w:pPr>
            <w:r>
              <w:rPr>
                <w:rFonts w:ascii="Arial" w:cs="Arial" w:eastAsia="Arial" w:hAnsi="Arial"/>
                <w:sz w:val="14"/>
                <w:szCs w:val="14"/>
                <w:color w:val="auto"/>
              </w:rPr>
              <w:t>—</w:t>
            </w:r>
          </w:p>
        </w:tc>
        <w:tc>
          <w:tcPr>
            <w:tcW w:w="840" w:type="dxa"/>
            <w:vAlign w:val="bottom"/>
            <w:shd w:val="clear" w:color="auto" w:fill="E8EDF4"/>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1.76</w:t>
            </w:r>
          </w:p>
        </w:tc>
        <w:tc>
          <w:tcPr>
            <w:tcW w:w="820" w:type="dxa"/>
            <w:vAlign w:val="bottom"/>
            <w:shd w:val="clear" w:color="auto" w:fill="E8EDF4"/>
          </w:tcPr>
          <w:p>
            <w:pPr>
              <w:jc w:val="right"/>
              <w:ind w:right="48"/>
              <w:spacing w:after="0"/>
              <w:rPr>
                <w:sz w:val="20"/>
                <w:szCs w:val="20"/>
                <w:color w:val="auto"/>
              </w:rPr>
            </w:pPr>
            <w:r>
              <w:rPr>
                <w:rFonts w:ascii="Arial" w:cs="Arial" w:eastAsia="Arial" w:hAnsi="Arial"/>
                <w:sz w:val="14"/>
                <w:szCs w:val="14"/>
                <w:color w:val="auto"/>
              </w:rPr>
              <w:t>1.97</w:t>
            </w:r>
          </w:p>
        </w:tc>
        <w:tc>
          <w:tcPr>
            <w:tcW w:w="660" w:type="dxa"/>
            <w:vAlign w:val="bottom"/>
            <w:shd w:val="clear" w:color="auto" w:fill="E8EDF4"/>
          </w:tcPr>
          <w:p>
            <w:pPr>
              <w:jc w:val="right"/>
              <w:ind w:right="8"/>
              <w:spacing w:after="0"/>
              <w:rPr>
                <w:sz w:val="20"/>
                <w:szCs w:val="20"/>
                <w:color w:val="auto"/>
              </w:rPr>
            </w:pPr>
            <w:r>
              <w:rPr>
                <w:rFonts w:ascii="Arial" w:cs="Arial" w:eastAsia="Arial" w:hAnsi="Arial"/>
                <w:sz w:val="14"/>
                <w:szCs w:val="14"/>
                <w:color w:val="auto"/>
              </w:rPr>
              <w:t>85.94</w:t>
            </w:r>
          </w:p>
        </w:tc>
        <w:tc>
          <w:tcPr>
            <w:tcW w:w="1560" w:type="dxa"/>
            <w:vAlign w:val="bottom"/>
            <w:shd w:val="clear" w:color="auto" w:fill="E8EDF4"/>
          </w:tcPr>
          <w:p>
            <w:pPr>
              <w:jc w:val="right"/>
              <w:ind w:right="48"/>
              <w:spacing w:after="0"/>
              <w:rPr>
                <w:sz w:val="20"/>
                <w:szCs w:val="20"/>
                <w:color w:val="auto"/>
              </w:rPr>
            </w:pPr>
            <w:r>
              <w:rPr>
                <w:rFonts w:ascii="Arial" w:cs="Arial" w:eastAsia="Arial" w:hAnsi="Arial"/>
                <w:sz w:val="14"/>
                <w:szCs w:val="14"/>
                <w:color w:val="auto"/>
              </w:rPr>
              <w:t>2,063,901</w:t>
            </w:r>
          </w:p>
        </w:tc>
        <w:tc>
          <w:tcPr>
            <w:tcW w:w="0" w:type="dxa"/>
            <w:vAlign w:val="bottom"/>
          </w:tcPr>
          <w:p>
            <w:pPr>
              <w:spacing w:after="0"/>
              <w:rPr>
                <w:sz w:val="1"/>
                <w:szCs w:val="1"/>
                <w:color w:val="auto"/>
              </w:rPr>
            </w:pPr>
          </w:p>
        </w:tc>
      </w:tr>
      <w:tr>
        <w:trPr>
          <w:trHeight w:val="162"/>
        </w:trPr>
        <w:tc>
          <w:tcPr>
            <w:tcW w:w="2480" w:type="dxa"/>
            <w:vAlign w:val="bottom"/>
            <w:shd w:val="clear" w:color="auto" w:fill="E8EDF4"/>
          </w:tcPr>
          <w:p>
            <w:pPr>
              <w:spacing w:after="0"/>
              <w:rPr>
                <w:sz w:val="14"/>
                <w:szCs w:val="14"/>
                <w:color w:val="auto"/>
              </w:rPr>
            </w:pPr>
          </w:p>
        </w:tc>
        <w:tc>
          <w:tcPr>
            <w:tcW w:w="920" w:type="dxa"/>
            <w:vAlign w:val="bottom"/>
            <w:shd w:val="clear" w:color="auto" w:fill="E8EDF4"/>
          </w:tcPr>
          <w:p>
            <w:pPr>
              <w:jc w:val="right"/>
              <w:spacing w:after="0"/>
              <w:rPr>
                <w:sz w:val="20"/>
                <w:szCs w:val="20"/>
                <w:color w:val="auto"/>
              </w:rPr>
            </w:pPr>
            <w:r>
              <w:rPr>
                <w:rFonts w:ascii="Arial" w:cs="Arial" w:eastAsia="Arial" w:hAnsi="Arial"/>
                <w:sz w:val="14"/>
                <w:szCs w:val="14"/>
                <w:color w:val="auto"/>
              </w:rPr>
              <w:t>3/29/2018</w:t>
            </w:r>
          </w:p>
        </w:tc>
        <w:tc>
          <w:tcPr>
            <w:tcW w:w="1200" w:type="dxa"/>
            <w:vAlign w:val="bottom"/>
            <w:gridSpan w:val="3"/>
            <w:shd w:val="clear" w:color="auto" w:fill="E8EDF4"/>
          </w:tcPr>
          <w:p>
            <w:pPr>
              <w:jc w:val="right"/>
              <w:ind w:right="220"/>
              <w:spacing w:after="0"/>
              <w:rPr>
                <w:sz w:val="20"/>
                <w:szCs w:val="20"/>
                <w:color w:val="auto"/>
              </w:rPr>
            </w:pPr>
            <w:r>
              <w:rPr>
                <w:rFonts w:ascii="Arial" w:cs="Arial" w:eastAsia="Arial" w:hAnsi="Arial"/>
                <w:sz w:val="14"/>
                <w:szCs w:val="14"/>
                <w:color w:val="auto"/>
              </w:rPr>
              <w:t>8,287*</w:t>
            </w:r>
          </w:p>
        </w:tc>
        <w:tc>
          <w:tcPr>
            <w:tcW w:w="76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shd w:val="clear" w:color="auto" w:fill="E8EDF4"/>
          </w:tcPr>
          <w:p>
            <w:pPr>
              <w:jc w:val="right"/>
              <w:ind w:right="128"/>
              <w:spacing w:after="0"/>
              <w:rPr>
                <w:sz w:val="20"/>
                <w:szCs w:val="20"/>
                <w:color w:val="auto"/>
              </w:rPr>
            </w:pPr>
            <w:r>
              <w:rPr>
                <w:rFonts w:ascii="Arial" w:cs="Arial" w:eastAsia="Arial" w:hAnsi="Arial"/>
                <w:sz w:val="14"/>
                <w:szCs w:val="14"/>
                <w:color w:val="auto"/>
              </w:rPr>
              <w:t>—</w:t>
            </w:r>
          </w:p>
        </w:tc>
        <w:tc>
          <w:tcPr>
            <w:tcW w:w="840" w:type="dxa"/>
            <w:vAlign w:val="bottom"/>
            <w:shd w:val="clear" w:color="auto" w:fill="E8EDF4"/>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2.54</w:t>
            </w:r>
          </w:p>
        </w:tc>
        <w:tc>
          <w:tcPr>
            <w:tcW w:w="820" w:type="dxa"/>
            <w:vAlign w:val="bottom"/>
            <w:shd w:val="clear" w:color="auto" w:fill="E8EDF4"/>
          </w:tcPr>
          <w:p>
            <w:pPr>
              <w:jc w:val="right"/>
              <w:ind w:right="48"/>
              <w:spacing w:after="0"/>
              <w:rPr>
                <w:sz w:val="20"/>
                <w:szCs w:val="20"/>
                <w:color w:val="auto"/>
              </w:rPr>
            </w:pPr>
            <w:r>
              <w:rPr>
                <w:rFonts w:ascii="Arial" w:cs="Arial" w:eastAsia="Arial" w:hAnsi="Arial"/>
                <w:sz w:val="14"/>
                <w:szCs w:val="14"/>
                <w:color w:val="auto"/>
              </w:rPr>
              <w:t>2.11</w:t>
            </w:r>
          </w:p>
        </w:tc>
        <w:tc>
          <w:tcPr>
            <w:tcW w:w="660" w:type="dxa"/>
            <w:vAlign w:val="bottom"/>
            <w:shd w:val="clear" w:color="auto" w:fill="E8EDF4"/>
          </w:tcPr>
          <w:p>
            <w:pPr>
              <w:jc w:val="right"/>
              <w:ind w:right="8"/>
              <w:spacing w:after="0"/>
              <w:rPr>
                <w:sz w:val="20"/>
                <w:szCs w:val="20"/>
                <w:color w:val="auto"/>
              </w:rPr>
            </w:pPr>
            <w:r>
              <w:rPr>
                <w:rFonts w:ascii="Arial" w:cs="Arial" w:eastAsia="Arial" w:hAnsi="Arial"/>
                <w:sz w:val="14"/>
                <w:szCs w:val="14"/>
                <w:color w:val="auto"/>
              </w:rPr>
              <w:t>86.51</w:t>
            </w:r>
          </w:p>
        </w:tc>
        <w:tc>
          <w:tcPr>
            <w:tcW w:w="1560" w:type="dxa"/>
            <w:vAlign w:val="bottom"/>
            <w:shd w:val="clear" w:color="auto" w:fill="E8EDF4"/>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shd w:val="clear" w:color="auto" w:fill="E8EDF4"/>
          </w:tcPr>
          <w:p>
            <w:pPr>
              <w:spacing w:after="0"/>
              <w:rPr>
                <w:sz w:val="14"/>
                <w:szCs w:val="14"/>
                <w:color w:val="auto"/>
              </w:rPr>
            </w:pPr>
          </w:p>
        </w:tc>
        <w:tc>
          <w:tcPr>
            <w:tcW w:w="920" w:type="dxa"/>
            <w:vAlign w:val="bottom"/>
            <w:shd w:val="clear" w:color="auto" w:fill="E8EDF4"/>
          </w:tcPr>
          <w:p>
            <w:pPr>
              <w:jc w:val="right"/>
              <w:spacing w:after="0"/>
              <w:rPr>
                <w:sz w:val="20"/>
                <w:szCs w:val="20"/>
                <w:color w:val="auto"/>
              </w:rPr>
            </w:pPr>
            <w:r>
              <w:rPr>
                <w:rFonts w:ascii="Arial" w:cs="Arial" w:eastAsia="Arial" w:hAnsi="Arial"/>
                <w:sz w:val="14"/>
                <w:szCs w:val="14"/>
                <w:color w:val="auto"/>
              </w:rPr>
              <w:t>3/29/2018</w:t>
            </w:r>
          </w:p>
        </w:tc>
        <w:tc>
          <w:tcPr>
            <w:tcW w:w="1200" w:type="dxa"/>
            <w:vAlign w:val="bottom"/>
            <w:gridSpan w:val="3"/>
            <w:shd w:val="clear" w:color="auto" w:fill="E8EDF4"/>
          </w:tcPr>
          <w:p>
            <w:pPr>
              <w:jc w:val="right"/>
              <w:ind w:right="160"/>
              <w:spacing w:after="0"/>
              <w:rPr>
                <w:sz w:val="20"/>
                <w:szCs w:val="20"/>
                <w:color w:val="auto"/>
              </w:rPr>
            </w:pPr>
            <w:r>
              <w:rPr>
                <w:rFonts w:ascii="Arial" w:cs="Arial" w:eastAsia="Arial" w:hAnsi="Arial"/>
                <w:sz w:val="14"/>
                <w:szCs w:val="14"/>
                <w:color w:val="auto"/>
              </w:rPr>
              <w:t>8,287**</w:t>
            </w:r>
          </w:p>
        </w:tc>
        <w:tc>
          <w:tcPr>
            <w:tcW w:w="76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shd w:val="clear" w:color="auto" w:fill="E8EDF4"/>
          </w:tcPr>
          <w:p>
            <w:pPr>
              <w:jc w:val="right"/>
              <w:ind w:right="48"/>
              <w:spacing w:after="0"/>
              <w:rPr>
                <w:sz w:val="20"/>
                <w:szCs w:val="20"/>
                <w:color w:val="auto"/>
              </w:rPr>
            </w:pPr>
            <w:r>
              <w:rPr>
                <w:rFonts w:ascii="Arial" w:cs="Arial" w:eastAsia="Arial" w:hAnsi="Arial"/>
                <w:sz w:val="14"/>
                <w:szCs w:val="14"/>
                <w:color w:val="auto"/>
              </w:rPr>
              <w:t>25.63</w:t>
            </w:r>
          </w:p>
        </w:tc>
        <w:tc>
          <w:tcPr>
            <w:tcW w:w="840" w:type="dxa"/>
            <w:vAlign w:val="bottom"/>
            <w:shd w:val="clear" w:color="auto" w:fill="E8EDF4"/>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2.37</w:t>
            </w:r>
          </w:p>
        </w:tc>
        <w:tc>
          <w:tcPr>
            <w:tcW w:w="820" w:type="dxa"/>
            <w:vAlign w:val="bottom"/>
            <w:shd w:val="clear" w:color="auto" w:fill="E8EDF4"/>
          </w:tcPr>
          <w:p>
            <w:pPr>
              <w:jc w:val="right"/>
              <w:ind w:right="48"/>
              <w:spacing w:after="0"/>
              <w:rPr>
                <w:sz w:val="20"/>
                <w:szCs w:val="20"/>
                <w:color w:val="auto"/>
              </w:rPr>
            </w:pPr>
            <w:r>
              <w:rPr>
                <w:rFonts w:ascii="Arial" w:cs="Arial" w:eastAsia="Arial" w:hAnsi="Arial"/>
                <w:sz w:val="14"/>
                <w:szCs w:val="14"/>
                <w:color w:val="auto"/>
              </w:rPr>
              <w:t>2.08</w:t>
            </w:r>
          </w:p>
        </w:tc>
        <w:tc>
          <w:tcPr>
            <w:tcW w:w="660" w:type="dxa"/>
            <w:vAlign w:val="bottom"/>
            <w:shd w:val="clear" w:color="auto" w:fill="E8EDF4"/>
          </w:tcPr>
          <w:p>
            <w:pPr>
              <w:jc w:val="right"/>
              <w:ind w:right="8"/>
              <w:spacing w:after="0"/>
              <w:rPr>
                <w:sz w:val="20"/>
                <w:szCs w:val="20"/>
                <w:color w:val="auto"/>
              </w:rPr>
            </w:pPr>
            <w:r>
              <w:rPr>
                <w:rFonts w:ascii="Arial" w:cs="Arial" w:eastAsia="Arial" w:hAnsi="Arial"/>
                <w:sz w:val="14"/>
                <w:szCs w:val="14"/>
                <w:color w:val="auto"/>
              </w:rPr>
              <w:t>101.23</w:t>
            </w:r>
          </w:p>
        </w:tc>
        <w:tc>
          <w:tcPr>
            <w:tcW w:w="1560" w:type="dxa"/>
            <w:vAlign w:val="bottom"/>
            <w:shd w:val="clear" w:color="auto" w:fill="E8EDF4"/>
          </w:tcPr>
          <w:p>
            <w:pPr>
              <w:jc w:val="right"/>
              <w:ind w:right="48"/>
              <w:spacing w:after="0"/>
              <w:rPr>
                <w:sz w:val="20"/>
                <w:szCs w:val="20"/>
                <w:color w:val="auto"/>
              </w:rPr>
            </w:pPr>
            <w:r>
              <w:rPr>
                <w:rFonts w:ascii="Arial" w:cs="Arial" w:eastAsia="Arial" w:hAnsi="Arial"/>
                <w:sz w:val="14"/>
                <w:szCs w:val="14"/>
                <w:color w:val="auto"/>
              </w:rPr>
              <w:t>1,677,786</w:t>
            </w:r>
          </w:p>
        </w:tc>
        <w:tc>
          <w:tcPr>
            <w:tcW w:w="0" w:type="dxa"/>
            <w:vAlign w:val="bottom"/>
          </w:tcPr>
          <w:p>
            <w:pPr>
              <w:spacing w:after="0"/>
              <w:rPr>
                <w:sz w:val="1"/>
                <w:szCs w:val="1"/>
                <w:color w:val="auto"/>
              </w:rPr>
            </w:pPr>
          </w:p>
        </w:tc>
      </w:tr>
      <w:tr>
        <w:trPr>
          <w:trHeight w:val="162"/>
        </w:trPr>
        <w:tc>
          <w:tcPr>
            <w:tcW w:w="2480" w:type="dxa"/>
            <w:vAlign w:val="bottom"/>
            <w:shd w:val="clear" w:color="auto" w:fill="E8EDF4"/>
          </w:tcPr>
          <w:p>
            <w:pPr>
              <w:spacing w:after="0"/>
              <w:rPr>
                <w:sz w:val="14"/>
                <w:szCs w:val="14"/>
                <w:color w:val="auto"/>
              </w:rPr>
            </w:pPr>
          </w:p>
        </w:tc>
        <w:tc>
          <w:tcPr>
            <w:tcW w:w="920" w:type="dxa"/>
            <w:vAlign w:val="bottom"/>
            <w:shd w:val="clear" w:color="auto" w:fill="E8EDF4"/>
          </w:tcPr>
          <w:p>
            <w:pPr>
              <w:jc w:val="right"/>
              <w:spacing w:after="0"/>
              <w:rPr>
                <w:sz w:val="20"/>
                <w:szCs w:val="20"/>
                <w:color w:val="auto"/>
              </w:rPr>
            </w:pPr>
            <w:r>
              <w:rPr>
                <w:rFonts w:ascii="Arial" w:cs="Arial" w:eastAsia="Arial" w:hAnsi="Arial"/>
                <w:sz w:val="14"/>
                <w:szCs w:val="14"/>
                <w:color w:val="auto"/>
              </w:rPr>
              <w:t>3/29/2018</w:t>
            </w:r>
          </w:p>
        </w:tc>
        <w:tc>
          <w:tcPr>
            <w:tcW w:w="920" w:type="dxa"/>
            <w:vAlign w:val="bottom"/>
            <w:gridSpan w:val="2"/>
            <w:shd w:val="clear" w:color="auto" w:fill="E8EDF4"/>
          </w:tcPr>
          <w:p>
            <w:pPr>
              <w:jc w:val="right"/>
              <w:spacing w:after="0"/>
              <w:rPr>
                <w:sz w:val="20"/>
                <w:szCs w:val="20"/>
                <w:color w:val="auto"/>
              </w:rPr>
            </w:pPr>
            <w:r>
              <w:rPr>
                <w:rFonts w:ascii="Arial" w:cs="Arial" w:eastAsia="Arial" w:hAnsi="Arial"/>
                <w:sz w:val="14"/>
                <w:szCs w:val="14"/>
                <w:color w:val="auto"/>
              </w:rPr>
              <w:t>34,779</w:t>
            </w:r>
          </w:p>
        </w:tc>
        <w:tc>
          <w:tcPr>
            <w:tcW w:w="280" w:type="dxa"/>
            <w:vAlign w:val="bottom"/>
            <w:shd w:val="clear" w:color="auto" w:fill="E8EDF4"/>
          </w:tcPr>
          <w:p>
            <w:pPr>
              <w:spacing w:after="0"/>
              <w:rPr>
                <w:sz w:val="14"/>
                <w:szCs w:val="14"/>
                <w:color w:val="auto"/>
              </w:rPr>
            </w:pPr>
          </w:p>
        </w:tc>
        <w:tc>
          <w:tcPr>
            <w:tcW w:w="760" w:type="dxa"/>
            <w:vAlign w:val="bottom"/>
            <w:shd w:val="clear" w:color="auto" w:fill="E8EDF4"/>
          </w:tcPr>
          <w:p>
            <w:pPr>
              <w:jc w:val="right"/>
              <w:spacing w:after="0"/>
              <w:rPr>
                <w:sz w:val="20"/>
                <w:szCs w:val="20"/>
                <w:color w:val="auto"/>
              </w:rPr>
            </w:pPr>
            <w:r>
              <w:rPr>
                <w:rFonts w:ascii="Arial" w:cs="Arial" w:eastAsia="Arial" w:hAnsi="Arial"/>
                <w:sz w:val="14"/>
                <w:szCs w:val="14"/>
                <w:color w:val="auto"/>
              </w:rPr>
              <w:t>91.13</w:t>
            </w:r>
          </w:p>
        </w:tc>
        <w:tc>
          <w:tcPr>
            <w:tcW w:w="900" w:type="dxa"/>
            <w:vAlign w:val="bottom"/>
            <w:shd w:val="clear" w:color="auto" w:fill="E8EDF4"/>
          </w:tcPr>
          <w:p>
            <w:pPr>
              <w:jc w:val="right"/>
              <w:ind w:right="48"/>
              <w:spacing w:after="0"/>
              <w:rPr>
                <w:sz w:val="20"/>
                <w:szCs w:val="20"/>
                <w:color w:val="auto"/>
              </w:rPr>
            </w:pPr>
            <w:r>
              <w:rPr>
                <w:rFonts w:ascii="Arial" w:cs="Arial" w:eastAsia="Arial" w:hAnsi="Arial"/>
                <w:sz w:val="14"/>
                <w:szCs w:val="14"/>
                <w:color w:val="auto"/>
              </w:rPr>
              <w:t>27.77</w:t>
            </w:r>
          </w:p>
        </w:tc>
        <w:tc>
          <w:tcPr>
            <w:tcW w:w="84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5.0</w:t>
            </w:r>
          </w:p>
        </w:tc>
        <w:tc>
          <w:tcPr>
            <w:tcW w:w="88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2.64</w:t>
            </w:r>
          </w:p>
        </w:tc>
        <w:tc>
          <w:tcPr>
            <w:tcW w:w="820" w:type="dxa"/>
            <w:vAlign w:val="bottom"/>
            <w:shd w:val="clear" w:color="auto" w:fill="E8EDF4"/>
          </w:tcPr>
          <w:p>
            <w:pPr>
              <w:jc w:val="right"/>
              <w:ind w:right="48"/>
              <w:spacing w:after="0"/>
              <w:rPr>
                <w:sz w:val="20"/>
                <w:szCs w:val="20"/>
                <w:color w:val="auto"/>
              </w:rPr>
            </w:pPr>
            <w:r>
              <w:rPr>
                <w:rFonts w:ascii="Arial" w:cs="Arial" w:eastAsia="Arial" w:hAnsi="Arial"/>
                <w:sz w:val="14"/>
                <w:szCs w:val="14"/>
                <w:color w:val="auto"/>
              </w:rPr>
              <w:t>2.11</w:t>
            </w:r>
          </w:p>
        </w:tc>
        <w:tc>
          <w:tcPr>
            <w:tcW w:w="660" w:type="dxa"/>
            <w:vAlign w:val="bottom"/>
            <w:shd w:val="clear" w:color="auto" w:fill="E8EDF4"/>
          </w:tcPr>
          <w:p>
            <w:pPr>
              <w:jc w:val="right"/>
              <w:ind w:right="8"/>
              <w:spacing w:after="0"/>
              <w:rPr>
                <w:sz w:val="20"/>
                <w:szCs w:val="20"/>
                <w:color w:val="auto"/>
              </w:rPr>
            </w:pPr>
            <w:r>
              <w:rPr>
                <w:rFonts w:ascii="Arial" w:cs="Arial" w:eastAsia="Arial" w:hAnsi="Arial"/>
                <w:sz w:val="14"/>
                <w:szCs w:val="14"/>
                <w:color w:val="auto"/>
              </w:rPr>
              <w:t>20.83</w:t>
            </w:r>
          </w:p>
        </w:tc>
        <w:tc>
          <w:tcPr>
            <w:tcW w:w="1560" w:type="dxa"/>
            <w:vAlign w:val="bottom"/>
            <w:shd w:val="clear" w:color="auto" w:fill="E8EDF4"/>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shd w:val="clear" w:color="auto" w:fill="E8EDF4"/>
          </w:tcPr>
          <w:p>
            <w:pPr>
              <w:spacing w:after="0"/>
              <w:rPr>
                <w:sz w:val="14"/>
                <w:szCs w:val="14"/>
                <w:color w:val="auto"/>
              </w:rPr>
            </w:pPr>
          </w:p>
        </w:tc>
        <w:tc>
          <w:tcPr>
            <w:tcW w:w="920" w:type="dxa"/>
            <w:vAlign w:val="bottom"/>
            <w:shd w:val="clear" w:color="auto" w:fill="E8EDF4"/>
          </w:tcPr>
          <w:p>
            <w:pPr>
              <w:jc w:val="right"/>
              <w:spacing w:after="0"/>
              <w:rPr>
                <w:sz w:val="20"/>
                <w:szCs w:val="20"/>
                <w:color w:val="auto"/>
              </w:rPr>
            </w:pPr>
            <w:r>
              <w:rPr>
                <w:rFonts w:ascii="Arial" w:cs="Arial" w:eastAsia="Arial" w:hAnsi="Arial"/>
                <w:sz w:val="14"/>
                <w:szCs w:val="14"/>
                <w:color w:val="auto"/>
              </w:rPr>
              <w:t>3/13/2019</w:t>
            </w:r>
          </w:p>
        </w:tc>
        <w:tc>
          <w:tcPr>
            <w:tcW w:w="260" w:type="dxa"/>
            <w:vAlign w:val="bottom"/>
            <w:shd w:val="clear" w:color="auto" w:fill="E8EDF4"/>
          </w:tcPr>
          <w:p>
            <w:pPr>
              <w:spacing w:after="0"/>
              <w:rPr>
                <w:sz w:val="14"/>
                <w:szCs w:val="14"/>
                <w:color w:val="auto"/>
              </w:rPr>
            </w:pPr>
          </w:p>
        </w:tc>
        <w:tc>
          <w:tcPr>
            <w:tcW w:w="940" w:type="dxa"/>
            <w:vAlign w:val="bottom"/>
            <w:gridSpan w:val="2"/>
            <w:shd w:val="clear" w:color="auto" w:fill="E8EDF4"/>
          </w:tcPr>
          <w:p>
            <w:pPr>
              <w:jc w:val="right"/>
              <w:ind w:right="220"/>
              <w:spacing w:after="0"/>
              <w:rPr>
                <w:sz w:val="20"/>
                <w:szCs w:val="20"/>
                <w:color w:val="auto"/>
              </w:rPr>
            </w:pPr>
            <w:r>
              <w:rPr>
                <w:rFonts w:ascii="Arial" w:cs="Arial" w:eastAsia="Arial" w:hAnsi="Arial"/>
                <w:sz w:val="14"/>
                <w:szCs w:val="14"/>
                <w:color w:val="auto"/>
              </w:rPr>
              <w:t>5,987*</w:t>
            </w:r>
          </w:p>
        </w:tc>
        <w:tc>
          <w:tcPr>
            <w:tcW w:w="76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shd w:val="clear" w:color="auto" w:fill="E8EDF4"/>
          </w:tcPr>
          <w:p>
            <w:pPr>
              <w:jc w:val="right"/>
              <w:ind w:right="128"/>
              <w:spacing w:after="0"/>
              <w:rPr>
                <w:sz w:val="20"/>
                <w:szCs w:val="20"/>
                <w:color w:val="auto"/>
              </w:rPr>
            </w:pPr>
            <w:r>
              <w:rPr>
                <w:rFonts w:ascii="Arial" w:cs="Arial" w:eastAsia="Arial" w:hAnsi="Arial"/>
                <w:sz w:val="14"/>
                <w:szCs w:val="14"/>
                <w:color w:val="auto"/>
              </w:rPr>
              <w:t>—</w:t>
            </w:r>
          </w:p>
        </w:tc>
        <w:tc>
          <w:tcPr>
            <w:tcW w:w="840" w:type="dxa"/>
            <w:vAlign w:val="bottom"/>
            <w:shd w:val="clear" w:color="auto" w:fill="E8EDF4"/>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2.42</w:t>
            </w:r>
          </w:p>
        </w:tc>
        <w:tc>
          <w:tcPr>
            <w:tcW w:w="820" w:type="dxa"/>
            <w:vAlign w:val="bottom"/>
            <w:shd w:val="clear" w:color="auto" w:fill="E8EDF4"/>
          </w:tcPr>
          <w:p>
            <w:pPr>
              <w:jc w:val="right"/>
              <w:ind w:right="48"/>
              <w:spacing w:after="0"/>
              <w:rPr>
                <w:sz w:val="20"/>
                <w:szCs w:val="20"/>
                <w:color w:val="auto"/>
              </w:rPr>
            </w:pPr>
            <w:r>
              <w:rPr>
                <w:rFonts w:ascii="Arial" w:cs="Arial" w:eastAsia="Arial" w:hAnsi="Arial"/>
                <w:sz w:val="14"/>
                <w:szCs w:val="14"/>
                <w:color w:val="auto"/>
              </w:rPr>
              <w:t>2.00</w:t>
            </w:r>
          </w:p>
        </w:tc>
        <w:tc>
          <w:tcPr>
            <w:tcW w:w="660" w:type="dxa"/>
            <w:vAlign w:val="bottom"/>
            <w:shd w:val="clear" w:color="auto" w:fill="E8EDF4"/>
          </w:tcPr>
          <w:p>
            <w:pPr>
              <w:jc w:val="right"/>
              <w:ind w:right="8"/>
              <w:spacing w:after="0"/>
              <w:rPr>
                <w:sz w:val="20"/>
                <w:szCs w:val="20"/>
                <w:color w:val="auto"/>
              </w:rPr>
            </w:pPr>
            <w:r>
              <w:rPr>
                <w:rFonts w:ascii="Arial" w:cs="Arial" w:eastAsia="Arial" w:hAnsi="Arial"/>
                <w:sz w:val="14"/>
                <w:szCs w:val="14"/>
                <w:color w:val="auto"/>
              </w:rPr>
              <w:t>102.89</w:t>
            </w:r>
          </w:p>
        </w:tc>
        <w:tc>
          <w:tcPr>
            <w:tcW w:w="1560" w:type="dxa"/>
            <w:vAlign w:val="bottom"/>
            <w:shd w:val="clear" w:color="auto" w:fill="E8EDF4"/>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shd w:val="clear" w:color="auto" w:fill="E8EDF4"/>
          </w:tcPr>
          <w:p>
            <w:pPr>
              <w:spacing w:after="0"/>
              <w:rPr>
                <w:sz w:val="14"/>
                <w:szCs w:val="14"/>
                <w:color w:val="auto"/>
              </w:rPr>
            </w:pPr>
          </w:p>
        </w:tc>
        <w:tc>
          <w:tcPr>
            <w:tcW w:w="920" w:type="dxa"/>
            <w:vAlign w:val="bottom"/>
            <w:shd w:val="clear" w:color="auto" w:fill="E8EDF4"/>
          </w:tcPr>
          <w:p>
            <w:pPr>
              <w:jc w:val="right"/>
              <w:spacing w:after="0"/>
              <w:rPr>
                <w:sz w:val="20"/>
                <w:szCs w:val="20"/>
                <w:color w:val="auto"/>
              </w:rPr>
            </w:pPr>
            <w:r>
              <w:rPr>
                <w:rFonts w:ascii="Arial" w:cs="Arial" w:eastAsia="Arial" w:hAnsi="Arial"/>
                <w:sz w:val="14"/>
                <w:szCs w:val="14"/>
                <w:color w:val="auto"/>
              </w:rPr>
              <w:t>3/13/2019</w:t>
            </w:r>
          </w:p>
        </w:tc>
        <w:tc>
          <w:tcPr>
            <w:tcW w:w="260" w:type="dxa"/>
            <w:vAlign w:val="bottom"/>
            <w:shd w:val="clear" w:color="auto" w:fill="E8EDF4"/>
          </w:tcPr>
          <w:p>
            <w:pPr>
              <w:spacing w:after="0"/>
              <w:rPr>
                <w:sz w:val="14"/>
                <w:szCs w:val="14"/>
                <w:color w:val="auto"/>
              </w:rPr>
            </w:pPr>
          </w:p>
        </w:tc>
        <w:tc>
          <w:tcPr>
            <w:tcW w:w="660" w:type="dxa"/>
            <w:vAlign w:val="bottom"/>
            <w:shd w:val="clear" w:color="auto" w:fill="E8EDF4"/>
          </w:tcPr>
          <w:p>
            <w:pPr>
              <w:jc w:val="right"/>
              <w:spacing w:after="0"/>
              <w:rPr>
                <w:sz w:val="20"/>
                <w:szCs w:val="20"/>
                <w:color w:val="auto"/>
              </w:rPr>
            </w:pPr>
            <w:r>
              <w:rPr>
                <w:rFonts w:ascii="Arial" w:cs="Arial" w:eastAsia="Arial" w:hAnsi="Arial"/>
                <w:sz w:val="14"/>
                <w:szCs w:val="14"/>
                <w:color w:val="auto"/>
              </w:rPr>
              <w:t>5,987**</w:t>
            </w:r>
          </w:p>
        </w:tc>
        <w:tc>
          <w:tcPr>
            <w:tcW w:w="280" w:type="dxa"/>
            <w:vAlign w:val="bottom"/>
            <w:shd w:val="clear" w:color="auto" w:fill="E8EDF4"/>
          </w:tcPr>
          <w:p>
            <w:pPr>
              <w:spacing w:after="0"/>
              <w:rPr>
                <w:sz w:val="14"/>
                <w:szCs w:val="14"/>
                <w:color w:val="auto"/>
              </w:rPr>
            </w:pPr>
          </w:p>
        </w:tc>
        <w:tc>
          <w:tcPr>
            <w:tcW w:w="76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shd w:val="clear" w:color="auto" w:fill="E8EDF4"/>
          </w:tcPr>
          <w:p>
            <w:pPr>
              <w:jc w:val="right"/>
              <w:ind w:right="48"/>
              <w:spacing w:after="0"/>
              <w:rPr>
                <w:sz w:val="20"/>
                <w:szCs w:val="20"/>
                <w:color w:val="auto"/>
              </w:rPr>
            </w:pPr>
            <w:r>
              <w:rPr>
                <w:rFonts w:ascii="Arial" w:cs="Arial" w:eastAsia="Arial" w:hAnsi="Arial"/>
                <w:sz w:val="14"/>
                <w:szCs w:val="14"/>
                <w:color w:val="auto"/>
              </w:rPr>
              <w:t>24.07</w:t>
            </w:r>
          </w:p>
        </w:tc>
        <w:tc>
          <w:tcPr>
            <w:tcW w:w="840" w:type="dxa"/>
            <w:vAlign w:val="bottom"/>
            <w:shd w:val="clear" w:color="auto" w:fill="E8EDF4"/>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2.38</w:t>
            </w:r>
          </w:p>
        </w:tc>
        <w:tc>
          <w:tcPr>
            <w:tcW w:w="820" w:type="dxa"/>
            <w:vAlign w:val="bottom"/>
            <w:shd w:val="clear" w:color="auto" w:fill="E8EDF4"/>
          </w:tcPr>
          <w:p>
            <w:pPr>
              <w:jc w:val="right"/>
              <w:ind w:right="48"/>
              <w:spacing w:after="0"/>
              <w:rPr>
                <w:sz w:val="20"/>
                <w:szCs w:val="20"/>
                <w:color w:val="auto"/>
              </w:rPr>
            </w:pPr>
            <w:r>
              <w:rPr>
                <w:rFonts w:ascii="Arial" w:cs="Arial" w:eastAsia="Arial" w:hAnsi="Arial"/>
                <w:sz w:val="14"/>
                <w:szCs w:val="14"/>
                <w:color w:val="auto"/>
              </w:rPr>
              <w:t>2.00</w:t>
            </w:r>
          </w:p>
        </w:tc>
        <w:tc>
          <w:tcPr>
            <w:tcW w:w="660" w:type="dxa"/>
            <w:vAlign w:val="bottom"/>
            <w:shd w:val="clear" w:color="auto" w:fill="E8EDF4"/>
          </w:tcPr>
          <w:p>
            <w:pPr>
              <w:jc w:val="right"/>
              <w:ind w:right="8"/>
              <w:spacing w:after="0"/>
              <w:rPr>
                <w:sz w:val="20"/>
                <w:szCs w:val="20"/>
                <w:color w:val="auto"/>
              </w:rPr>
            </w:pPr>
            <w:r>
              <w:rPr>
                <w:rFonts w:ascii="Arial" w:cs="Arial" w:eastAsia="Arial" w:hAnsi="Arial"/>
                <w:sz w:val="14"/>
                <w:szCs w:val="14"/>
                <w:color w:val="auto"/>
              </w:rPr>
              <w:t>114.36</w:t>
            </w:r>
          </w:p>
        </w:tc>
        <w:tc>
          <w:tcPr>
            <w:tcW w:w="1560" w:type="dxa"/>
            <w:vAlign w:val="bottom"/>
            <w:shd w:val="clear" w:color="auto" w:fill="E8EDF4"/>
          </w:tcPr>
          <w:p>
            <w:pPr>
              <w:jc w:val="right"/>
              <w:ind w:right="48"/>
              <w:spacing w:after="0"/>
              <w:rPr>
                <w:sz w:val="20"/>
                <w:szCs w:val="20"/>
                <w:color w:val="auto"/>
              </w:rPr>
            </w:pPr>
            <w:r>
              <w:rPr>
                <w:rFonts w:ascii="Arial" w:cs="Arial" w:eastAsia="Arial" w:hAnsi="Arial"/>
                <w:sz w:val="14"/>
                <w:szCs w:val="14"/>
                <w:color w:val="auto"/>
              </w:rPr>
              <w:t>1,369,347</w:t>
            </w:r>
          </w:p>
        </w:tc>
        <w:tc>
          <w:tcPr>
            <w:tcW w:w="0" w:type="dxa"/>
            <w:vAlign w:val="bottom"/>
          </w:tcPr>
          <w:p>
            <w:pPr>
              <w:spacing w:after="0"/>
              <w:rPr>
                <w:sz w:val="1"/>
                <w:szCs w:val="1"/>
                <w:color w:val="auto"/>
              </w:rPr>
            </w:pPr>
          </w:p>
        </w:tc>
      </w:tr>
      <w:tr>
        <w:trPr>
          <w:trHeight w:val="162"/>
        </w:trPr>
        <w:tc>
          <w:tcPr>
            <w:tcW w:w="2480" w:type="dxa"/>
            <w:vAlign w:val="bottom"/>
            <w:shd w:val="clear" w:color="auto" w:fill="E8EDF4"/>
          </w:tcPr>
          <w:p>
            <w:pPr>
              <w:spacing w:after="0"/>
              <w:rPr>
                <w:sz w:val="14"/>
                <w:szCs w:val="14"/>
                <w:color w:val="auto"/>
              </w:rPr>
            </w:pPr>
          </w:p>
        </w:tc>
        <w:tc>
          <w:tcPr>
            <w:tcW w:w="920" w:type="dxa"/>
            <w:vAlign w:val="bottom"/>
            <w:shd w:val="clear" w:color="auto" w:fill="E8EDF4"/>
          </w:tcPr>
          <w:p>
            <w:pPr>
              <w:jc w:val="right"/>
              <w:spacing w:after="0"/>
              <w:rPr>
                <w:sz w:val="20"/>
                <w:szCs w:val="20"/>
                <w:color w:val="auto"/>
              </w:rPr>
            </w:pPr>
            <w:r>
              <w:rPr>
                <w:rFonts w:ascii="Arial" w:cs="Arial" w:eastAsia="Arial" w:hAnsi="Arial"/>
                <w:sz w:val="14"/>
                <w:szCs w:val="14"/>
                <w:color w:val="auto"/>
              </w:rPr>
              <w:t>3/13/2019</w:t>
            </w:r>
          </w:p>
        </w:tc>
        <w:tc>
          <w:tcPr>
            <w:tcW w:w="260" w:type="dxa"/>
            <w:vAlign w:val="bottom"/>
            <w:shd w:val="clear" w:color="auto" w:fill="E8EDF4"/>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5,987****</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2.42</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2.00</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92.00</w:t>
            </w: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1,219,552</w:t>
            </w:r>
          </w:p>
        </w:tc>
        <w:tc>
          <w:tcPr>
            <w:tcW w:w="0" w:type="dxa"/>
            <w:vAlign w:val="bottom"/>
          </w:tcPr>
          <w:p>
            <w:pPr>
              <w:spacing w:after="0"/>
              <w:rPr>
                <w:sz w:val="1"/>
                <w:szCs w:val="1"/>
                <w:color w:val="auto"/>
              </w:rPr>
            </w:pPr>
          </w:p>
        </w:tc>
      </w:tr>
      <w:tr>
        <w:trPr>
          <w:trHeight w:val="162"/>
        </w:trPr>
        <w:tc>
          <w:tcPr>
            <w:tcW w:w="2480" w:type="dxa"/>
            <w:vAlign w:val="bottom"/>
            <w:shd w:val="clear" w:color="auto" w:fill="E8EDF4"/>
          </w:tcPr>
          <w:p>
            <w:pPr>
              <w:spacing w:after="0"/>
              <w:rPr>
                <w:sz w:val="14"/>
                <w:szCs w:val="14"/>
                <w:color w:val="auto"/>
              </w:rPr>
            </w:pPr>
          </w:p>
        </w:tc>
        <w:tc>
          <w:tcPr>
            <w:tcW w:w="920" w:type="dxa"/>
            <w:vAlign w:val="bottom"/>
            <w:shd w:val="clear" w:color="auto" w:fill="E8EDF4"/>
          </w:tcPr>
          <w:p>
            <w:pPr>
              <w:jc w:val="right"/>
              <w:spacing w:after="0"/>
              <w:rPr>
                <w:sz w:val="20"/>
                <w:szCs w:val="20"/>
                <w:color w:val="auto"/>
              </w:rPr>
            </w:pPr>
            <w:r>
              <w:rPr>
                <w:rFonts w:ascii="Arial" w:cs="Arial" w:eastAsia="Arial" w:hAnsi="Arial"/>
                <w:sz w:val="14"/>
                <w:szCs w:val="14"/>
                <w:color w:val="auto"/>
              </w:rPr>
              <w:t>3/13/2019</w:t>
            </w:r>
          </w:p>
        </w:tc>
        <w:tc>
          <w:tcPr>
            <w:tcW w:w="260" w:type="dxa"/>
            <w:vAlign w:val="bottom"/>
            <w:shd w:val="clear" w:color="auto" w:fill="E8EDF4"/>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26,513</w:t>
            </w:r>
          </w:p>
        </w:tc>
        <w:tc>
          <w:tcPr>
            <w:tcW w:w="280" w:type="dxa"/>
            <w:vAlign w:val="bottom"/>
          </w:tcPr>
          <w:p>
            <w:pPr>
              <w:spacing w:after="0"/>
              <w:rPr>
                <w:sz w:val="14"/>
                <w:szCs w:val="14"/>
                <w:color w:val="auto"/>
              </w:rPr>
            </w:pPr>
          </w:p>
        </w:tc>
        <w:tc>
          <w:tcPr>
            <w:tcW w:w="760" w:type="dxa"/>
            <w:vAlign w:val="bottom"/>
            <w:shd w:val="clear" w:color="auto" w:fill="E8EDF4"/>
          </w:tcPr>
          <w:p>
            <w:pPr>
              <w:jc w:val="right"/>
              <w:spacing w:after="0"/>
              <w:rPr>
                <w:sz w:val="20"/>
                <w:szCs w:val="20"/>
                <w:color w:val="auto"/>
              </w:rPr>
            </w:pPr>
            <w:r>
              <w:rPr>
                <w:rFonts w:ascii="Arial" w:cs="Arial" w:eastAsia="Arial" w:hAnsi="Arial"/>
                <w:sz w:val="14"/>
                <w:szCs w:val="14"/>
                <w:color w:val="auto"/>
              </w:rPr>
              <w:t>108.08</w:t>
            </w:r>
          </w:p>
        </w:tc>
        <w:tc>
          <w:tcPr>
            <w:tcW w:w="900" w:type="dxa"/>
            <w:vAlign w:val="bottom"/>
            <w:shd w:val="clear" w:color="auto" w:fill="E8EDF4"/>
          </w:tcPr>
          <w:p>
            <w:pPr>
              <w:jc w:val="right"/>
              <w:ind w:right="48"/>
              <w:spacing w:after="0"/>
              <w:rPr>
                <w:sz w:val="20"/>
                <w:szCs w:val="20"/>
                <w:color w:val="auto"/>
              </w:rPr>
            </w:pPr>
            <w:r>
              <w:rPr>
                <w:rFonts w:ascii="Arial" w:cs="Arial" w:eastAsia="Arial" w:hAnsi="Arial"/>
                <w:sz w:val="14"/>
                <w:szCs w:val="14"/>
                <w:color w:val="auto"/>
              </w:rPr>
              <w:t>26.32</w:t>
            </w:r>
          </w:p>
        </w:tc>
        <w:tc>
          <w:tcPr>
            <w:tcW w:w="84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5.0</w:t>
            </w:r>
          </w:p>
        </w:tc>
        <w:tc>
          <w:tcPr>
            <w:tcW w:w="88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2.42</w:t>
            </w:r>
          </w:p>
        </w:tc>
        <w:tc>
          <w:tcPr>
            <w:tcW w:w="820" w:type="dxa"/>
            <w:vAlign w:val="bottom"/>
            <w:shd w:val="clear" w:color="auto" w:fill="E8EDF4"/>
          </w:tcPr>
          <w:p>
            <w:pPr>
              <w:jc w:val="right"/>
              <w:ind w:right="48"/>
              <w:spacing w:after="0"/>
              <w:rPr>
                <w:sz w:val="20"/>
                <w:szCs w:val="20"/>
                <w:color w:val="auto"/>
              </w:rPr>
            </w:pPr>
            <w:r>
              <w:rPr>
                <w:rFonts w:ascii="Arial" w:cs="Arial" w:eastAsia="Arial" w:hAnsi="Arial"/>
                <w:sz w:val="14"/>
                <w:szCs w:val="14"/>
                <w:color w:val="auto"/>
              </w:rPr>
              <w:t>2.00</w:t>
            </w:r>
          </w:p>
        </w:tc>
        <w:tc>
          <w:tcPr>
            <w:tcW w:w="660" w:type="dxa"/>
            <w:vAlign w:val="bottom"/>
            <w:shd w:val="clear" w:color="auto" w:fill="E8EDF4"/>
          </w:tcPr>
          <w:p>
            <w:pPr>
              <w:jc w:val="right"/>
              <w:ind w:right="8"/>
              <w:spacing w:after="0"/>
              <w:rPr>
                <w:sz w:val="20"/>
                <w:szCs w:val="20"/>
                <w:color w:val="auto"/>
              </w:rPr>
            </w:pPr>
            <w:r>
              <w:rPr>
                <w:rFonts w:ascii="Arial" w:cs="Arial" w:eastAsia="Arial" w:hAnsi="Arial"/>
                <w:sz w:val="14"/>
                <w:szCs w:val="14"/>
                <w:color w:val="auto"/>
              </w:rPr>
              <w:t>23.43</w:t>
            </w:r>
          </w:p>
        </w:tc>
        <w:tc>
          <w:tcPr>
            <w:tcW w:w="1560" w:type="dxa"/>
            <w:vAlign w:val="bottom"/>
            <w:shd w:val="clear" w:color="auto" w:fill="E8EDF4"/>
          </w:tcPr>
          <w:p>
            <w:pPr>
              <w:spacing w:after="0"/>
              <w:rPr>
                <w:sz w:val="14"/>
                <w:szCs w:val="14"/>
                <w:color w:val="auto"/>
              </w:rPr>
            </w:pPr>
          </w:p>
        </w:tc>
        <w:tc>
          <w:tcPr>
            <w:tcW w:w="0" w:type="dxa"/>
            <w:vAlign w:val="bottom"/>
          </w:tcPr>
          <w:p>
            <w:pPr>
              <w:spacing w:after="0"/>
              <w:rPr>
                <w:sz w:val="1"/>
                <w:szCs w:val="1"/>
                <w:color w:val="auto"/>
              </w:rPr>
            </w:pPr>
          </w:p>
        </w:tc>
      </w:tr>
      <w:tr>
        <w:trPr>
          <w:trHeight w:val="275"/>
        </w:trPr>
        <w:tc>
          <w:tcPr>
            <w:tcW w:w="2480" w:type="dxa"/>
            <w:vAlign w:val="bottom"/>
          </w:tcPr>
          <w:p>
            <w:pPr>
              <w:ind w:left="20"/>
              <w:spacing w:after="0"/>
              <w:rPr>
                <w:sz w:val="20"/>
                <w:szCs w:val="20"/>
                <w:color w:val="auto"/>
              </w:rPr>
            </w:pPr>
            <w:r>
              <w:rPr>
                <w:rFonts w:ascii="Arial" w:cs="Arial" w:eastAsia="Arial" w:hAnsi="Arial"/>
                <w:sz w:val="14"/>
                <w:szCs w:val="14"/>
                <w:color w:val="auto"/>
              </w:rPr>
              <w:t>Martin Cotter</w:t>
            </w:r>
          </w:p>
        </w:tc>
        <w:tc>
          <w:tcPr>
            <w:tcW w:w="920" w:type="dxa"/>
            <w:vAlign w:val="bottom"/>
          </w:tcPr>
          <w:p>
            <w:pPr>
              <w:jc w:val="right"/>
              <w:spacing w:after="0"/>
              <w:rPr>
                <w:sz w:val="20"/>
                <w:szCs w:val="20"/>
                <w:color w:val="auto"/>
              </w:rPr>
            </w:pPr>
            <w:r>
              <w:rPr>
                <w:rFonts w:ascii="Arial" w:cs="Arial" w:eastAsia="Arial" w:hAnsi="Arial"/>
                <w:sz w:val="14"/>
                <w:szCs w:val="14"/>
                <w:color w:val="auto"/>
              </w:rPr>
              <w:t>3/29/2018</w:t>
            </w:r>
          </w:p>
        </w:tc>
        <w:tc>
          <w:tcPr>
            <w:tcW w:w="1200" w:type="dxa"/>
            <w:vAlign w:val="bottom"/>
            <w:gridSpan w:val="3"/>
          </w:tcPr>
          <w:p>
            <w:pPr>
              <w:jc w:val="right"/>
              <w:ind w:right="220"/>
              <w:spacing w:after="0"/>
              <w:rPr>
                <w:sz w:val="20"/>
                <w:szCs w:val="20"/>
                <w:color w:val="auto"/>
              </w:rPr>
            </w:pPr>
            <w:r>
              <w:rPr>
                <w:rFonts w:ascii="Arial" w:cs="Arial" w:eastAsia="Arial" w:hAnsi="Arial"/>
                <w:sz w:val="14"/>
                <w:szCs w:val="14"/>
                <w:color w:val="auto"/>
              </w:rPr>
              <w:t>4,897*</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2.54</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2.11</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86.51</w:t>
            </w: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24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3/29/2018</w:t>
            </w:r>
          </w:p>
        </w:tc>
        <w:tc>
          <w:tcPr>
            <w:tcW w:w="1200" w:type="dxa"/>
            <w:vAlign w:val="bottom"/>
            <w:gridSpan w:val="3"/>
          </w:tcPr>
          <w:p>
            <w:pPr>
              <w:jc w:val="right"/>
              <w:ind w:right="160"/>
              <w:spacing w:after="0"/>
              <w:rPr>
                <w:sz w:val="20"/>
                <w:szCs w:val="20"/>
                <w:color w:val="auto"/>
              </w:rPr>
            </w:pPr>
            <w:r>
              <w:rPr>
                <w:rFonts w:ascii="Arial" w:cs="Arial" w:eastAsia="Arial" w:hAnsi="Arial"/>
                <w:sz w:val="14"/>
                <w:szCs w:val="14"/>
                <w:color w:val="auto"/>
              </w:rPr>
              <w:t>4,897**</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25.63</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2.37</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2.08</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101.23</w:t>
            </w: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991,447</w:t>
            </w:r>
          </w:p>
        </w:tc>
        <w:tc>
          <w:tcPr>
            <w:tcW w:w="0" w:type="dxa"/>
            <w:vAlign w:val="bottom"/>
          </w:tcPr>
          <w:p>
            <w:pPr>
              <w:spacing w:after="0"/>
              <w:rPr>
                <w:sz w:val="1"/>
                <w:szCs w:val="1"/>
                <w:color w:val="auto"/>
              </w:rPr>
            </w:pPr>
          </w:p>
        </w:tc>
      </w:tr>
      <w:tr>
        <w:trPr>
          <w:trHeight w:val="162"/>
        </w:trPr>
        <w:tc>
          <w:tcPr>
            <w:tcW w:w="24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3/29/2018</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20,552</w:t>
            </w:r>
          </w:p>
        </w:tc>
        <w:tc>
          <w:tcPr>
            <w:tcW w:w="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91.13</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27.77</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5.0</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2.64</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2.11</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20.83</w:t>
            </w: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9/17/2018</w:t>
            </w:r>
          </w:p>
        </w:tc>
        <w:tc>
          <w:tcPr>
            <w:tcW w:w="1200" w:type="dxa"/>
            <w:vAlign w:val="bottom"/>
            <w:gridSpan w:val="3"/>
          </w:tcPr>
          <w:p>
            <w:pPr>
              <w:jc w:val="right"/>
              <w:ind w:right="220"/>
              <w:spacing w:after="0"/>
              <w:rPr>
                <w:sz w:val="20"/>
                <w:szCs w:val="20"/>
                <w:color w:val="auto"/>
              </w:rPr>
            </w:pPr>
            <w:r>
              <w:rPr>
                <w:rFonts w:ascii="Arial" w:cs="Arial" w:eastAsia="Arial" w:hAnsi="Arial"/>
                <w:sz w:val="14"/>
                <w:szCs w:val="14"/>
                <w:color w:val="auto"/>
              </w:rPr>
              <w:t>3,334*</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2.87</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2.10</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86.72</w:t>
            </w: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3/13/2019</w:t>
            </w:r>
          </w:p>
        </w:tc>
        <w:tc>
          <w:tcPr>
            <w:tcW w:w="1200" w:type="dxa"/>
            <w:vAlign w:val="bottom"/>
            <w:gridSpan w:val="3"/>
          </w:tcPr>
          <w:p>
            <w:pPr>
              <w:jc w:val="right"/>
              <w:ind w:right="220"/>
              <w:spacing w:after="0"/>
              <w:rPr>
                <w:sz w:val="20"/>
                <w:szCs w:val="20"/>
                <w:color w:val="auto"/>
              </w:rPr>
            </w:pPr>
            <w:r>
              <w:rPr>
                <w:rFonts w:ascii="Arial" w:cs="Arial" w:eastAsia="Arial" w:hAnsi="Arial"/>
                <w:sz w:val="14"/>
                <w:szCs w:val="14"/>
                <w:color w:val="auto"/>
              </w:rPr>
              <w:t>2,295*</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2.42</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2.00</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102.89</w:t>
            </w: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3/13/2019</w:t>
            </w:r>
          </w:p>
        </w:tc>
        <w:tc>
          <w:tcPr>
            <w:tcW w:w="1200" w:type="dxa"/>
            <w:vAlign w:val="bottom"/>
            <w:gridSpan w:val="3"/>
          </w:tcPr>
          <w:p>
            <w:pPr>
              <w:jc w:val="right"/>
              <w:ind w:right="160"/>
              <w:spacing w:after="0"/>
              <w:rPr>
                <w:sz w:val="20"/>
                <w:szCs w:val="20"/>
                <w:color w:val="auto"/>
              </w:rPr>
            </w:pPr>
            <w:r>
              <w:rPr>
                <w:rFonts w:ascii="Arial" w:cs="Arial" w:eastAsia="Arial" w:hAnsi="Arial"/>
                <w:sz w:val="14"/>
                <w:szCs w:val="14"/>
                <w:color w:val="auto"/>
              </w:rPr>
              <w:t>2,295**</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24.07</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2.38</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2.00</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114.36</w:t>
            </w: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524,912</w:t>
            </w:r>
          </w:p>
        </w:tc>
        <w:tc>
          <w:tcPr>
            <w:tcW w:w="0" w:type="dxa"/>
            <w:vAlign w:val="bottom"/>
          </w:tcPr>
          <w:p>
            <w:pPr>
              <w:spacing w:after="0"/>
              <w:rPr>
                <w:sz w:val="1"/>
                <w:szCs w:val="1"/>
                <w:color w:val="auto"/>
              </w:rPr>
            </w:pPr>
          </w:p>
        </w:tc>
      </w:tr>
      <w:tr>
        <w:trPr>
          <w:trHeight w:val="162"/>
        </w:trPr>
        <w:tc>
          <w:tcPr>
            <w:tcW w:w="24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3/13/2019</w:t>
            </w:r>
          </w:p>
        </w:tc>
        <w:tc>
          <w:tcPr>
            <w:tcW w:w="1200" w:type="dxa"/>
            <w:vAlign w:val="bottom"/>
            <w:gridSpan w:val="3"/>
          </w:tcPr>
          <w:p>
            <w:pPr>
              <w:jc w:val="right"/>
              <w:ind w:right="60"/>
              <w:spacing w:after="0"/>
              <w:rPr>
                <w:sz w:val="20"/>
                <w:szCs w:val="20"/>
                <w:color w:val="auto"/>
              </w:rPr>
            </w:pPr>
            <w:r>
              <w:rPr>
                <w:rFonts w:ascii="Arial" w:cs="Arial" w:eastAsia="Arial" w:hAnsi="Arial"/>
                <w:sz w:val="14"/>
                <w:szCs w:val="14"/>
                <w:color w:val="auto"/>
              </w:rPr>
              <w:t>2,295****</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2.42</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2.00</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92.00</w:t>
            </w: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467,492</w:t>
            </w:r>
          </w:p>
        </w:tc>
        <w:tc>
          <w:tcPr>
            <w:tcW w:w="0" w:type="dxa"/>
            <w:vAlign w:val="bottom"/>
          </w:tcPr>
          <w:p>
            <w:pPr>
              <w:spacing w:after="0"/>
              <w:rPr>
                <w:sz w:val="1"/>
                <w:szCs w:val="1"/>
                <w:color w:val="auto"/>
              </w:rPr>
            </w:pPr>
          </w:p>
        </w:tc>
      </w:tr>
      <w:tr>
        <w:trPr>
          <w:trHeight w:val="162"/>
        </w:trPr>
        <w:tc>
          <w:tcPr>
            <w:tcW w:w="24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3/13/2019</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10,164</w:t>
            </w:r>
          </w:p>
        </w:tc>
        <w:tc>
          <w:tcPr>
            <w:tcW w:w="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108.08</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26.32</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5.0</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2.42</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2.00</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23.43</w:t>
            </w: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6/17/2019</w:t>
            </w:r>
          </w:p>
        </w:tc>
        <w:tc>
          <w:tcPr>
            <w:tcW w:w="1200" w:type="dxa"/>
            <w:vAlign w:val="bottom"/>
            <w:gridSpan w:val="3"/>
          </w:tcPr>
          <w:p>
            <w:pPr>
              <w:jc w:val="right"/>
              <w:ind w:right="220"/>
              <w:spacing w:after="0"/>
              <w:rPr>
                <w:sz w:val="20"/>
                <w:szCs w:val="20"/>
                <w:color w:val="auto"/>
              </w:rPr>
            </w:pPr>
            <w:r>
              <w:rPr>
                <w:rFonts w:ascii="Arial" w:cs="Arial" w:eastAsia="Arial" w:hAnsi="Arial"/>
                <w:sz w:val="14"/>
                <w:szCs w:val="14"/>
                <w:color w:val="auto"/>
              </w:rPr>
              <w:t>1,697*</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1.83</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2.06</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100.39</w:t>
            </w: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6/17/2019</w:t>
            </w:r>
          </w:p>
        </w:tc>
        <w:tc>
          <w:tcPr>
            <w:tcW w:w="1200" w:type="dxa"/>
            <w:vAlign w:val="bottom"/>
            <w:gridSpan w:val="3"/>
          </w:tcPr>
          <w:p>
            <w:pPr>
              <w:jc w:val="right"/>
              <w:ind w:right="160"/>
              <w:spacing w:after="0"/>
              <w:rPr>
                <w:sz w:val="20"/>
                <w:szCs w:val="20"/>
                <w:color w:val="auto"/>
              </w:rPr>
            </w:pPr>
            <w:r>
              <w:rPr>
                <w:rFonts w:ascii="Arial" w:cs="Arial" w:eastAsia="Arial" w:hAnsi="Arial"/>
                <w:sz w:val="14"/>
                <w:szCs w:val="14"/>
                <w:color w:val="auto"/>
              </w:rPr>
              <w:t>1,697**</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24.07</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2.38</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2.00</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116.20</w:t>
            </w: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394,383</w:t>
            </w:r>
          </w:p>
        </w:tc>
        <w:tc>
          <w:tcPr>
            <w:tcW w:w="0" w:type="dxa"/>
            <w:vAlign w:val="bottom"/>
          </w:tcPr>
          <w:p>
            <w:pPr>
              <w:spacing w:after="0"/>
              <w:rPr>
                <w:sz w:val="1"/>
                <w:szCs w:val="1"/>
                <w:color w:val="auto"/>
              </w:rPr>
            </w:pPr>
          </w:p>
        </w:tc>
      </w:tr>
      <w:tr>
        <w:trPr>
          <w:trHeight w:val="162"/>
        </w:trPr>
        <w:tc>
          <w:tcPr>
            <w:tcW w:w="24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6/17/2019</w:t>
            </w:r>
          </w:p>
        </w:tc>
        <w:tc>
          <w:tcPr>
            <w:tcW w:w="1200" w:type="dxa"/>
            <w:vAlign w:val="bottom"/>
            <w:gridSpan w:val="3"/>
          </w:tcPr>
          <w:p>
            <w:pPr>
              <w:jc w:val="right"/>
              <w:ind w:right="60"/>
              <w:spacing w:after="0"/>
              <w:rPr>
                <w:sz w:val="20"/>
                <w:szCs w:val="20"/>
                <w:color w:val="auto"/>
              </w:rPr>
            </w:pPr>
            <w:r>
              <w:rPr>
                <w:rFonts w:ascii="Arial" w:cs="Arial" w:eastAsia="Arial" w:hAnsi="Arial"/>
                <w:sz w:val="14"/>
                <w:szCs w:val="14"/>
                <w:color w:val="auto"/>
              </w:rPr>
              <w:t>1,697****</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1.83</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2.06</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59.94</w:t>
            </w: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337,160</w:t>
            </w:r>
          </w:p>
        </w:tc>
        <w:tc>
          <w:tcPr>
            <w:tcW w:w="0" w:type="dxa"/>
            <w:vAlign w:val="bottom"/>
          </w:tcPr>
          <w:p>
            <w:pPr>
              <w:spacing w:after="0"/>
              <w:rPr>
                <w:sz w:val="1"/>
                <w:szCs w:val="1"/>
                <w:color w:val="auto"/>
              </w:rPr>
            </w:pPr>
          </w:p>
        </w:tc>
      </w:tr>
      <w:tr>
        <w:trPr>
          <w:trHeight w:val="157"/>
        </w:trPr>
        <w:tc>
          <w:tcPr>
            <w:tcW w:w="2480" w:type="dxa"/>
            <w:vAlign w:val="bottom"/>
          </w:tcPr>
          <w:p>
            <w:pPr>
              <w:spacing w:after="0"/>
              <w:rPr>
                <w:sz w:val="13"/>
                <w:szCs w:val="13"/>
                <w:color w:val="auto"/>
              </w:rPr>
            </w:pPr>
          </w:p>
        </w:tc>
        <w:tc>
          <w:tcPr>
            <w:tcW w:w="920" w:type="dxa"/>
            <w:vAlign w:val="bottom"/>
          </w:tcPr>
          <w:p>
            <w:pPr>
              <w:jc w:val="right"/>
              <w:spacing w:after="0" w:line="157" w:lineRule="exact"/>
              <w:rPr>
                <w:sz w:val="20"/>
                <w:szCs w:val="20"/>
                <w:color w:val="auto"/>
              </w:rPr>
            </w:pPr>
            <w:r>
              <w:rPr>
                <w:rFonts w:ascii="Arial" w:cs="Arial" w:eastAsia="Arial" w:hAnsi="Arial"/>
                <w:sz w:val="14"/>
                <w:szCs w:val="14"/>
                <w:color w:val="auto"/>
              </w:rPr>
              <w:t>6/17/2019</w:t>
            </w:r>
          </w:p>
        </w:tc>
        <w:tc>
          <w:tcPr>
            <w:tcW w:w="92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7,512</w:t>
            </w:r>
          </w:p>
        </w:tc>
        <w:tc>
          <w:tcPr>
            <w:tcW w:w="280" w:type="dxa"/>
            <w:vAlign w:val="bottom"/>
          </w:tcPr>
          <w:p>
            <w:pPr>
              <w:spacing w:after="0"/>
              <w:rPr>
                <w:sz w:val="13"/>
                <w:szCs w:val="13"/>
                <w:color w:val="auto"/>
              </w:rPr>
            </w:pPr>
          </w:p>
        </w:tc>
        <w:tc>
          <w:tcPr>
            <w:tcW w:w="760" w:type="dxa"/>
            <w:vAlign w:val="bottom"/>
          </w:tcPr>
          <w:p>
            <w:pPr>
              <w:jc w:val="right"/>
              <w:spacing w:after="0" w:line="157" w:lineRule="exact"/>
              <w:rPr>
                <w:sz w:val="20"/>
                <w:szCs w:val="20"/>
                <w:color w:val="auto"/>
              </w:rPr>
            </w:pPr>
            <w:r>
              <w:rPr>
                <w:rFonts w:ascii="Arial" w:cs="Arial" w:eastAsia="Arial" w:hAnsi="Arial"/>
                <w:sz w:val="14"/>
                <w:szCs w:val="14"/>
                <w:color w:val="auto"/>
              </w:rPr>
              <w:t>108.08</w:t>
            </w:r>
          </w:p>
        </w:tc>
        <w:tc>
          <w:tcPr>
            <w:tcW w:w="900" w:type="dxa"/>
            <w:vAlign w:val="bottom"/>
          </w:tcPr>
          <w:p>
            <w:pPr>
              <w:jc w:val="right"/>
              <w:ind w:right="48"/>
              <w:spacing w:after="0" w:line="157" w:lineRule="exact"/>
              <w:rPr>
                <w:sz w:val="20"/>
                <w:szCs w:val="20"/>
                <w:color w:val="auto"/>
              </w:rPr>
            </w:pPr>
            <w:r>
              <w:rPr>
                <w:rFonts w:ascii="Arial" w:cs="Arial" w:eastAsia="Arial" w:hAnsi="Arial"/>
                <w:sz w:val="14"/>
                <w:szCs w:val="14"/>
                <w:color w:val="auto"/>
              </w:rPr>
              <w:t>28.90</w:t>
            </w:r>
          </w:p>
        </w:tc>
        <w:tc>
          <w:tcPr>
            <w:tcW w:w="840" w:type="dxa"/>
            <w:vAlign w:val="bottom"/>
          </w:tcPr>
          <w:p>
            <w:pPr>
              <w:jc w:val="right"/>
              <w:ind w:right="28"/>
              <w:spacing w:after="0" w:line="157" w:lineRule="exact"/>
              <w:rPr>
                <w:sz w:val="20"/>
                <w:szCs w:val="20"/>
                <w:color w:val="auto"/>
              </w:rPr>
            </w:pPr>
            <w:r>
              <w:rPr>
                <w:rFonts w:ascii="Arial" w:cs="Arial" w:eastAsia="Arial" w:hAnsi="Arial"/>
                <w:sz w:val="14"/>
                <w:szCs w:val="14"/>
                <w:color w:val="auto"/>
              </w:rPr>
              <w:t>5.0</w:t>
            </w:r>
          </w:p>
        </w:tc>
        <w:tc>
          <w:tcPr>
            <w:tcW w:w="880" w:type="dxa"/>
            <w:vAlign w:val="bottom"/>
          </w:tcPr>
          <w:p>
            <w:pPr>
              <w:jc w:val="right"/>
              <w:ind w:right="28"/>
              <w:spacing w:after="0" w:line="157" w:lineRule="exact"/>
              <w:rPr>
                <w:sz w:val="20"/>
                <w:szCs w:val="20"/>
                <w:color w:val="auto"/>
              </w:rPr>
            </w:pPr>
            <w:r>
              <w:rPr>
                <w:rFonts w:ascii="Arial" w:cs="Arial" w:eastAsia="Arial" w:hAnsi="Arial"/>
                <w:sz w:val="14"/>
                <w:szCs w:val="14"/>
                <w:color w:val="auto"/>
              </w:rPr>
              <w:t>1.83</w:t>
            </w:r>
          </w:p>
        </w:tc>
        <w:tc>
          <w:tcPr>
            <w:tcW w:w="820" w:type="dxa"/>
            <w:vAlign w:val="bottom"/>
          </w:tcPr>
          <w:p>
            <w:pPr>
              <w:jc w:val="right"/>
              <w:ind w:right="48"/>
              <w:spacing w:after="0" w:line="157" w:lineRule="exact"/>
              <w:rPr>
                <w:sz w:val="20"/>
                <w:szCs w:val="20"/>
                <w:color w:val="auto"/>
              </w:rPr>
            </w:pPr>
            <w:r>
              <w:rPr>
                <w:rFonts w:ascii="Arial" w:cs="Arial" w:eastAsia="Arial" w:hAnsi="Arial"/>
                <w:sz w:val="14"/>
                <w:szCs w:val="14"/>
                <w:color w:val="auto"/>
              </w:rPr>
              <w:t>2.10</w:t>
            </w:r>
          </w:p>
        </w:tc>
        <w:tc>
          <w:tcPr>
            <w:tcW w:w="660" w:type="dxa"/>
            <w:vAlign w:val="bottom"/>
          </w:tcPr>
          <w:p>
            <w:pPr>
              <w:jc w:val="right"/>
              <w:ind w:right="8"/>
              <w:spacing w:after="0" w:line="157" w:lineRule="exact"/>
              <w:rPr>
                <w:sz w:val="20"/>
                <w:szCs w:val="20"/>
                <w:color w:val="auto"/>
              </w:rPr>
            </w:pPr>
            <w:r>
              <w:rPr>
                <w:rFonts w:ascii="Arial" w:cs="Arial" w:eastAsia="Arial" w:hAnsi="Arial"/>
                <w:sz w:val="14"/>
                <w:szCs w:val="14"/>
                <w:color w:val="auto"/>
              </w:rPr>
              <w:t>22.69</w:t>
            </w: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480" w:type="dxa"/>
            <w:vAlign w:val="bottom"/>
            <w:shd w:val="clear" w:color="auto" w:fill="E8EDF4"/>
          </w:tcPr>
          <w:p>
            <w:pPr>
              <w:ind w:left="20"/>
              <w:spacing w:after="0"/>
              <w:rPr>
                <w:sz w:val="20"/>
                <w:szCs w:val="20"/>
                <w:color w:val="auto"/>
              </w:rPr>
            </w:pPr>
            <w:r>
              <w:rPr>
                <w:rFonts w:ascii="Arial" w:cs="Arial" w:eastAsia="Arial" w:hAnsi="Arial"/>
                <w:sz w:val="14"/>
                <w:szCs w:val="14"/>
                <w:color w:val="auto"/>
              </w:rPr>
              <w:t>John Hassett</w:t>
            </w:r>
          </w:p>
        </w:tc>
        <w:tc>
          <w:tcPr>
            <w:tcW w:w="920" w:type="dxa"/>
            <w:vAlign w:val="bottom"/>
            <w:shd w:val="clear" w:color="auto" w:fill="E8EDF4"/>
          </w:tcPr>
          <w:p>
            <w:pPr>
              <w:jc w:val="right"/>
              <w:spacing w:after="0"/>
              <w:rPr>
                <w:sz w:val="20"/>
                <w:szCs w:val="20"/>
                <w:color w:val="auto"/>
              </w:rPr>
            </w:pPr>
            <w:r>
              <w:rPr>
                <w:rFonts w:ascii="Arial" w:cs="Arial" w:eastAsia="Arial" w:hAnsi="Arial"/>
                <w:sz w:val="14"/>
                <w:szCs w:val="14"/>
                <w:color w:val="auto"/>
              </w:rPr>
              <w:t>3/8/2017</w:t>
            </w:r>
          </w:p>
        </w:tc>
        <w:tc>
          <w:tcPr>
            <w:tcW w:w="1200" w:type="dxa"/>
            <w:vAlign w:val="bottom"/>
            <w:gridSpan w:val="3"/>
            <w:shd w:val="clear" w:color="auto" w:fill="E8EDF4"/>
          </w:tcPr>
          <w:p>
            <w:pPr>
              <w:jc w:val="right"/>
              <w:ind w:right="220"/>
              <w:spacing w:after="0"/>
              <w:rPr>
                <w:sz w:val="20"/>
                <w:szCs w:val="20"/>
                <w:color w:val="auto"/>
              </w:rPr>
            </w:pPr>
            <w:r>
              <w:rPr>
                <w:rFonts w:ascii="Arial" w:cs="Arial" w:eastAsia="Arial" w:hAnsi="Arial"/>
                <w:sz w:val="14"/>
                <w:szCs w:val="14"/>
                <w:color w:val="auto"/>
              </w:rPr>
              <w:t>4,278*</w:t>
            </w:r>
          </w:p>
        </w:tc>
        <w:tc>
          <w:tcPr>
            <w:tcW w:w="76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shd w:val="clear" w:color="auto" w:fill="E8EDF4"/>
          </w:tcPr>
          <w:p>
            <w:pPr>
              <w:jc w:val="right"/>
              <w:ind w:right="128"/>
              <w:spacing w:after="0"/>
              <w:rPr>
                <w:sz w:val="20"/>
                <w:szCs w:val="20"/>
                <w:color w:val="auto"/>
              </w:rPr>
            </w:pPr>
            <w:r>
              <w:rPr>
                <w:rFonts w:ascii="Arial" w:cs="Arial" w:eastAsia="Arial" w:hAnsi="Arial"/>
                <w:sz w:val="14"/>
                <w:szCs w:val="14"/>
                <w:color w:val="auto"/>
              </w:rPr>
              <w:t>—</w:t>
            </w:r>
          </w:p>
        </w:tc>
        <w:tc>
          <w:tcPr>
            <w:tcW w:w="840" w:type="dxa"/>
            <w:vAlign w:val="bottom"/>
            <w:shd w:val="clear" w:color="auto" w:fill="E8EDF4"/>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1.65</w:t>
            </w:r>
          </w:p>
        </w:tc>
        <w:tc>
          <w:tcPr>
            <w:tcW w:w="820" w:type="dxa"/>
            <w:vAlign w:val="bottom"/>
            <w:shd w:val="clear" w:color="auto" w:fill="E8EDF4"/>
          </w:tcPr>
          <w:p>
            <w:pPr>
              <w:jc w:val="right"/>
              <w:ind w:right="48"/>
              <w:spacing w:after="0"/>
              <w:rPr>
                <w:sz w:val="20"/>
                <w:szCs w:val="20"/>
                <w:color w:val="auto"/>
              </w:rPr>
            </w:pPr>
            <w:r>
              <w:rPr>
                <w:rFonts w:ascii="Arial" w:cs="Arial" w:eastAsia="Arial" w:hAnsi="Arial"/>
                <w:sz w:val="14"/>
                <w:szCs w:val="14"/>
                <w:color w:val="auto"/>
              </w:rPr>
              <w:t>2.16</w:t>
            </w:r>
          </w:p>
        </w:tc>
        <w:tc>
          <w:tcPr>
            <w:tcW w:w="660" w:type="dxa"/>
            <w:vAlign w:val="bottom"/>
            <w:shd w:val="clear" w:color="auto" w:fill="E8EDF4"/>
          </w:tcPr>
          <w:p>
            <w:pPr>
              <w:jc w:val="right"/>
              <w:ind w:right="8"/>
              <w:spacing w:after="0"/>
              <w:rPr>
                <w:sz w:val="20"/>
                <w:szCs w:val="20"/>
                <w:color w:val="auto"/>
              </w:rPr>
            </w:pPr>
            <w:r>
              <w:rPr>
                <w:rFonts w:ascii="Arial" w:cs="Arial" w:eastAsia="Arial" w:hAnsi="Arial"/>
                <w:sz w:val="14"/>
                <w:szCs w:val="14"/>
                <w:color w:val="auto"/>
              </w:rPr>
              <w:t>78.22</w:t>
            </w:r>
          </w:p>
        </w:tc>
        <w:tc>
          <w:tcPr>
            <w:tcW w:w="1560" w:type="dxa"/>
            <w:vAlign w:val="bottom"/>
            <w:shd w:val="clear" w:color="auto" w:fill="E8EDF4"/>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2480" w:type="dxa"/>
            <w:vAlign w:val="bottom"/>
            <w:shd w:val="clear" w:color="auto" w:fill="E8EDF4"/>
          </w:tcPr>
          <w:p>
            <w:pPr>
              <w:spacing w:after="0"/>
              <w:rPr>
                <w:sz w:val="14"/>
                <w:szCs w:val="14"/>
                <w:color w:val="auto"/>
              </w:rPr>
            </w:pPr>
          </w:p>
        </w:tc>
        <w:tc>
          <w:tcPr>
            <w:tcW w:w="920" w:type="dxa"/>
            <w:vAlign w:val="bottom"/>
            <w:shd w:val="clear" w:color="auto" w:fill="E8EDF4"/>
          </w:tcPr>
          <w:p>
            <w:pPr>
              <w:jc w:val="right"/>
              <w:spacing w:after="0"/>
              <w:rPr>
                <w:sz w:val="20"/>
                <w:szCs w:val="20"/>
                <w:color w:val="auto"/>
              </w:rPr>
            </w:pPr>
            <w:r>
              <w:rPr>
                <w:rFonts w:ascii="Arial" w:cs="Arial" w:eastAsia="Arial" w:hAnsi="Arial"/>
                <w:sz w:val="14"/>
                <w:szCs w:val="14"/>
                <w:color w:val="auto"/>
              </w:rPr>
              <w:t>3/8/2017</w:t>
            </w:r>
          </w:p>
        </w:tc>
        <w:tc>
          <w:tcPr>
            <w:tcW w:w="1200" w:type="dxa"/>
            <w:vAlign w:val="bottom"/>
            <w:gridSpan w:val="3"/>
            <w:shd w:val="clear" w:color="auto" w:fill="E8EDF4"/>
          </w:tcPr>
          <w:p>
            <w:pPr>
              <w:jc w:val="right"/>
              <w:ind w:right="160"/>
              <w:spacing w:after="0"/>
              <w:rPr>
                <w:sz w:val="20"/>
                <w:szCs w:val="20"/>
                <w:color w:val="auto"/>
              </w:rPr>
            </w:pPr>
            <w:r>
              <w:rPr>
                <w:rFonts w:ascii="Arial" w:cs="Arial" w:eastAsia="Arial" w:hAnsi="Arial"/>
                <w:sz w:val="14"/>
                <w:szCs w:val="14"/>
                <w:color w:val="auto"/>
              </w:rPr>
              <w:t>4,278**</w:t>
            </w:r>
          </w:p>
        </w:tc>
        <w:tc>
          <w:tcPr>
            <w:tcW w:w="76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shd w:val="clear" w:color="auto" w:fill="E8EDF4"/>
          </w:tcPr>
          <w:p>
            <w:pPr>
              <w:jc w:val="right"/>
              <w:ind w:right="48"/>
              <w:spacing w:after="0"/>
              <w:rPr>
                <w:sz w:val="20"/>
                <w:szCs w:val="20"/>
                <w:color w:val="auto"/>
              </w:rPr>
            </w:pPr>
            <w:r>
              <w:rPr>
                <w:rFonts w:ascii="Arial" w:cs="Arial" w:eastAsia="Arial" w:hAnsi="Arial"/>
                <w:sz w:val="14"/>
                <w:szCs w:val="14"/>
                <w:color w:val="auto"/>
              </w:rPr>
              <w:t>25.97</w:t>
            </w:r>
          </w:p>
        </w:tc>
        <w:tc>
          <w:tcPr>
            <w:tcW w:w="840" w:type="dxa"/>
            <w:vAlign w:val="bottom"/>
            <w:shd w:val="clear" w:color="auto" w:fill="E8EDF4"/>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1.64</w:t>
            </w:r>
          </w:p>
        </w:tc>
        <w:tc>
          <w:tcPr>
            <w:tcW w:w="820" w:type="dxa"/>
            <w:vAlign w:val="bottom"/>
            <w:shd w:val="clear" w:color="auto" w:fill="E8EDF4"/>
          </w:tcPr>
          <w:p>
            <w:pPr>
              <w:jc w:val="right"/>
              <w:ind w:right="48"/>
              <w:spacing w:after="0"/>
              <w:rPr>
                <w:sz w:val="20"/>
                <w:szCs w:val="20"/>
                <w:color w:val="auto"/>
              </w:rPr>
            </w:pPr>
            <w:r>
              <w:rPr>
                <w:rFonts w:ascii="Arial" w:cs="Arial" w:eastAsia="Arial" w:hAnsi="Arial"/>
                <w:sz w:val="14"/>
                <w:szCs w:val="14"/>
                <w:color w:val="auto"/>
              </w:rPr>
              <w:t>3.00</w:t>
            </w:r>
          </w:p>
        </w:tc>
        <w:tc>
          <w:tcPr>
            <w:tcW w:w="660" w:type="dxa"/>
            <w:vAlign w:val="bottom"/>
            <w:shd w:val="clear" w:color="auto" w:fill="E8EDF4"/>
          </w:tcPr>
          <w:p>
            <w:pPr>
              <w:jc w:val="right"/>
              <w:ind w:right="8"/>
              <w:spacing w:after="0"/>
              <w:rPr>
                <w:sz w:val="20"/>
                <w:szCs w:val="20"/>
                <w:color w:val="auto"/>
              </w:rPr>
            </w:pPr>
            <w:r>
              <w:rPr>
                <w:rFonts w:ascii="Arial" w:cs="Arial" w:eastAsia="Arial" w:hAnsi="Arial"/>
                <w:sz w:val="14"/>
                <w:szCs w:val="14"/>
                <w:color w:val="auto"/>
              </w:rPr>
              <w:t>94.25</w:t>
            </w:r>
          </w:p>
        </w:tc>
        <w:tc>
          <w:tcPr>
            <w:tcW w:w="1560" w:type="dxa"/>
            <w:vAlign w:val="bottom"/>
            <w:shd w:val="clear" w:color="auto" w:fill="E8EDF4"/>
          </w:tcPr>
          <w:p>
            <w:pPr>
              <w:jc w:val="right"/>
              <w:ind w:right="48"/>
              <w:spacing w:after="0"/>
              <w:rPr>
                <w:sz w:val="20"/>
                <w:szCs w:val="20"/>
                <w:color w:val="auto"/>
              </w:rPr>
            </w:pPr>
            <w:r>
              <w:rPr>
                <w:rFonts w:ascii="Arial" w:cs="Arial" w:eastAsia="Arial" w:hAnsi="Arial"/>
                <w:sz w:val="14"/>
                <w:szCs w:val="14"/>
                <w:color w:val="auto"/>
              </w:rPr>
              <w:t>806,403</w:t>
            </w:r>
          </w:p>
        </w:tc>
        <w:tc>
          <w:tcPr>
            <w:tcW w:w="0" w:type="dxa"/>
            <w:vAlign w:val="bottom"/>
          </w:tcPr>
          <w:p>
            <w:pPr>
              <w:spacing w:after="0"/>
              <w:rPr>
                <w:sz w:val="1"/>
                <w:szCs w:val="1"/>
                <w:color w:val="auto"/>
              </w:rPr>
            </w:pPr>
          </w:p>
        </w:tc>
      </w:tr>
      <w:tr>
        <w:trPr>
          <w:trHeight w:val="162"/>
        </w:trPr>
        <w:tc>
          <w:tcPr>
            <w:tcW w:w="2480" w:type="dxa"/>
            <w:vAlign w:val="bottom"/>
            <w:shd w:val="clear" w:color="auto" w:fill="E8EDF4"/>
          </w:tcPr>
          <w:p>
            <w:pPr>
              <w:spacing w:after="0"/>
              <w:rPr>
                <w:sz w:val="14"/>
                <w:szCs w:val="14"/>
                <w:color w:val="auto"/>
              </w:rPr>
            </w:pPr>
          </w:p>
        </w:tc>
        <w:tc>
          <w:tcPr>
            <w:tcW w:w="920" w:type="dxa"/>
            <w:vAlign w:val="bottom"/>
            <w:shd w:val="clear" w:color="auto" w:fill="E8EDF4"/>
          </w:tcPr>
          <w:p>
            <w:pPr>
              <w:jc w:val="right"/>
              <w:spacing w:after="0"/>
              <w:rPr>
                <w:sz w:val="20"/>
                <w:szCs w:val="20"/>
                <w:color w:val="auto"/>
              </w:rPr>
            </w:pPr>
            <w:r>
              <w:rPr>
                <w:rFonts w:ascii="Arial" w:cs="Arial" w:eastAsia="Arial" w:hAnsi="Arial"/>
                <w:sz w:val="14"/>
                <w:szCs w:val="14"/>
                <w:color w:val="auto"/>
              </w:rPr>
              <w:t>3/8/2017</w:t>
            </w:r>
          </w:p>
        </w:tc>
        <w:tc>
          <w:tcPr>
            <w:tcW w:w="920" w:type="dxa"/>
            <w:vAlign w:val="bottom"/>
            <w:gridSpan w:val="2"/>
            <w:shd w:val="clear" w:color="auto" w:fill="E8EDF4"/>
          </w:tcPr>
          <w:p>
            <w:pPr>
              <w:jc w:val="right"/>
              <w:spacing w:after="0"/>
              <w:rPr>
                <w:sz w:val="20"/>
                <w:szCs w:val="20"/>
                <w:color w:val="auto"/>
              </w:rPr>
            </w:pPr>
            <w:r>
              <w:rPr>
                <w:rFonts w:ascii="Arial" w:cs="Arial" w:eastAsia="Arial" w:hAnsi="Arial"/>
                <w:sz w:val="14"/>
                <w:szCs w:val="14"/>
                <w:color w:val="auto"/>
              </w:rPr>
              <w:t>19,548</w:t>
            </w:r>
          </w:p>
        </w:tc>
        <w:tc>
          <w:tcPr>
            <w:tcW w:w="280" w:type="dxa"/>
            <w:vAlign w:val="bottom"/>
            <w:shd w:val="clear" w:color="auto" w:fill="E8EDF4"/>
          </w:tcPr>
          <w:p>
            <w:pPr>
              <w:spacing w:after="0"/>
              <w:rPr>
                <w:sz w:val="14"/>
                <w:szCs w:val="14"/>
                <w:color w:val="auto"/>
              </w:rPr>
            </w:pPr>
          </w:p>
        </w:tc>
        <w:tc>
          <w:tcPr>
            <w:tcW w:w="760" w:type="dxa"/>
            <w:vAlign w:val="bottom"/>
            <w:shd w:val="clear" w:color="auto" w:fill="E8EDF4"/>
          </w:tcPr>
          <w:p>
            <w:pPr>
              <w:jc w:val="right"/>
              <w:spacing w:after="0"/>
              <w:rPr>
                <w:sz w:val="20"/>
                <w:szCs w:val="20"/>
                <w:color w:val="auto"/>
              </w:rPr>
            </w:pPr>
            <w:r>
              <w:rPr>
                <w:rFonts w:ascii="Arial" w:cs="Arial" w:eastAsia="Arial" w:hAnsi="Arial"/>
                <w:sz w:val="14"/>
                <w:szCs w:val="14"/>
                <w:color w:val="auto"/>
              </w:rPr>
              <w:t>83.48</w:t>
            </w:r>
          </w:p>
        </w:tc>
        <w:tc>
          <w:tcPr>
            <w:tcW w:w="900" w:type="dxa"/>
            <w:vAlign w:val="bottom"/>
            <w:shd w:val="clear" w:color="auto" w:fill="E8EDF4"/>
          </w:tcPr>
          <w:p>
            <w:pPr>
              <w:jc w:val="right"/>
              <w:ind w:right="48"/>
              <w:spacing w:after="0"/>
              <w:rPr>
                <w:sz w:val="20"/>
                <w:szCs w:val="20"/>
                <w:color w:val="auto"/>
              </w:rPr>
            </w:pPr>
            <w:r>
              <w:rPr>
                <w:rFonts w:ascii="Arial" w:cs="Arial" w:eastAsia="Arial" w:hAnsi="Arial"/>
                <w:sz w:val="14"/>
                <w:szCs w:val="14"/>
                <w:color w:val="auto"/>
              </w:rPr>
              <w:t>26.42</w:t>
            </w:r>
          </w:p>
        </w:tc>
        <w:tc>
          <w:tcPr>
            <w:tcW w:w="84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5.0</w:t>
            </w:r>
          </w:p>
        </w:tc>
        <w:tc>
          <w:tcPr>
            <w:tcW w:w="88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2.08</w:t>
            </w:r>
          </w:p>
        </w:tc>
        <w:tc>
          <w:tcPr>
            <w:tcW w:w="820" w:type="dxa"/>
            <w:vAlign w:val="bottom"/>
            <w:shd w:val="clear" w:color="auto" w:fill="E8EDF4"/>
          </w:tcPr>
          <w:p>
            <w:pPr>
              <w:jc w:val="right"/>
              <w:ind w:right="48"/>
              <w:spacing w:after="0"/>
              <w:rPr>
                <w:sz w:val="20"/>
                <w:szCs w:val="20"/>
                <w:color w:val="auto"/>
              </w:rPr>
            </w:pPr>
            <w:r>
              <w:rPr>
                <w:rFonts w:ascii="Arial" w:cs="Arial" w:eastAsia="Arial" w:hAnsi="Arial"/>
                <w:sz w:val="14"/>
                <w:szCs w:val="14"/>
                <w:color w:val="auto"/>
              </w:rPr>
              <w:t>2.16</w:t>
            </w:r>
          </w:p>
        </w:tc>
        <w:tc>
          <w:tcPr>
            <w:tcW w:w="660" w:type="dxa"/>
            <w:vAlign w:val="bottom"/>
            <w:shd w:val="clear" w:color="auto" w:fill="E8EDF4"/>
          </w:tcPr>
          <w:p>
            <w:pPr>
              <w:jc w:val="right"/>
              <w:ind w:right="8"/>
              <w:spacing w:after="0"/>
              <w:rPr>
                <w:sz w:val="20"/>
                <w:szCs w:val="20"/>
                <w:color w:val="auto"/>
              </w:rPr>
            </w:pPr>
            <w:r>
              <w:rPr>
                <w:rFonts w:ascii="Arial" w:cs="Arial" w:eastAsia="Arial" w:hAnsi="Arial"/>
                <w:sz w:val="14"/>
                <w:szCs w:val="14"/>
                <w:color w:val="auto"/>
              </w:rPr>
              <w:t>17.30</w:t>
            </w:r>
          </w:p>
        </w:tc>
        <w:tc>
          <w:tcPr>
            <w:tcW w:w="1560" w:type="dxa"/>
            <w:vAlign w:val="bottom"/>
            <w:shd w:val="clear" w:color="auto" w:fill="E8EDF4"/>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shd w:val="clear" w:color="auto" w:fill="E8EDF4"/>
          </w:tcPr>
          <w:p>
            <w:pPr>
              <w:spacing w:after="0"/>
              <w:rPr>
                <w:sz w:val="14"/>
                <w:szCs w:val="14"/>
                <w:color w:val="auto"/>
              </w:rPr>
            </w:pPr>
          </w:p>
        </w:tc>
        <w:tc>
          <w:tcPr>
            <w:tcW w:w="920" w:type="dxa"/>
            <w:vAlign w:val="bottom"/>
            <w:shd w:val="clear" w:color="auto" w:fill="E8EDF4"/>
          </w:tcPr>
          <w:p>
            <w:pPr>
              <w:jc w:val="right"/>
              <w:spacing w:after="0"/>
              <w:rPr>
                <w:sz w:val="20"/>
                <w:szCs w:val="20"/>
                <w:color w:val="auto"/>
              </w:rPr>
            </w:pPr>
            <w:r>
              <w:rPr>
                <w:rFonts w:ascii="Arial" w:cs="Arial" w:eastAsia="Arial" w:hAnsi="Arial"/>
                <w:sz w:val="14"/>
                <w:szCs w:val="14"/>
                <w:color w:val="auto"/>
              </w:rPr>
              <w:t>7/17/2017</w:t>
            </w:r>
          </w:p>
        </w:tc>
        <w:tc>
          <w:tcPr>
            <w:tcW w:w="1200" w:type="dxa"/>
            <w:vAlign w:val="bottom"/>
            <w:gridSpan w:val="3"/>
            <w:shd w:val="clear" w:color="auto" w:fill="E8EDF4"/>
          </w:tcPr>
          <w:p>
            <w:pPr>
              <w:jc w:val="right"/>
              <w:ind w:right="120"/>
              <w:spacing w:after="0"/>
              <w:rPr>
                <w:sz w:val="20"/>
                <w:szCs w:val="20"/>
                <w:color w:val="auto"/>
              </w:rPr>
            </w:pPr>
            <w:r>
              <w:rPr>
                <w:rFonts w:ascii="Arial" w:cs="Arial" w:eastAsia="Arial" w:hAnsi="Arial"/>
                <w:sz w:val="14"/>
                <w:szCs w:val="14"/>
                <w:color w:val="auto"/>
              </w:rPr>
              <w:t>16,232***</w:t>
            </w:r>
          </w:p>
        </w:tc>
        <w:tc>
          <w:tcPr>
            <w:tcW w:w="76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shd w:val="clear" w:color="auto" w:fill="E8EDF4"/>
          </w:tcPr>
          <w:p>
            <w:pPr>
              <w:jc w:val="right"/>
              <w:ind w:right="128"/>
              <w:spacing w:after="0"/>
              <w:rPr>
                <w:sz w:val="20"/>
                <w:szCs w:val="20"/>
                <w:color w:val="auto"/>
              </w:rPr>
            </w:pPr>
            <w:r>
              <w:rPr>
                <w:rFonts w:ascii="Arial" w:cs="Arial" w:eastAsia="Arial" w:hAnsi="Arial"/>
                <w:sz w:val="14"/>
                <w:szCs w:val="14"/>
                <w:color w:val="auto"/>
              </w:rPr>
              <w:t>—</w:t>
            </w:r>
          </w:p>
        </w:tc>
        <w:tc>
          <w:tcPr>
            <w:tcW w:w="840" w:type="dxa"/>
            <w:vAlign w:val="bottom"/>
            <w:shd w:val="clear" w:color="auto" w:fill="E8EDF4"/>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176.00</w:t>
            </w:r>
          </w:p>
        </w:tc>
        <w:tc>
          <w:tcPr>
            <w:tcW w:w="820" w:type="dxa"/>
            <w:vAlign w:val="bottom"/>
            <w:shd w:val="clear" w:color="auto" w:fill="E8EDF4"/>
          </w:tcPr>
          <w:p>
            <w:pPr>
              <w:jc w:val="right"/>
              <w:ind w:right="48"/>
              <w:spacing w:after="0"/>
              <w:rPr>
                <w:sz w:val="20"/>
                <w:szCs w:val="20"/>
                <w:color w:val="auto"/>
              </w:rPr>
            </w:pPr>
            <w:r>
              <w:rPr>
                <w:rFonts w:ascii="Arial" w:cs="Arial" w:eastAsia="Arial" w:hAnsi="Arial"/>
                <w:sz w:val="14"/>
                <w:szCs w:val="14"/>
                <w:color w:val="auto"/>
              </w:rPr>
              <w:t>1.97</w:t>
            </w:r>
          </w:p>
        </w:tc>
        <w:tc>
          <w:tcPr>
            <w:tcW w:w="660" w:type="dxa"/>
            <w:vAlign w:val="bottom"/>
            <w:shd w:val="clear" w:color="auto" w:fill="E8EDF4"/>
          </w:tcPr>
          <w:p>
            <w:pPr>
              <w:jc w:val="right"/>
              <w:ind w:right="8"/>
              <w:spacing w:after="0"/>
              <w:rPr>
                <w:sz w:val="20"/>
                <w:szCs w:val="20"/>
                <w:color w:val="auto"/>
              </w:rPr>
            </w:pPr>
            <w:r>
              <w:rPr>
                <w:rFonts w:ascii="Arial" w:cs="Arial" w:eastAsia="Arial" w:hAnsi="Arial"/>
                <w:sz w:val="14"/>
                <w:szCs w:val="14"/>
                <w:color w:val="auto"/>
              </w:rPr>
              <w:t>85.94</w:t>
            </w:r>
          </w:p>
        </w:tc>
        <w:tc>
          <w:tcPr>
            <w:tcW w:w="1560" w:type="dxa"/>
            <w:vAlign w:val="bottom"/>
            <w:shd w:val="clear" w:color="auto" w:fill="E8EDF4"/>
          </w:tcPr>
          <w:p>
            <w:pPr>
              <w:jc w:val="right"/>
              <w:ind w:right="48"/>
              <w:spacing w:after="0"/>
              <w:rPr>
                <w:sz w:val="20"/>
                <w:szCs w:val="20"/>
                <w:color w:val="auto"/>
              </w:rPr>
            </w:pPr>
            <w:r>
              <w:rPr>
                <w:rFonts w:ascii="Arial" w:cs="Arial" w:eastAsia="Arial" w:hAnsi="Arial"/>
                <w:sz w:val="14"/>
                <w:szCs w:val="14"/>
                <w:color w:val="auto"/>
              </w:rPr>
              <w:t>1,673,974</w:t>
            </w:r>
          </w:p>
        </w:tc>
        <w:tc>
          <w:tcPr>
            <w:tcW w:w="0" w:type="dxa"/>
            <w:vAlign w:val="bottom"/>
          </w:tcPr>
          <w:p>
            <w:pPr>
              <w:spacing w:after="0"/>
              <w:rPr>
                <w:sz w:val="1"/>
                <w:szCs w:val="1"/>
                <w:color w:val="auto"/>
              </w:rPr>
            </w:pPr>
          </w:p>
        </w:tc>
      </w:tr>
      <w:tr>
        <w:trPr>
          <w:trHeight w:val="162"/>
        </w:trPr>
        <w:tc>
          <w:tcPr>
            <w:tcW w:w="2480" w:type="dxa"/>
            <w:vAlign w:val="bottom"/>
            <w:shd w:val="clear" w:color="auto" w:fill="E8EDF4"/>
          </w:tcPr>
          <w:p>
            <w:pPr>
              <w:spacing w:after="0"/>
              <w:rPr>
                <w:sz w:val="14"/>
                <w:szCs w:val="14"/>
                <w:color w:val="auto"/>
              </w:rPr>
            </w:pPr>
          </w:p>
        </w:tc>
        <w:tc>
          <w:tcPr>
            <w:tcW w:w="920" w:type="dxa"/>
            <w:vAlign w:val="bottom"/>
            <w:shd w:val="clear" w:color="auto" w:fill="E8EDF4"/>
          </w:tcPr>
          <w:p>
            <w:pPr>
              <w:jc w:val="right"/>
              <w:spacing w:after="0"/>
              <w:rPr>
                <w:sz w:val="20"/>
                <w:szCs w:val="20"/>
                <w:color w:val="auto"/>
              </w:rPr>
            </w:pPr>
            <w:r>
              <w:rPr>
                <w:rFonts w:ascii="Arial" w:cs="Arial" w:eastAsia="Arial" w:hAnsi="Arial"/>
                <w:sz w:val="14"/>
                <w:szCs w:val="14"/>
                <w:color w:val="auto"/>
              </w:rPr>
              <w:t>3/29/2018</w:t>
            </w:r>
          </w:p>
        </w:tc>
        <w:tc>
          <w:tcPr>
            <w:tcW w:w="1200" w:type="dxa"/>
            <w:vAlign w:val="bottom"/>
            <w:gridSpan w:val="3"/>
            <w:shd w:val="clear" w:color="auto" w:fill="E8EDF4"/>
          </w:tcPr>
          <w:p>
            <w:pPr>
              <w:jc w:val="right"/>
              <w:ind w:right="220"/>
              <w:spacing w:after="0"/>
              <w:rPr>
                <w:sz w:val="20"/>
                <w:szCs w:val="20"/>
                <w:color w:val="auto"/>
              </w:rPr>
            </w:pPr>
            <w:r>
              <w:rPr>
                <w:rFonts w:ascii="Arial" w:cs="Arial" w:eastAsia="Arial" w:hAnsi="Arial"/>
                <w:sz w:val="14"/>
                <w:szCs w:val="14"/>
                <w:color w:val="auto"/>
              </w:rPr>
              <w:t>4,897*</w:t>
            </w:r>
          </w:p>
        </w:tc>
        <w:tc>
          <w:tcPr>
            <w:tcW w:w="76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shd w:val="clear" w:color="auto" w:fill="E8EDF4"/>
          </w:tcPr>
          <w:p>
            <w:pPr>
              <w:jc w:val="right"/>
              <w:ind w:right="128"/>
              <w:spacing w:after="0"/>
              <w:rPr>
                <w:sz w:val="20"/>
                <w:szCs w:val="20"/>
                <w:color w:val="auto"/>
              </w:rPr>
            </w:pPr>
            <w:r>
              <w:rPr>
                <w:rFonts w:ascii="Arial" w:cs="Arial" w:eastAsia="Arial" w:hAnsi="Arial"/>
                <w:sz w:val="14"/>
                <w:szCs w:val="14"/>
                <w:color w:val="auto"/>
              </w:rPr>
              <w:t>—</w:t>
            </w:r>
          </w:p>
        </w:tc>
        <w:tc>
          <w:tcPr>
            <w:tcW w:w="840" w:type="dxa"/>
            <w:vAlign w:val="bottom"/>
            <w:shd w:val="clear" w:color="auto" w:fill="E8EDF4"/>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2.54</w:t>
            </w:r>
          </w:p>
        </w:tc>
        <w:tc>
          <w:tcPr>
            <w:tcW w:w="820" w:type="dxa"/>
            <w:vAlign w:val="bottom"/>
            <w:shd w:val="clear" w:color="auto" w:fill="E8EDF4"/>
          </w:tcPr>
          <w:p>
            <w:pPr>
              <w:jc w:val="right"/>
              <w:ind w:right="48"/>
              <w:spacing w:after="0"/>
              <w:rPr>
                <w:sz w:val="20"/>
                <w:szCs w:val="20"/>
                <w:color w:val="auto"/>
              </w:rPr>
            </w:pPr>
            <w:r>
              <w:rPr>
                <w:rFonts w:ascii="Arial" w:cs="Arial" w:eastAsia="Arial" w:hAnsi="Arial"/>
                <w:sz w:val="14"/>
                <w:szCs w:val="14"/>
                <w:color w:val="auto"/>
              </w:rPr>
              <w:t>2.11</w:t>
            </w:r>
          </w:p>
        </w:tc>
        <w:tc>
          <w:tcPr>
            <w:tcW w:w="660" w:type="dxa"/>
            <w:vAlign w:val="bottom"/>
            <w:shd w:val="clear" w:color="auto" w:fill="E8EDF4"/>
          </w:tcPr>
          <w:p>
            <w:pPr>
              <w:jc w:val="right"/>
              <w:ind w:right="8"/>
              <w:spacing w:after="0"/>
              <w:rPr>
                <w:sz w:val="20"/>
                <w:szCs w:val="20"/>
                <w:color w:val="auto"/>
              </w:rPr>
            </w:pPr>
            <w:r>
              <w:rPr>
                <w:rFonts w:ascii="Arial" w:cs="Arial" w:eastAsia="Arial" w:hAnsi="Arial"/>
                <w:sz w:val="14"/>
                <w:szCs w:val="14"/>
                <w:color w:val="auto"/>
              </w:rPr>
              <w:t>86.51</w:t>
            </w:r>
          </w:p>
        </w:tc>
        <w:tc>
          <w:tcPr>
            <w:tcW w:w="1560" w:type="dxa"/>
            <w:vAlign w:val="bottom"/>
            <w:shd w:val="clear" w:color="auto" w:fill="E8EDF4"/>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shd w:val="clear" w:color="auto" w:fill="E8EDF4"/>
          </w:tcPr>
          <w:p>
            <w:pPr>
              <w:spacing w:after="0"/>
              <w:rPr>
                <w:sz w:val="14"/>
                <w:szCs w:val="14"/>
                <w:color w:val="auto"/>
              </w:rPr>
            </w:pPr>
          </w:p>
        </w:tc>
        <w:tc>
          <w:tcPr>
            <w:tcW w:w="920" w:type="dxa"/>
            <w:vAlign w:val="bottom"/>
            <w:shd w:val="clear" w:color="auto" w:fill="E8EDF4"/>
          </w:tcPr>
          <w:p>
            <w:pPr>
              <w:jc w:val="right"/>
              <w:spacing w:after="0"/>
              <w:rPr>
                <w:sz w:val="20"/>
                <w:szCs w:val="20"/>
                <w:color w:val="auto"/>
              </w:rPr>
            </w:pPr>
            <w:r>
              <w:rPr>
                <w:rFonts w:ascii="Arial" w:cs="Arial" w:eastAsia="Arial" w:hAnsi="Arial"/>
                <w:sz w:val="14"/>
                <w:szCs w:val="14"/>
                <w:color w:val="auto"/>
              </w:rPr>
              <w:t>3/29/2018</w:t>
            </w:r>
          </w:p>
        </w:tc>
        <w:tc>
          <w:tcPr>
            <w:tcW w:w="260" w:type="dxa"/>
            <w:vAlign w:val="bottom"/>
            <w:shd w:val="clear" w:color="auto" w:fill="E8EDF4"/>
          </w:tcPr>
          <w:p>
            <w:pPr>
              <w:spacing w:after="0"/>
              <w:rPr>
                <w:sz w:val="14"/>
                <w:szCs w:val="14"/>
                <w:color w:val="auto"/>
              </w:rPr>
            </w:pPr>
          </w:p>
        </w:tc>
        <w:tc>
          <w:tcPr>
            <w:tcW w:w="940" w:type="dxa"/>
            <w:vAlign w:val="bottom"/>
            <w:gridSpan w:val="2"/>
            <w:shd w:val="clear" w:color="auto" w:fill="E8EDF4"/>
          </w:tcPr>
          <w:p>
            <w:pPr>
              <w:jc w:val="right"/>
              <w:ind w:right="160"/>
              <w:spacing w:after="0"/>
              <w:rPr>
                <w:sz w:val="20"/>
                <w:szCs w:val="20"/>
                <w:color w:val="auto"/>
              </w:rPr>
            </w:pPr>
            <w:r>
              <w:rPr>
                <w:rFonts w:ascii="Arial" w:cs="Arial" w:eastAsia="Arial" w:hAnsi="Arial"/>
                <w:sz w:val="14"/>
                <w:szCs w:val="14"/>
                <w:color w:val="auto"/>
              </w:rPr>
              <w:t>4,897**</w:t>
            </w:r>
          </w:p>
        </w:tc>
        <w:tc>
          <w:tcPr>
            <w:tcW w:w="76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shd w:val="clear" w:color="auto" w:fill="E8EDF4"/>
          </w:tcPr>
          <w:p>
            <w:pPr>
              <w:jc w:val="right"/>
              <w:ind w:right="48"/>
              <w:spacing w:after="0"/>
              <w:rPr>
                <w:sz w:val="20"/>
                <w:szCs w:val="20"/>
                <w:color w:val="auto"/>
              </w:rPr>
            </w:pPr>
            <w:r>
              <w:rPr>
                <w:rFonts w:ascii="Arial" w:cs="Arial" w:eastAsia="Arial" w:hAnsi="Arial"/>
                <w:sz w:val="14"/>
                <w:szCs w:val="14"/>
                <w:color w:val="auto"/>
              </w:rPr>
              <w:t>25.63</w:t>
            </w:r>
          </w:p>
        </w:tc>
        <w:tc>
          <w:tcPr>
            <w:tcW w:w="840" w:type="dxa"/>
            <w:vAlign w:val="bottom"/>
            <w:shd w:val="clear" w:color="auto" w:fill="E8EDF4"/>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2.37</w:t>
            </w:r>
          </w:p>
        </w:tc>
        <w:tc>
          <w:tcPr>
            <w:tcW w:w="820" w:type="dxa"/>
            <w:vAlign w:val="bottom"/>
            <w:shd w:val="clear" w:color="auto" w:fill="E8EDF4"/>
          </w:tcPr>
          <w:p>
            <w:pPr>
              <w:jc w:val="right"/>
              <w:ind w:right="48"/>
              <w:spacing w:after="0"/>
              <w:rPr>
                <w:sz w:val="20"/>
                <w:szCs w:val="20"/>
                <w:color w:val="auto"/>
              </w:rPr>
            </w:pPr>
            <w:r>
              <w:rPr>
                <w:rFonts w:ascii="Arial" w:cs="Arial" w:eastAsia="Arial" w:hAnsi="Arial"/>
                <w:sz w:val="14"/>
                <w:szCs w:val="14"/>
                <w:color w:val="auto"/>
              </w:rPr>
              <w:t>2.08</w:t>
            </w:r>
          </w:p>
        </w:tc>
        <w:tc>
          <w:tcPr>
            <w:tcW w:w="660" w:type="dxa"/>
            <w:vAlign w:val="bottom"/>
            <w:shd w:val="clear" w:color="auto" w:fill="E8EDF4"/>
          </w:tcPr>
          <w:p>
            <w:pPr>
              <w:jc w:val="right"/>
              <w:ind w:right="8"/>
              <w:spacing w:after="0"/>
              <w:rPr>
                <w:sz w:val="20"/>
                <w:szCs w:val="20"/>
                <w:color w:val="auto"/>
              </w:rPr>
            </w:pPr>
            <w:r>
              <w:rPr>
                <w:rFonts w:ascii="Arial" w:cs="Arial" w:eastAsia="Arial" w:hAnsi="Arial"/>
                <w:sz w:val="14"/>
                <w:szCs w:val="14"/>
                <w:color w:val="auto"/>
              </w:rPr>
              <w:t>101.23</w:t>
            </w:r>
          </w:p>
        </w:tc>
        <w:tc>
          <w:tcPr>
            <w:tcW w:w="1560" w:type="dxa"/>
            <w:vAlign w:val="bottom"/>
            <w:shd w:val="clear" w:color="auto" w:fill="E8EDF4"/>
          </w:tcPr>
          <w:p>
            <w:pPr>
              <w:jc w:val="right"/>
              <w:ind w:right="48"/>
              <w:spacing w:after="0"/>
              <w:rPr>
                <w:sz w:val="20"/>
                <w:szCs w:val="20"/>
                <w:color w:val="auto"/>
              </w:rPr>
            </w:pPr>
            <w:r>
              <w:rPr>
                <w:rFonts w:ascii="Arial" w:cs="Arial" w:eastAsia="Arial" w:hAnsi="Arial"/>
                <w:sz w:val="14"/>
                <w:szCs w:val="14"/>
                <w:color w:val="auto"/>
              </w:rPr>
              <w:t>991,447</w:t>
            </w:r>
          </w:p>
        </w:tc>
        <w:tc>
          <w:tcPr>
            <w:tcW w:w="0" w:type="dxa"/>
            <w:vAlign w:val="bottom"/>
          </w:tcPr>
          <w:p>
            <w:pPr>
              <w:spacing w:after="0"/>
              <w:rPr>
                <w:sz w:val="1"/>
                <w:szCs w:val="1"/>
                <w:color w:val="auto"/>
              </w:rPr>
            </w:pPr>
          </w:p>
        </w:tc>
      </w:tr>
      <w:tr>
        <w:trPr>
          <w:trHeight w:val="162"/>
        </w:trPr>
        <w:tc>
          <w:tcPr>
            <w:tcW w:w="2480" w:type="dxa"/>
            <w:vAlign w:val="bottom"/>
            <w:shd w:val="clear" w:color="auto" w:fill="E8EDF4"/>
          </w:tcPr>
          <w:p>
            <w:pPr>
              <w:spacing w:after="0"/>
              <w:rPr>
                <w:sz w:val="14"/>
                <w:szCs w:val="14"/>
                <w:color w:val="auto"/>
              </w:rPr>
            </w:pPr>
          </w:p>
        </w:tc>
        <w:tc>
          <w:tcPr>
            <w:tcW w:w="920" w:type="dxa"/>
            <w:vAlign w:val="bottom"/>
            <w:shd w:val="clear" w:color="auto" w:fill="E8EDF4"/>
          </w:tcPr>
          <w:p>
            <w:pPr>
              <w:jc w:val="right"/>
              <w:spacing w:after="0"/>
              <w:rPr>
                <w:sz w:val="20"/>
                <w:szCs w:val="20"/>
                <w:color w:val="auto"/>
              </w:rPr>
            </w:pPr>
            <w:r>
              <w:rPr>
                <w:rFonts w:ascii="Arial" w:cs="Arial" w:eastAsia="Arial" w:hAnsi="Arial"/>
                <w:sz w:val="14"/>
                <w:szCs w:val="14"/>
                <w:color w:val="auto"/>
              </w:rPr>
              <w:t>3/29/2018</w:t>
            </w:r>
          </w:p>
        </w:tc>
        <w:tc>
          <w:tcPr>
            <w:tcW w:w="260" w:type="dxa"/>
            <w:vAlign w:val="bottom"/>
            <w:shd w:val="clear" w:color="auto" w:fill="E8EDF4"/>
          </w:tcPr>
          <w:p>
            <w:pPr>
              <w:spacing w:after="0"/>
              <w:rPr>
                <w:sz w:val="14"/>
                <w:szCs w:val="14"/>
                <w:color w:val="auto"/>
              </w:rPr>
            </w:pPr>
          </w:p>
        </w:tc>
        <w:tc>
          <w:tcPr>
            <w:tcW w:w="660" w:type="dxa"/>
            <w:vAlign w:val="bottom"/>
            <w:shd w:val="clear" w:color="auto" w:fill="E8EDF4"/>
          </w:tcPr>
          <w:p>
            <w:pPr>
              <w:jc w:val="right"/>
              <w:spacing w:after="0"/>
              <w:rPr>
                <w:sz w:val="20"/>
                <w:szCs w:val="20"/>
                <w:color w:val="auto"/>
              </w:rPr>
            </w:pPr>
            <w:r>
              <w:rPr>
                <w:rFonts w:ascii="Arial" w:cs="Arial" w:eastAsia="Arial" w:hAnsi="Arial"/>
                <w:sz w:val="14"/>
                <w:szCs w:val="14"/>
                <w:color w:val="auto"/>
              </w:rPr>
              <w:t>20,552</w:t>
            </w:r>
          </w:p>
        </w:tc>
        <w:tc>
          <w:tcPr>
            <w:tcW w:w="280" w:type="dxa"/>
            <w:vAlign w:val="bottom"/>
            <w:shd w:val="clear" w:color="auto" w:fill="E8EDF4"/>
          </w:tcPr>
          <w:p>
            <w:pPr>
              <w:spacing w:after="0"/>
              <w:rPr>
                <w:sz w:val="14"/>
                <w:szCs w:val="14"/>
                <w:color w:val="auto"/>
              </w:rPr>
            </w:pPr>
          </w:p>
        </w:tc>
        <w:tc>
          <w:tcPr>
            <w:tcW w:w="760" w:type="dxa"/>
            <w:vAlign w:val="bottom"/>
            <w:shd w:val="clear" w:color="auto" w:fill="E8EDF4"/>
          </w:tcPr>
          <w:p>
            <w:pPr>
              <w:jc w:val="right"/>
              <w:spacing w:after="0"/>
              <w:rPr>
                <w:sz w:val="20"/>
                <w:szCs w:val="20"/>
                <w:color w:val="auto"/>
              </w:rPr>
            </w:pPr>
            <w:r>
              <w:rPr>
                <w:rFonts w:ascii="Arial" w:cs="Arial" w:eastAsia="Arial" w:hAnsi="Arial"/>
                <w:sz w:val="14"/>
                <w:szCs w:val="14"/>
                <w:color w:val="auto"/>
              </w:rPr>
              <w:t>91.13</w:t>
            </w:r>
          </w:p>
        </w:tc>
        <w:tc>
          <w:tcPr>
            <w:tcW w:w="900" w:type="dxa"/>
            <w:vAlign w:val="bottom"/>
            <w:shd w:val="clear" w:color="auto" w:fill="E8EDF4"/>
          </w:tcPr>
          <w:p>
            <w:pPr>
              <w:jc w:val="right"/>
              <w:ind w:right="48"/>
              <w:spacing w:after="0"/>
              <w:rPr>
                <w:sz w:val="20"/>
                <w:szCs w:val="20"/>
                <w:color w:val="auto"/>
              </w:rPr>
            </w:pPr>
            <w:r>
              <w:rPr>
                <w:rFonts w:ascii="Arial" w:cs="Arial" w:eastAsia="Arial" w:hAnsi="Arial"/>
                <w:sz w:val="14"/>
                <w:szCs w:val="14"/>
                <w:color w:val="auto"/>
              </w:rPr>
              <w:t>27.77</w:t>
            </w:r>
          </w:p>
        </w:tc>
        <w:tc>
          <w:tcPr>
            <w:tcW w:w="84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5.0</w:t>
            </w:r>
          </w:p>
        </w:tc>
        <w:tc>
          <w:tcPr>
            <w:tcW w:w="88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2.64</w:t>
            </w:r>
          </w:p>
        </w:tc>
        <w:tc>
          <w:tcPr>
            <w:tcW w:w="820" w:type="dxa"/>
            <w:vAlign w:val="bottom"/>
            <w:shd w:val="clear" w:color="auto" w:fill="E8EDF4"/>
          </w:tcPr>
          <w:p>
            <w:pPr>
              <w:jc w:val="right"/>
              <w:ind w:right="48"/>
              <w:spacing w:after="0"/>
              <w:rPr>
                <w:sz w:val="20"/>
                <w:szCs w:val="20"/>
                <w:color w:val="auto"/>
              </w:rPr>
            </w:pPr>
            <w:r>
              <w:rPr>
                <w:rFonts w:ascii="Arial" w:cs="Arial" w:eastAsia="Arial" w:hAnsi="Arial"/>
                <w:sz w:val="14"/>
                <w:szCs w:val="14"/>
                <w:color w:val="auto"/>
              </w:rPr>
              <w:t>2.11</w:t>
            </w:r>
          </w:p>
        </w:tc>
        <w:tc>
          <w:tcPr>
            <w:tcW w:w="660" w:type="dxa"/>
            <w:vAlign w:val="bottom"/>
            <w:shd w:val="clear" w:color="auto" w:fill="E8EDF4"/>
          </w:tcPr>
          <w:p>
            <w:pPr>
              <w:jc w:val="right"/>
              <w:ind w:right="8"/>
              <w:spacing w:after="0"/>
              <w:rPr>
                <w:sz w:val="20"/>
                <w:szCs w:val="20"/>
                <w:color w:val="auto"/>
              </w:rPr>
            </w:pPr>
            <w:r>
              <w:rPr>
                <w:rFonts w:ascii="Arial" w:cs="Arial" w:eastAsia="Arial" w:hAnsi="Arial"/>
                <w:sz w:val="14"/>
                <w:szCs w:val="14"/>
                <w:color w:val="auto"/>
              </w:rPr>
              <w:t>20.83</w:t>
            </w:r>
          </w:p>
        </w:tc>
        <w:tc>
          <w:tcPr>
            <w:tcW w:w="1560" w:type="dxa"/>
            <w:vAlign w:val="bottom"/>
            <w:shd w:val="clear" w:color="auto" w:fill="E8EDF4"/>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shd w:val="clear" w:color="auto" w:fill="E8EDF4"/>
          </w:tcPr>
          <w:p>
            <w:pPr>
              <w:spacing w:after="0"/>
              <w:rPr>
                <w:sz w:val="14"/>
                <w:szCs w:val="14"/>
                <w:color w:val="auto"/>
              </w:rPr>
            </w:pPr>
          </w:p>
        </w:tc>
        <w:tc>
          <w:tcPr>
            <w:tcW w:w="920" w:type="dxa"/>
            <w:vAlign w:val="bottom"/>
            <w:shd w:val="clear" w:color="auto" w:fill="E8EDF4"/>
          </w:tcPr>
          <w:p>
            <w:pPr>
              <w:jc w:val="right"/>
              <w:spacing w:after="0"/>
              <w:rPr>
                <w:sz w:val="20"/>
                <w:szCs w:val="20"/>
                <w:color w:val="auto"/>
              </w:rPr>
            </w:pPr>
            <w:r>
              <w:rPr>
                <w:rFonts w:ascii="Arial" w:cs="Arial" w:eastAsia="Arial" w:hAnsi="Arial"/>
                <w:sz w:val="14"/>
                <w:szCs w:val="14"/>
                <w:color w:val="auto"/>
              </w:rPr>
              <w:t>9/17/2018</w:t>
            </w:r>
          </w:p>
        </w:tc>
        <w:tc>
          <w:tcPr>
            <w:tcW w:w="260" w:type="dxa"/>
            <w:vAlign w:val="bottom"/>
            <w:shd w:val="clear" w:color="auto" w:fill="E8EDF4"/>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3,334*</w:t>
            </w:r>
          </w:p>
        </w:tc>
        <w:tc>
          <w:tcPr>
            <w:tcW w:w="280" w:type="dxa"/>
            <w:vAlign w:val="bottom"/>
            <w:shd w:val="clear" w:color="auto" w:fill="E8EDF4"/>
          </w:tcPr>
          <w:p>
            <w:pPr>
              <w:spacing w:after="0"/>
              <w:rPr>
                <w:sz w:val="14"/>
                <w:szCs w:val="14"/>
                <w:color w:val="auto"/>
              </w:rPr>
            </w:pPr>
          </w:p>
        </w:tc>
        <w:tc>
          <w:tcPr>
            <w:tcW w:w="76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shd w:val="clear" w:color="auto" w:fill="E8EDF4"/>
          </w:tcPr>
          <w:p>
            <w:pPr>
              <w:jc w:val="right"/>
              <w:ind w:right="128"/>
              <w:spacing w:after="0"/>
              <w:rPr>
                <w:sz w:val="20"/>
                <w:szCs w:val="20"/>
                <w:color w:val="auto"/>
              </w:rPr>
            </w:pPr>
            <w:r>
              <w:rPr>
                <w:rFonts w:ascii="Arial" w:cs="Arial" w:eastAsia="Arial" w:hAnsi="Arial"/>
                <w:sz w:val="14"/>
                <w:szCs w:val="14"/>
                <w:color w:val="auto"/>
              </w:rPr>
              <w:t>—</w:t>
            </w:r>
          </w:p>
        </w:tc>
        <w:tc>
          <w:tcPr>
            <w:tcW w:w="840" w:type="dxa"/>
            <w:vAlign w:val="bottom"/>
            <w:shd w:val="clear" w:color="auto" w:fill="E8EDF4"/>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2.87</w:t>
            </w:r>
          </w:p>
        </w:tc>
        <w:tc>
          <w:tcPr>
            <w:tcW w:w="820" w:type="dxa"/>
            <w:vAlign w:val="bottom"/>
            <w:shd w:val="clear" w:color="auto" w:fill="E8EDF4"/>
          </w:tcPr>
          <w:p>
            <w:pPr>
              <w:jc w:val="right"/>
              <w:ind w:right="48"/>
              <w:spacing w:after="0"/>
              <w:rPr>
                <w:sz w:val="20"/>
                <w:szCs w:val="20"/>
                <w:color w:val="auto"/>
              </w:rPr>
            </w:pPr>
            <w:r>
              <w:rPr>
                <w:rFonts w:ascii="Arial" w:cs="Arial" w:eastAsia="Arial" w:hAnsi="Arial"/>
                <w:sz w:val="14"/>
                <w:szCs w:val="14"/>
                <w:color w:val="auto"/>
              </w:rPr>
              <w:t>2.10</w:t>
            </w:r>
          </w:p>
        </w:tc>
        <w:tc>
          <w:tcPr>
            <w:tcW w:w="660" w:type="dxa"/>
            <w:vAlign w:val="bottom"/>
            <w:shd w:val="clear" w:color="auto" w:fill="E8EDF4"/>
          </w:tcPr>
          <w:p>
            <w:pPr>
              <w:jc w:val="right"/>
              <w:ind w:right="8"/>
              <w:spacing w:after="0"/>
              <w:rPr>
                <w:sz w:val="20"/>
                <w:szCs w:val="20"/>
                <w:color w:val="auto"/>
              </w:rPr>
            </w:pPr>
            <w:r>
              <w:rPr>
                <w:rFonts w:ascii="Arial" w:cs="Arial" w:eastAsia="Arial" w:hAnsi="Arial"/>
                <w:sz w:val="14"/>
                <w:szCs w:val="14"/>
                <w:color w:val="auto"/>
              </w:rPr>
              <w:t>86.72</w:t>
            </w:r>
          </w:p>
        </w:tc>
        <w:tc>
          <w:tcPr>
            <w:tcW w:w="1560" w:type="dxa"/>
            <w:vAlign w:val="bottom"/>
            <w:shd w:val="clear" w:color="auto" w:fill="E8EDF4"/>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shd w:val="clear" w:color="auto" w:fill="E8EDF4"/>
          </w:tcPr>
          <w:p>
            <w:pPr>
              <w:spacing w:after="0"/>
              <w:rPr>
                <w:sz w:val="14"/>
                <w:szCs w:val="14"/>
                <w:color w:val="auto"/>
              </w:rPr>
            </w:pPr>
          </w:p>
        </w:tc>
        <w:tc>
          <w:tcPr>
            <w:tcW w:w="920" w:type="dxa"/>
            <w:vAlign w:val="bottom"/>
            <w:shd w:val="clear" w:color="auto" w:fill="E8EDF4"/>
          </w:tcPr>
          <w:p>
            <w:pPr>
              <w:jc w:val="right"/>
              <w:spacing w:after="0"/>
              <w:rPr>
                <w:sz w:val="20"/>
                <w:szCs w:val="20"/>
                <w:color w:val="auto"/>
              </w:rPr>
            </w:pPr>
            <w:r>
              <w:rPr>
                <w:rFonts w:ascii="Arial" w:cs="Arial" w:eastAsia="Arial" w:hAnsi="Arial"/>
                <w:sz w:val="14"/>
                <w:szCs w:val="14"/>
                <w:color w:val="auto"/>
              </w:rPr>
              <w:t>3/13/2019</w:t>
            </w:r>
          </w:p>
        </w:tc>
        <w:tc>
          <w:tcPr>
            <w:tcW w:w="260" w:type="dxa"/>
            <w:vAlign w:val="bottom"/>
            <w:shd w:val="clear" w:color="auto" w:fill="E8EDF4"/>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3,992*</w:t>
            </w:r>
          </w:p>
        </w:tc>
        <w:tc>
          <w:tcPr>
            <w:tcW w:w="280" w:type="dxa"/>
            <w:vAlign w:val="bottom"/>
          </w:tcPr>
          <w:p>
            <w:pPr>
              <w:spacing w:after="0"/>
              <w:rPr>
                <w:sz w:val="14"/>
                <w:szCs w:val="14"/>
                <w:color w:val="auto"/>
              </w:rPr>
            </w:pPr>
          </w:p>
        </w:tc>
        <w:tc>
          <w:tcPr>
            <w:tcW w:w="76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shd w:val="clear" w:color="auto" w:fill="E8EDF4"/>
          </w:tcPr>
          <w:p>
            <w:pPr>
              <w:jc w:val="right"/>
              <w:ind w:right="128"/>
              <w:spacing w:after="0"/>
              <w:rPr>
                <w:sz w:val="20"/>
                <w:szCs w:val="20"/>
                <w:color w:val="auto"/>
              </w:rPr>
            </w:pPr>
            <w:r>
              <w:rPr>
                <w:rFonts w:ascii="Arial" w:cs="Arial" w:eastAsia="Arial" w:hAnsi="Arial"/>
                <w:sz w:val="14"/>
                <w:szCs w:val="14"/>
                <w:color w:val="auto"/>
              </w:rPr>
              <w:t>—</w:t>
            </w:r>
          </w:p>
        </w:tc>
        <w:tc>
          <w:tcPr>
            <w:tcW w:w="840" w:type="dxa"/>
            <w:vAlign w:val="bottom"/>
            <w:shd w:val="clear" w:color="auto" w:fill="E8EDF4"/>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2.42</w:t>
            </w:r>
          </w:p>
        </w:tc>
        <w:tc>
          <w:tcPr>
            <w:tcW w:w="820" w:type="dxa"/>
            <w:vAlign w:val="bottom"/>
            <w:shd w:val="clear" w:color="auto" w:fill="E8EDF4"/>
          </w:tcPr>
          <w:p>
            <w:pPr>
              <w:jc w:val="right"/>
              <w:ind w:right="48"/>
              <w:spacing w:after="0"/>
              <w:rPr>
                <w:sz w:val="20"/>
                <w:szCs w:val="20"/>
                <w:color w:val="auto"/>
              </w:rPr>
            </w:pPr>
            <w:r>
              <w:rPr>
                <w:rFonts w:ascii="Arial" w:cs="Arial" w:eastAsia="Arial" w:hAnsi="Arial"/>
                <w:sz w:val="14"/>
                <w:szCs w:val="14"/>
                <w:color w:val="auto"/>
              </w:rPr>
              <w:t>2.00</w:t>
            </w:r>
          </w:p>
        </w:tc>
        <w:tc>
          <w:tcPr>
            <w:tcW w:w="660" w:type="dxa"/>
            <w:vAlign w:val="bottom"/>
            <w:shd w:val="clear" w:color="auto" w:fill="E8EDF4"/>
          </w:tcPr>
          <w:p>
            <w:pPr>
              <w:jc w:val="right"/>
              <w:ind w:right="8"/>
              <w:spacing w:after="0"/>
              <w:rPr>
                <w:sz w:val="20"/>
                <w:szCs w:val="20"/>
                <w:color w:val="auto"/>
              </w:rPr>
            </w:pPr>
            <w:r>
              <w:rPr>
                <w:rFonts w:ascii="Arial" w:cs="Arial" w:eastAsia="Arial" w:hAnsi="Arial"/>
                <w:sz w:val="14"/>
                <w:szCs w:val="14"/>
                <w:color w:val="auto"/>
              </w:rPr>
              <w:t>102.89</w:t>
            </w:r>
          </w:p>
        </w:tc>
        <w:tc>
          <w:tcPr>
            <w:tcW w:w="1560" w:type="dxa"/>
            <w:vAlign w:val="bottom"/>
            <w:shd w:val="clear" w:color="auto" w:fill="E8EDF4"/>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shd w:val="clear" w:color="auto" w:fill="E8EDF4"/>
          </w:tcPr>
          <w:p>
            <w:pPr>
              <w:spacing w:after="0"/>
              <w:rPr>
                <w:sz w:val="14"/>
                <w:szCs w:val="14"/>
                <w:color w:val="auto"/>
              </w:rPr>
            </w:pPr>
          </w:p>
        </w:tc>
        <w:tc>
          <w:tcPr>
            <w:tcW w:w="920" w:type="dxa"/>
            <w:vAlign w:val="bottom"/>
            <w:shd w:val="clear" w:color="auto" w:fill="E8EDF4"/>
          </w:tcPr>
          <w:p>
            <w:pPr>
              <w:jc w:val="right"/>
              <w:spacing w:after="0"/>
              <w:rPr>
                <w:sz w:val="20"/>
                <w:szCs w:val="20"/>
                <w:color w:val="auto"/>
              </w:rPr>
            </w:pPr>
            <w:r>
              <w:rPr>
                <w:rFonts w:ascii="Arial" w:cs="Arial" w:eastAsia="Arial" w:hAnsi="Arial"/>
                <w:sz w:val="14"/>
                <w:szCs w:val="14"/>
                <w:color w:val="auto"/>
              </w:rPr>
              <w:t>3/13/2019</w:t>
            </w:r>
          </w:p>
        </w:tc>
        <w:tc>
          <w:tcPr>
            <w:tcW w:w="260" w:type="dxa"/>
            <w:vAlign w:val="bottom"/>
            <w:shd w:val="clear" w:color="auto" w:fill="E8EDF4"/>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3,992**</w:t>
            </w:r>
          </w:p>
        </w:tc>
        <w:tc>
          <w:tcPr>
            <w:tcW w:w="280" w:type="dxa"/>
            <w:vAlign w:val="bottom"/>
          </w:tcPr>
          <w:p>
            <w:pPr>
              <w:spacing w:after="0"/>
              <w:rPr>
                <w:sz w:val="14"/>
                <w:szCs w:val="14"/>
                <w:color w:val="auto"/>
              </w:rPr>
            </w:pPr>
          </w:p>
        </w:tc>
        <w:tc>
          <w:tcPr>
            <w:tcW w:w="76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shd w:val="clear" w:color="auto" w:fill="E8EDF4"/>
          </w:tcPr>
          <w:p>
            <w:pPr>
              <w:jc w:val="right"/>
              <w:ind w:right="48"/>
              <w:spacing w:after="0"/>
              <w:rPr>
                <w:sz w:val="20"/>
                <w:szCs w:val="20"/>
                <w:color w:val="auto"/>
              </w:rPr>
            </w:pPr>
            <w:r>
              <w:rPr>
                <w:rFonts w:ascii="Arial" w:cs="Arial" w:eastAsia="Arial" w:hAnsi="Arial"/>
                <w:sz w:val="14"/>
                <w:szCs w:val="14"/>
                <w:color w:val="auto"/>
              </w:rPr>
              <w:t>24.07</w:t>
            </w:r>
          </w:p>
        </w:tc>
        <w:tc>
          <w:tcPr>
            <w:tcW w:w="840" w:type="dxa"/>
            <w:vAlign w:val="bottom"/>
            <w:shd w:val="clear" w:color="auto" w:fill="E8EDF4"/>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2.38</w:t>
            </w:r>
          </w:p>
        </w:tc>
        <w:tc>
          <w:tcPr>
            <w:tcW w:w="820" w:type="dxa"/>
            <w:vAlign w:val="bottom"/>
            <w:shd w:val="clear" w:color="auto" w:fill="E8EDF4"/>
          </w:tcPr>
          <w:p>
            <w:pPr>
              <w:jc w:val="right"/>
              <w:ind w:right="48"/>
              <w:spacing w:after="0"/>
              <w:rPr>
                <w:sz w:val="20"/>
                <w:szCs w:val="20"/>
                <w:color w:val="auto"/>
              </w:rPr>
            </w:pPr>
            <w:r>
              <w:rPr>
                <w:rFonts w:ascii="Arial" w:cs="Arial" w:eastAsia="Arial" w:hAnsi="Arial"/>
                <w:sz w:val="14"/>
                <w:szCs w:val="14"/>
                <w:color w:val="auto"/>
              </w:rPr>
              <w:t>2.00</w:t>
            </w:r>
          </w:p>
        </w:tc>
        <w:tc>
          <w:tcPr>
            <w:tcW w:w="660" w:type="dxa"/>
            <w:vAlign w:val="bottom"/>
            <w:shd w:val="clear" w:color="auto" w:fill="E8EDF4"/>
          </w:tcPr>
          <w:p>
            <w:pPr>
              <w:jc w:val="right"/>
              <w:ind w:right="8"/>
              <w:spacing w:after="0"/>
              <w:rPr>
                <w:sz w:val="20"/>
                <w:szCs w:val="20"/>
                <w:color w:val="auto"/>
              </w:rPr>
            </w:pPr>
            <w:r>
              <w:rPr>
                <w:rFonts w:ascii="Arial" w:cs="Arial" w:eastAsia="Arial" w:hAnsi="Arial"/>
                <w:sz w:val="14"/>
                <w:szCs w:val="14"/>
                <w:color w:val="auto"/>
              </w:rPr>
              <w:t>114.36</w:t>
            </w:r>
          </w:p>
        </w:tc>
        <w:tc>
          <w:tcPr>
            <w:tcW w:w="1560" w:type="dxa"/>
            <w:vAlign w:val="bottom"/>
            <w:shd w:val="clear" w:color="auto" w:fill="E8EDF4"/>
          </w:tcPr>
          <w:p>
            <w:pPr>
              <w:jc w:val="right"/>
              <w:ind w:right="48"/>
              <w:spacing w:after="0"/>
              <w:rPr>
                <w:sz w:val="20"/>
                <w:szCs w:val="20"/>
                <w:color w:val="auto"/>
              </w:rPr>
            </w:pPr>
            <w:r>
              <w:rPr>
                <w:rFonts w:ascii="Arial" w:cs="Arial" w:eastAsia="Arial" w:hAnsi="Arial"/>
                <w:sz w:val="14"/>
                <w:szCs w:val="14"/>
                <w:color w:val="auto"/>
              </w:rPr>
              <w:t>913,050</w:t>
            </w:r>
          </w:p>
        </w:tc>
        <w:tc>
          <w:tcPr>
            <w:tcW w:w="0" w:type="dxa"/>
            <w:vAlign w:val="bottom"/>
          </w:tcPr>
          <w:p>
            <w:pPr>
              <w:spacing w:after="0"/>
              <w:rPr>
                <w:sz w:val="1"/>
                <w:szCs w:val="1"/>
                <w:color w:val="auto"/>
              </w:rPr>
            </w:pPr>
          </w:p>
        </w:tc>
      </w:tr>
      <w:tr>
        <w:trPr>
          <w:trHeight w:val="162"/>
        </w:trPr>
        <w:tc>
          <w:tcPr>
            <w:tcW w:w="2480" w:type="dxa"/>
            <w:vAlign w:val="bottom"/>
            <w:shd w:val="clear" w:color="auto" w:fill="E8EDF4"/>
          </w:tcPr>
          <w:p>
            <w:pPr>
              <w:spacing w:after="0"/>
              <w:rPr>
                <w:sz w:val="14"/>
                <w:szCs w:val="14"/>
                <w:color w:val="auto"/>
              </w:rPr>
            </w:pPr>
          </w:p>
        </w:tc>
        <w:tc>
          <w:tcPr>
            <w:tcW w:w="920" w:type="dxa"/>
            <w:vAlign w:val="bottom"/>
            <w:shd w:val="clear" w:color="auto" w:fill="E8EDF4"/>
          </w:tcPr>
          <w:p>
            <w:pPr>
              <w:jc w:val="right"/>
              <w:spacing w:after="0"/>
              <w:rPr>
                <w:sz w:val="20"/>
                <w:szCs w:val="20"/>
                <w:color w:val="auto"/>
              </w:rPr>
            </w:pPr>
            <w:r>
              <w:rPr>
                <w:rFonts w:ascii="Arial" w:cs="Arial" w:eastAsia="Arial" w:hAnsi="Arial"/>
                <w:sz w:val="14"/>
                <w:szCs w:val="14"/>
                <w:color w:val="auto"/>
              </w:rPr>
              <w:t>3/13/2019</w:t>
            </w:r>
          </w:p>
        </w:tc>
        <w:tc>
          <w:tcPr>
            <w:tcW w:w="260" w:type="dxa"/>
            <w:vAlign w:val="bottom"/>
            <w:shd w:val="clear" w:color="auto" w:fill="E8EDF4"/>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3,992****</w:t>
            </w:r>
          </w:p>
        </w:tc>
        <w:tc>
          <w:tcPr>
            <w:tcW w:w="76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shd w:val="clear" w:color="auto" w:fill="E8EDF4"/>
          </w:tcPr>
          <w:p>
            <w:pPr>
              <w:jc w:val="right"/>
              <w:ind w:right="128"/>
              <w:spacing w:after="0"/>
              <w:rPr>
                <w:sz w:val="20"/>
                <w:szCs w:val="20"/>
                <w:color w:val="auto"/>
              </w:rPr>
            </w:pPr>
            <w:r>
              <w:rPr>
                <w:rFonts w:ascii="Arial" w:cs="Arial" w:eastAsia="Arial" w:hAnsi="Arial"/>
                <w:sz w:val="14"/>
                <w:szCs w:val="14"/>
                <w:color w:val="auto"/>
              </w:rPr>
              <w:t>—</w:t>
            </w:r>
          </w:p>
        </w:tc>
        <w:tc>
          <w:tcPr>
            <w:tcW w:w="840" w:type="dxa"/>
            <w:vAlign w:val="bottom"/>
            <w:shd w:val="clear" w:color="auto" w:fill="E8EDF4"/>
          </w:tcPr>
          <w:p>
            <w:pPr>
              <w:spacing w:after="0"/>
              <w:rPr>
                <w:sz w:val="14"/>
                <w:szCs w:val="14"/>
                <w:color w:val="auto"/>
              </w:rPr>
            </w:pPr>
          </w:p>
        </w:tc>
        <w:tc>
          <w:tcPr>
            <w:tcW w:w="88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2.42</w:t>
            </w:r>
          </w:p>
        </w:tc>
        <w:tc>
          <w:tcPr>
            <w:tcW w:w="820" w:type="dxa"/>
            <w:vAlign w:val="bottom"/>
            <w:shd w:val="clear" w:color="auto" w:fill="E8EDF4"/>
          </w:tcPr>
          <w:p>
            <w:pPr>
              <w:jc w:val="right"/>
              <w:ind w:right="48"/>
              <w:spacing w:after="0"/>
              <w:rPr>
                <w:sz w:val="20"/>
                <w:szCs w:val="20"/>
                <w:color w:val="auto"/>
              </w:rPr>
            </w:pPr>
            <w:r>
              <w:rPr>
                <w:rFonts w:ascii="Arial" w:cs="Arial" w:eastAsia="Arial" w:hAnsi="Arial"/>
                <w:sz w:val="14"/>
                <w:szCs w:val="14"/>
                <w:color w:val="auto"/>
              </w:rPr>
              <w:t>2.00</w:t>
            </w:r>
          </w:p>
        </w:tc>
        <w:tc>
          <w:tcPr>
            <w:tcW w:w="660" w:type="dxa"/>
            <w:vAlign w:val="bottom"/>
            <w:shd w:val="clear" w:color="auto" w:fill="E8EDF4"/>
          </w:tcPr>
          <w:p>
            <w:pPr>
              <w:jc w:val="right"/>
              <w:ind w:right="8"/>
              <w:spacing w:after="0"/>
              <w:rPr>
                <w:sz w:val="20"/>
                <w:szCs w:val="20"/>
                <w:color w:val="auto"/>
              </w:rPr>
            </w:pPr>
            <w:r>
              <w:rPr>
                <w:rFonts w:ascii="Arial" w:cs="Arial" w:eastAsia="Arial" w:hAnsi="Arial"/>
                <w:sz w:val="14"/>
                <w:szCs w:val="14"/>
                <w:color w:val="auto"/>
              </w:rPr>
              <w:t>92.00</w:t>
            </w:r>
          </w:p>
        </w:tc>
        <w:tc>
          <w:tcPr>
            <w:tcW w:w="1560" w:type="dxa"/>
            <w:vAlign w:val="bottom"/>
            <w:shd w:val="clear" w:color="auto" w:fill="E8EDF4"/>
          </w:tcPr>
          <w:p>
            <w:pPr>
              <w:jc w:val="right"/>
              <w:ind w:right="48"/>
              <w:spacing w:after="0"/>
              <w:rPr>
                <w:sz w:val="20"/>
                <w:szCs w:val="20"/>
                <w:color w:val="auto"/>
              </w:rPr>
            </w:pPr>
            <w:r>
              <w:rPr>
                <w:rFonts w:ascii="Arial" w:cs="Arial" w:eastAsia="Arial" w:hAnsi="Arial"/>
                <w:sz w:val="14"/>
                <w:szCs w:val="14"/>
                <w:color w:val="auto"/>
              </w:rPr>
              <w:t>813,170</w:t>
            </w:r>
          </w:p>
        </w:tc>
        <w:tc>
          <w:tcPr>
            <w:tcW w:w="0" w:type="dxa"/>
            <w:vAlign w:val="bottom"/>
          </w:tcPr>
          <w:p>
            <w:pPr>
              <w:spacing w:after="0"/>
              <w:rPr>
                <w:sz w:val="1"/>
                <w:szCs w:val="1"/>
                <w:color w:val="auto"/>
              </w:rPr>
            </w:pPr>
          </w:p>
        </w:tc>
      </w:tr>
      <w:tr>
        <w:trPr>
          <w:trHeight w:val="162"/>
        </w:trPr>
        <w:tc>
          <w:tcPr>
            <w:tcW w:w="2480" w:type="dxa"/>
            <w:vAlign w:val="bottom"/>
            <w:shd w:val="clear" w:color="auto" w:fill="E8EDF4"/>
          </w:tcPr>
          <w:p>
            <w:pPr>
              <w:spacing w:after="0"/>
              <w:rPr>
                <w:sz w:val="14"/>
                <w:szCs w:val="14"/>
                <w:color w:val="auto"/>
              </w:rPr>
            </w:pPr>
          </w:p>
        </w:tc>
        <w:tc>
          <w:tcPr>
            <w:tcW w:w="920" w:type="dxa"/>
            <w:vAlign w:val="bottom"/>
            <w:shd w:val="clear" w:color="auto" w:fill="E8EDF4"/>
          </w:tcPr>
          <w:p>
            <w:pPr>
              <w:jc w:val="right"/>
              <w:spacing w:after="0"/>
              <w:rPr>
                <w:sz w:val="20"/>
                <w:szCs w:val="20"/>
                <w:color w:val="auto"/>
              </w:rPr>
            </w:pPr>
            <w:r>
              <w:rPr>
                <w:rFonts w:ascii="Arial" w:cs="Arial" w:eastAsia="Arial" w:hAnsi="Arial"/>
                <w:sz w:val="14"/>
                <w:szCs w:val="14"/>
                <w:color w:val="auto"/>
              </w:rPr>
              <w:t>3/13/2019</w:t>
            </w:r>
          </w:p>
        </w:tc>
        <w:tc>
          <w:tcPr>
            <w:tcW w:w="260" w:type="dxa"/>
            <w:vAlign w:val="bottom"/>
            <w:shd w:val="clear" w:color="auto" w:fill="E8EDF4"/>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17,676</w:t>
            </w:r>
          </w:p>
        </w:tc>
        <w:tc>
          <w:tcPr>
            <w:tcW w:w="280" w:type="dxa"/>
            <w:vAlign w:val="bottom"/>
          </w:tcPr>
          <w:p>
            <w:pPr>
              <w:spacing w:after="0"/>
              <w:rPr>
                <w:sz w:val="14"/>
                <w:szCs w:val="14"/>
                <w:color w:val="auto"/>
              </w:rPr>
            </w:pPr>
          </w:p>
        </w:tc>
        <w:tc>
          <w:tcPr>
            <w:tcW w:w="760" w:type="dxa"/>
            <w:vAlign w:val="bottom"/>
            <w:shd w:val="clear" w:color="auto" w:fill="E8EDF4"/>
          </w:tcPr>
          <w:p>
            <w:pPr>
              <w:jc w:val="right"/>
              <w:spacing w:after="0"/>
              <w:rPr>
                <w:sz w:val="20"/>
                <w:szCs w:val="20"/>
                <w:color w:val="auto"/>
              </w:rPr>
            </w:pPr>
            <w:r>
              <w:rPr>
                <w:rFonts w:ascii="Arial" w:cs="Arial" w:eastAsia="Arial" w:hAnsi="Arial"/>
                <w:sz w:val="14"/>
                <w:szCs w:val="14"/>
                <w:color w:val="auto"/>
              </w:rPr>
              <w:t>108.08</w:t>
            </w:r>
          </w:p>
        </w:tc>
        <w:tc>
          <w:tcPr>
            <w:tcW w:w="900" w:type="dxa"/>
            <w:vAlign w:val="bottom"/>
            <w:shd w:val="clear" w:color="auto" w:fill="E8EDF4"/>
          </w:tcPr>
          <w:p>
            <w:pPr>
              <w:jc w:val="right"/>
              <w:ind w:right="48"/>
              <w:spacing w:after="0"/>
              <w:rPr>
                <w:sz w:val="20"/>
                <w:szCs w:val="20"/>
                <w:color w:val="auto"/>
              </w:rPr>
            </w:pPr>
            <w:r>
              <w:rPr>
                <w:rFonts w:ascii="Arial" w:cs="Arial" w:eastAsia="Arial" w:hAnsi="Arial"/>
                <w:sz w:val="14"/>
                <w:szCs w:val="14"/>
                <w:color w:val="auto"/>
              </w:rPr>
              <w:t>26.32</w:t>
            </w:r>
          </w:p>
        </w:tc>
        <w:tc>
          <w:tcPr>
            <w:tcW w:w="84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5.0</w:t>
            </w:r>
          </w:p>
        </w:tc>
        <w:tc>
          <w:tcPr>
            <w:tcW w:w="88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2.42</w:t>
            </w:r>
          </w:p>
        </w:tc>
        <w:tc>
          <w:tcPr>
            <w:tcW w:w="820" w:type="dxa"/>
            <w:vAlign w:val="bottom"/>
            <w:shd w:val="clear" w:color="auto" w:fill="E8EDF4"/>
          </w:tcPr>
          <w:p>
            <w:pPr>
              <w:jc w:val="right"/>
              <w:ind w:right="48"/>
              <w:spacing w:after="0"/>
              <w:rPr>
                <w:sz w:val="20"/>
                <w:szCs w:val="20"/>
                <w:color w:val="auto"/>
              </w:rPr>
            </w:pPr>
            <w:r>
              <w:rPr>
                <w:rFonts w:ascii="Arial" w:cs="Arial" w:eastAsia="Arial" w:hAnsi="Arial"/>
                <w:sz w:val="14"/>
                <w:szCs w:val="14"/>
                <w:color w:val="auto"/>
              </w:rPr>
              <w:t>2.00</w:t>
            </w:r>
          </w:p>
        </w:tc>
        <w:tc>
          <w:tcPr>
            <w:tcW w:w="660" w:type="dxa"/>
            <w:vAlign w:val="bottom"/>
            <w:shd w:val="clear" w:color="auto" w:fill="E8EDF4"/>
          </w:tcPr>
          <w:p>
            <w:pPr>
              <w:jc w:val="right"/>
              <w:ind w:right="8"/>
              <w:spacing w:after="0"/>
              <w:rPr>
                <w:sz w:val="20"/>
                <w:szCs w:val="20"/>
                <w:color w:val="auto"/>
              </w:rPr>
            </w:pPr>
            <w:r>
              <w:rPr>
                <w:rFonts w:ascii="Arial" w:cs="Arial" w:eastAsia="Arial" w:hAnsi="Arial"/>
                <w:sz w:val="14"/>
                <w:szCs w:val="14"/>
                <w:color w:val="auto"/>
              </w:rPr>
              <w:t>23.43</w:t>
            </w:r>
          </w:p>
        </w:tc>
        <w:tc>
          <w:tcPr>
            <w:tcW w:w="1560" w:type="dxa"/>
            <w:vAlign w:val="bottom"/>
            <w:shd w:val="clear" w:color="auto" w:fill="E8EDF4"/>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-2915285</wp:posOffset>
            </wp:positionV>
            <wp:extent cx="4673600" cy="3086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673600" cy="308610"/>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-616585</wp:posOffset>
            </wp:positionV>
            <wp:extent cx="600075" cy="6172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0075" cy="617220"/>
                    </a:xfrm>
                    <a:prstGeom prst="rect">
                      <a:avLst/>
                    </a:prstGeom>
                    <a:noFill/>
                  </pic:spPr>
                </pic:pic>
              </a:graphicData>
            </a:graphic>
          </wp:anchor>
        </w:drawing>
        <w:drawing>
          <wp:anchor simplePos="0" relativeHeight="251657728" behindDoc="1" locked="0" layoutInCell="0" allowOverlap="1">
            <wp:simplePos x="0" y="0"/>
            <wp:positionH relativeFrom="column">
              <wp:posOffset>3667125</wp:posOffset>
            </wp:positionH>
            <wp:positionV relativeFrom="paragraph">
              <wp:posOffset>-5427980</wp:posOffset>
            </wp:positionV>
            <wp:extent cx="198945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128" w:lineRule="exact"/>
        <w:rPr>
          <w:sz w:val="20"/>
          <w:szCs w:val="20"/>
          <w:color w:val="auto"/>
        </w:rPr>
      </w:pPr>
    </w:p>
    <w:p>
      <w:pPr>
        <w:ind w:left="9320"/>
        <w:spacing w:after="0"/>
        <w:tabs>
          <w:tab w:leader="none" w:pos="11000" w:val="left"/>
        </w:tabs>
        <w:rPr>
          <w:sz w:val="20"/>
          <w:szCs w:val="20"/>
          <w:color w:val="auto"/>
        </w:rPr>
      </w:pPr>
      <w:r>
        <w:rPr>
          <w:rFonts w:ascii="Arial" w:cs="Arial" w:eastAsia="Arial" w:hAnsi="Arial"/>
          <w:sz w:val="14"/>
          <w:szCs w:val="14"/>
          <w:b w:val="1"/>
          <w:bCs w:val="1"/>
          <w:color w:val="052B82"/>
        </w:rPr>
        <w:t>2020 Proxy Statement</w:t>
      </w:r>
      <w:r>
        <w:rPr>
          <w:sz w:val="20"/>
          <w:szCs w:val="20"/>
          <w:color w:val="auto"/>
        </w:rPr>
        <w:tab/>
      </w:r>
      <w:r>
        <w:rPr>
          <w:rFonts w:ascii="Arial" w:cs="Arial" w:eastAsia="Arial" w:hAnsi="Arial"/>
          <w:sz w:val="17"/>
          <w:szCs w:val="17"/>
          <w:color w:val="999999"/>
        </w:rPr>
        <w:t>55</w:t>
      </w:r>
    </w:p>
    <w:p>
      <w:pPr>
        <w:sectPr>
          <w:pgSz w:w="11900" w:h="16838" w:orient="portrait"/>
          <w:cols w:equalWidth="0" w:num="1">
            <w:col w:w="11240"/>
          </w:cols>
          <w:pgMar w:left="240" w:top="459" w:right="41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2649855" cy="1371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480" w:type="dxa"/>
            <w:vAlign w:val="bottom"/>
            <w:shd w:val="clear" w:color="auto" w:fill="052B82"/>
          </w:tcPr>
          <w:p>
            <w:pPr>
              <w:spacing w:after="0"/>
              <w:rPr>
                <w:sz w:val="14"/>
                <w:szCs w:val="14"/>
                <w:color w:val="auto"/>
              </w:rPr>
            </w:pPr>
          </w:p>
        </w:tc>
        <w:tc>
          <w:tcPr>
            <w:tcW w:w="1020" w:type="dxa"/>
            <w:vAlign w:val="bottom"/>
            <w:shd w:val="clear" w:color="auto" w:fill="052B82"/>
          </w:tcPr>
          <w:p>
            <w:pPr>
              <w:spacing w:after="0"/>
              <w:rPr>
                <w:sz w:val="14"/>
                <w:szCs w:val="14"/>
                <w:color w:val="auto"/>
              </w:rPr>
            </w:pPr>
          </w:p>
        </w:tc>
        <w:tc>
          <w:tcPr>
            <w:tcW w:w="1140" w:type="dxa"/>
            <w:vAlign w:val="bottom"/>
            <w:shd w:val="clear" w:color="auto" w:fill="052B82"/>
          </w:tcPr>
          <w:p>
            <w:pPr>
              <w:spacing w:after="0"/>
              <w:rPr>
                <w:sz w:val="14"/>
                <w:szCs w:val="14"/>
                <w:color w:val="auto"/>
              </w:rPr>
            </w:pPr>
          </w:p>
        </w:tc>
        <w:tc>
          <w:tcPr>
            <w:tcW w:w="800" w:type="dxa"/>
            <w:vAlign w:val="bottom"/>
            <w:shd w:val="clear" w:color="auto" w:fill="052B82"/>
          </w:tcPr>
          <w:p>
            <w:pPr>
              <w:spacing w:after="0"/>
              <w:rPr>
                <w:sz w:val="14"/>
                <w:szCs w:val="14"/>
                <w:color w:val="auto"/>
              </w:rPr>
            </w:pPr>
          </w:p>
        </w:tc>
        <w:tc>
          <w:tcPr>
            <w:tcW w:w="820" w:type="dxa"/>
            <w:vAlign w:val="bottom"/>
            <w:shd w:val="clear" w:color="auto" w:fill="052B82"/>
          </w:tcPr>
          <w:p>
            <w:pPr>
              <w:spacing w:after="0"/>
              <w:rPr>
                <w:sz w:val="14"/>
                <w:szCs w:val="14"/>
                <w:color w:val="auto"/>
              </w:rPr>
            </w:pPr>
          </w:p>
        </w:tc>
        <w:tc>
          <w:tcPr>
            <w:tcW w:w="1720" w:type="dxa"/>
            <w:vAlign w:val="bottom"/>
            <w:gridSpan w:val="2"/>
            <w:shd w:val="clear" w:color="auto" w:fill="052B82"/>
          </w:tcPr>
          <w:p>
            <w:pPr>
              <w:jc w:val="right"/>
              <w:ind w:right="328"/>
              <w:spacing w:after="0"/>
              <w:rPr>
                <w:sz w:val="20"/>
                <w:szCs w:val="20"/>
                <w:color w:val="auto"/>
              </w:rPr>
            </w:pPr>
            <w:r>
              <w:rPr>
                <w:rFonts w:ascii="Arial" w:cs="Arial" w:eastAsia="Arial" w:hAnsi="Arial"/>
                <w:sz w:val="14"/>
                <w:szCs w:val="14"/>
                <w:b w:val="1"/>
                <w:bCs w:val="1"/>
                <w:color w:val="FFFFFF"/>
              </w:rPr>
              <w:t>Assumptions</w:t>
            </w:r>
          </w:p>
        </w:tc>
        <w:tc>
          <w:tcPr>
            <w:tcW w:w="820" w:type="dxa"/>
            <w:vAlign w:val="bottom"/>
            <w:shd w:val="clear" w:color="auto" w:fill="052B82"/>
          </w:tcPr>
          <w:p>
            <w:pPr>
              <w:spacing w:after="0"/>
              <w:rPr>
                <w:sz w:val="14"/>
                <w:szCs w:val="14"/>
                <w:color w:val="auto"/>
              </w:rPr>
            </w:pPr>
          </w:p>
        </w:tc>
        <w:tc>
          <w:tcPr>
            <w:tcW w:w="660" w:type="dxa"/>
            <w:vAlign w:val="bottom"/>
            <w:vMerge w:val="restart"/>
            <w:shd w:val="clear" w:color="auto" w:fill="052B82"/>
          </w:tcPr>
          <w:p>
            <w:pPr>
              <w:jc w:val="center"/>
              <w:spacing w:after="0"/>
              <w:rPr>
                <w:sz w:val="20"/>
                <w:szCs w:val="20"/>
                <w:color w:val="auto"/>
              </w:rPr>
            </w:pPr>
            <w:r>
              <w:rPr>
                <w:rFonts w:ascii="Arial" w:cs="Arial" w:eastAsia="Arial" w:hAnsi="Arial"/>
                <w:sz w:val="14"/>
                <w:szCs w:val="14"/>
                <w:b w:val="1"/>
                <w:bCs w:val="1"/>
                <w:color w:val="FFFFFF"/>
              </w:rPr>
              <w:t>Grant</w:t>
            </w:r>
          </w:p>
        </w:tc>
        <w:tc>
          <w:tcPr>
            <w:tcW w:w="1560" w:type="dxa"/>
            <w:vAlign w:val="bottom"/>
            <w:shd w:val="clear" w:color="auto" w:fill="052B82"/>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80" w:type="dxa"/>
            <w:vAlign w:val="bottom"/>
            <w:shd w:val="clear" w:color="auto" w:fill="052B82"/>
          </w:tcPr>
          <w:p>
            <w:pPr>
              <w:spacing w:after="0"/>
              <w:rPr>
                <w:sz w:val="12"/>
                <w:szCs w:val="12"/>
                <w:color w:val="auto"/>
              </w:rPr>
            </w:pPr>
          </w:p>
        </w:tc>
        <w:tc>
          <w:tcPr>
            <w:tcW w:w="1020" w:type="dxa"/>
            <w:vAlign w:val="bottom"/>
            <w:shd w:val="clear" w:color="auto" w:fill="052B82"/>
          </w:tcPr>
          <w:p>
            <w:pPr>
              <w:spacing w:after="0"/>
              <w:rPr>
                <w:sz w:val="12"/>
                <w:szCs w:val="12"/>
                <w:color w:val="auto"/>
              </w:rPr>
            </w:pPr>
          </w:p>
        </w:tc>
        <w:tc>
          <w:tcPr>
            <w:tcW w:w="1140" w:type="dxa"/>
            <w:vAlign w:val="bottom"/>
            <w:shd w:val="clear" w:color="auto" w:fill="052B82"/>
          </w:tcPr>
          <w:p>
            <w:pPr>
              <w:spacing w:after="0"/>
              <w:rPr>
                <w:sz w:val="12"/>
                <w:szCs w:val="12"/>
                <w:color w:val="auto"/>
              </w:rPr>
            </w:pPr>
          </w:p>
        </w:tc>
        <w:tc>
          <w:tcPr>
            <w:tcW w:w="800" w:type="dxa"/>
            <w:vAlign w:val="bottom"/>
            <w:shd w:val="clear" w:color="auto" w:fill="052B82"/>
          </w:tcPr>
          <w:p>
            <w:pPr>
              <w:spacing w:after="0"/>
              <w:rPr>
                <w:sz w:val="12"/>
                <w:szCs w:val="12"/>
                <w:color w:val="auto"/>
              </w:rPr>
            </w:pPr>
          </w:p>
        </w:tc>
        <w:tc>
          <w:tcPr>
            <w:tcW w:w="820" w:type="dxa"/>
            <w:vAlign w:val="bottom"/>
            <w:shd w:val="clear" w:color="auto" w:fill="052B82"/>
          </w:tcPr>
          <w:p>
            <w:pPr>
              <w:spacing w:after="0"/>
              <w:rPr>
                <w:sz w:val="12"/>
                <w:szCs w:val="12"/>
                <w:color w:val="auto"/>
              </w:rPr>
            </w:pPr>
          </w:p>
        </w:tc>
        <w:tc>
          <w:tcPr>
            <w:tcW w:w="840" w:type="dxa"/>
            <w:vAlign w:val="bottom"/>
            <w:shd w:val="clear" w:color="auto" w:fill="052B82"/>
          </w:tcPr>
          <w:p>
            <w:pPr>
              <w:spacing w:after="0"/>
              <w:rPr>
                <w:sz w:val="12"/>
                <w:szCs w:val="12"/>
                <w:color w:val="auto"/>
              </w:rPr>
            </w:pPr>
          </w:p>
        </w:tc>
        <w:tc>
          <w:tcPr>
            <w:tcW w:w="880" w:type="dxa"/>
            <w:vAlign w:val="bottom"/>
            <w:shd w:val="clear" w:color="auto" w:fill="052B82"/>
          </w:tcPr>
          <w:p>
            <w:pPr>
              <w:spacing w:after="0"/>
              <w:rPr>
                <w:sz w:val="12"/>
                <w:szCs w:val="12"/>
                <w:color w:val="auto"/>
              </w:rPr>
            </w:pPr>
          </w:p>
        </w:tc>
        <w:tc>
          <w:tcPr>
            <w:tcW w:w="820" w:type="dxa"/>
            <w:vAlign w:val="bottom"/>
            <w:shd w:val="clear" w:color="auto" w:fill="052B82"/>
          </w:tcPr>
          <w:p>
            <w:pPr>
              <w:spacing w:after="0"/>
              <w:rPr>
                <w:sz w:val="12"/>
                <w:szCs w:val="12"/>
                <w:color w:val="auto"/>
              </w:rPr>
            </w:pPr>
          </w:p>
        </w:tc>
        <w:tc>
          <w:tcPr>
            <w:tcW w:w="660" w:type="dxa"/>
            <w:vAlign w:val="bottom"/>
            <w:vMerge w:val="continue"/>
            <w:shd w:val="clear" w:color="auto" w:fill="052B82"/>
          </w:tcPr>
          <w:p>
            <w:pPr>
              <w:spacing w:after="0"/>
              <w:rPr>
                <w:sz w:val="12"/>
                <w:szCs w:val="12"/>
                <w:color w:val="auto"/>
              </w:rPr>
            </w:pPr>
          </w:p>
        </w:tc>
        <w:tc>
          <w:tcPr>
            <w:tcW w:w="1560" w:type="dxa"/>
            <w:vAlign w:val="bottom"/>
            <w:shd w:val="clear" w:color="auto" w:fill="052B82"/>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480" w:type="dxa"/>
            <w:vAlign w:val="bottom"/>
            <w:shd w:val="clear" w:color="auto" w:fill="052B82"/>
          </w:tcPr>
          <w:p>
            <w:pPr>
              <w:spacing w:after="0"/>
              <w:rPr>
                <w:sz w:val="14"/>
                <w:szCs w:val="14"/>
                <w:color w:val="auto"/>
              </w:rPr>
            </w:pPr>
          </w:p>
        </w:tc>
        <w:tc>
          <w:tcPr>
            <w:tcW w:w="1020" w:type="dxa"/>
            <w:vAlign w:val="bottom"/>
            <w:shd w:val="clear" w:color="auto" w:fill="052B82"/>
          </w:tcPr>
          <w:p>
            <w:pPr>
              <w:spacing w:after="0"/>
              <w:rPr>
                <w:sz w:val="14"/>
                <w:szCs w:val="14"/>
                <w:color w:val="auto"/>
              </w:rPr>
            </w:pPr>
          </w:p>
        </w:tc>
        <w:tc>
          <w:tcPr>
            <w:tcW w:w="1140" w:type="dxa"/>
            <w:vAlign w:val="bottom"/>
            <w:shd w:val="clear" w:color="auto" w:fill="052B82"/>
          </w:tcPr>
          <w:p>
            <w:pPr>
              <w:jc w:val="center"/>
              <w:ind w:right="148"/>
              <w:spacing w:after="0"/>
              <w:rPr>
                <w:sz w:val="20"/>
                <w:szCs w:val="20"/>
                <w:color w:val="auto"/>
              </w:rPr>
            </w:pPr>
            <w:r>
              <w:rPr>
                <w:rFonts w:ascii="Arial" w:cs="Arial" w:eastAsia="Arial" w:hAnsi="Arial"/>
                <w:sz w:val="14"/>
                <w:szCs w:val="14"/>
                <w:b w:val="1"/>
                <w:bCs w:val="1"/>
                <w:color w:val="FFFFFF"/>
              </w:rPr>
              <w:t>Options/</w:t>
            </w:r>
          </w:p>
        </w:tc>
        <w:tc>
          <w:tcPr>
            <w:tcW w:w="800" w:type="dxa"/>
            <w:vAlign w:val="bottom"/>
            <w:shd w:val="clear" w:color="auto" w:fill="052B82"/>
          </w:tcPr>
          <w:p>
            <w:pPr>
              <w:spacing w:after="0"/>
              <w:rPr>
                <w:sz w:val="14"/>
                <w:szCs w:val="14"/>
                <w:color w:val="auto"/>
              </w:rPr>
            </w:pPr>
          </w:p>
        </w:tc>
        <w:tc>
          <w:tcPr>
            <w:tcW w:w="820" w:type="dxa"/>
            <w:vAlign w:val="bottom"/>
            <w:shd w:val="clear" w:color="auto" w:fill="052B82"/>
          </w:tcPr>
          <w:p>
            <w:pPr>
              <w:spacing w:after="0"/>
              <w:rPr>
                <w:sz w:val="14"/>
                <w:szCs w:val="14"/>
                <w:color w:val="auto"/>
              </w:rPr>
            </w:pPr>
          </w:p>
        </w:tc>
        <w:tc>
          <w:tcPr>
            <w:tcW w:w="840" w:type="dxa"/>
            <w:vAlign w:val="bottom"/>
            <w:shd w:val="clear" w:color="auto" w:fill="052B82"/>
          </w:tcPr>
          <w:p>
            <w:pPr>
              <w:spacing w:after="0"/>
              <w:rPr>
                <w:sz w:val="14"/>
                <w:szCs w:val="14"/>
                <w:color w:val="auto"/>
              </w:rPr>
            </w:pPr>
          </w:p>
        </w:tc>
        <w:tc>
          <w:tcPr>
            <w:tcW w:w="880" w:type="dxa"/>
            <w:vAlign w:val="bottom"/>
            <w:shd w:val="clear" w:color="auto" w:fill="052B82"/>
          </w:tcPr>
          <w:p>
            <w:pPr>
              <w:spacing w:after="0"/>
              <w:rPr>
                <w:sz w:val="14"/>
                <w:szCs w:val="14"/>
                <w:color w:val="auto"/>
              </w:rPr>
            </w:pPr>
          </w:p>
        </w:tc>
        <w:tc>
          <w:tcPr>
            <w:tcW w:w="820" w:type="dxa"/>
            <w:vAlign w:val="bottom"/>
            <w:shd w:val="clear" w:color="auto" w:fill="052B82"/>
          </w:tcPr>
          <w:p>
            <w:pPr>
              <w:spacing w:after="0"/>
              <w:rPr>
                <w:sz w:val="14"/>
                <w:szCs w:val="14"/>
                <w:color w:val="auto"/>
              </w:rPr>
            </w:pPr>
          </w:p>
        </w:tc>
        <w:tc>
          <w:tcPr>
            <w:tcW w:w="6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w w:val="98"/>
              </w:rPr>
              <w:t>Date</w:t>
            </w:r>
          </w:p>
        </w:tc>
        <w:tc>
          <w:tcPr>
            <w:tcW w:w="15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Grant Date</w:t>
            </w:r>
          </w:p>
        </w:tc>
        <w:tc>
          <w:tcPr>
            <w:tcW w:w="0" w:type="dxa"/>
            <w:vAlign w:val="bottom"/>
          </w:tcPr>
          <w:p>
            <w:pPr>
              <w:spacing w:after="0"/>
              <w:rPr>
                <w:sz w:val="1"/>
                <w:szCs w:val="1"/>
                <w:color w:val="auto"/>
              </w:rPr>
            </w:pPr>
          </w:p>
        </w:tc>
      </w:tr>
      <w:tr>
        <w:trPr>
          <w:trHeight w:val="162"/>
        </w:trPr>
        <w:tc>
          <w:tcPr>
            <w:tcW w:w="2480" w:type="dxa"/>
            <w:vAlign w:val="bottom"/>
            <w:shd w:val="clear" w:color="auto" w:fill="052B82"/>
          </w:tcPr>
          <w:p>
            <w:pPr>
              <w:spacing w:after="0"/>
              <w:rPr>
                <w:sz w:val="14"/>
                <w:szCs w:val="14"/>
                <w:color w:val="auto"/>
              </w:rPr>
            </w:pPr>
          </w:p>
        </w:tc>
        <w:tc>
          <w:tcPr>
            <w:tcW w:w="1020" w:type="dxa"/>
            <w:vAlign w:val="bottom"/>
            <w:shd w:val="clear" w:color="auto" w:fill="052B82"/>
          </w:tcPr>
          <w:p>
            <w:pPr>
              <w:spacing w:after="0"/>
              <w:rPr>
                <w:sz w:val="14"/>
                <w:szCs w:val="14"/>
                <w:color w:val="auto"/>
              </w:rPr>
            </w:pPr>
          </w:p>
        </w:tc>
        <w:tc>
          <w:tcPr>
            <w:tcW w:w="1140" w:type="dxa"/>
            <w:vAlign w:val="bottom"/>
            <w:shd w:val="clear" w:color="auto" w:fill="052B82"/>
          </w:tcPr>
          <w:p>
            <w:pPr>
              <w:jc w:val="center"/>
              <w:ind w:right="148"/>
              <w:spacing w:after="0"/>
              <w:rPr>
                <w:sz w:val="20"/>
                <w:szCs w:val="20"/>
                <w:color w:val="auto"/>
              </w:rPr>
            </w:pPr>
            <w:r>
              <w:rPr>
                <w:rFonts w:ascii="Arial" w:cs="Arial" w:eastAsia="Arial" w:hAnsi="Arial"/>
                <w:sz w:val="14"/>
                <w:szCs w:val="14"/>
                <w:b w:val="1"/>
                <w:bCs w:val="1"/>
                <w:color w:val="FFFFFF"/>
              </w:rPr>
              <w:t>Restricted</w:t>
            </w:r>
          </w:p>
        </w:tc>
        <w:tc>
          <w:tcPr>
            <w:tcW w:w="800" w:type="dxa"/>
            <w:vAlign w:val="bottom"/>
            <w:shd w:val="clear" w:color="auto" w:fill="052B82"/>
          </w:tcPr>
          <w:p>
            <w:pPr>
              <w:spacing w:after="0"/>
              <w:rPr>
                <w:sz w:val="14"/>
                <w:szCs w:val="14"/>
                <w:color w:val="auto"/>
              </w:rPr>
            </w:pPr>
          </w:p>
        </w:tc>
        <w:tc>
          <w:tcPr>
            <w:tcW w:w="820" w:type="dxa"/>
            <w:vAlign w:val="bottom"/>
            <w:shd w:val="clear" w:color="auto" w:fill="052B82"/>
          </w:tcPr>
          <w:p>
            <w:pPr>
              <w:spacing w:after="0"/>
              <w:rPr>
                <w:sz w:val="14"/>
                <w:szCs w:val="14"/>
                <w:color w:val="auto"/>
              </w:rPr>
            </w:pPr>
          </w:p>
        </w:tc>
        <w:tc>
          <w:tcPr>
            <w:tcW w:w="840" w:type="dxa"/>
            <w:vAlign w:val="bottom"/>
            <w:shd w:val="clear" w:color="auto" w:fill="052B82"/>
          </w:tcPr>
          <w:p>
            <w:pPr>
              <w:spacing w:after="0"/>
              <w:rPr>
                <w:sz w:val="14"/>
                <w:szCs w:val="14"/>
                <w:color w:val="auto"/>
              </w:rPr>
            </w:pPr>
          </w:p>
        </w:tc>
        <w:tc>
          <w:tcPr>
            <w:tcW w:w="880" w:type="dxa"/>
            <w:vAlign w:val="bottom"/>
            <w:shd w:val="clear" w:color="auto" w:fill="052B82"/>
          </w:tcPr>
          <w:p>
            <w:pPr>
              <w:spacing w:after="0"/>
              <w:rPr>
                <w:sz w:val="14"/>
                <w:szCs w:val="14"/>
                <w:color w:val="auto"/>
              </w:rPr>
            </w:pPr>
          </w:p>
        </w:tc>
        <w:tc>
          <w:tcPr>
            <w:tcW w:w="820" w:type="dxa"/>
            <w:vAlign w:val="bottom"/>
            <w:shd w:val="clear" w:color="auto" w:fill="052B82"/>
          </w:tcPr>
          <w:p>
            <w:pPr>
              <w:spacing w:after="0"/>
              <w:rPr>
                <w:sz w:val="14"/>
                <w:szCs w:val="14"/>
                <w:color w:val="auto"/>
              </w:rPr>
            </w:pPr>
          </w:p>
        </w:tc>
        <w:tc>
          <w:tcPr>
            <w:tcW w:w="6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Fair</w:t>
            </w:r>
          </w:p>
        </w:tc>
        <w:tc>
          <w:tcPr>
            <w:tcW w:w="15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Fair Value at</w:t>
            </w:r>
          </w:p>
        </w:tc>
        <w:tc>
          <w:tcPr>
            <w:tcW w:w="0" w:type="dxa"/>
            <w:vAlign w:val="bottom"/>
          </w:tcPr>
          <w:p>
            <w:pPr>
              <w:spacing w:after="0"/>
              <w:rPr>
                <w:sz w:val="1"/>
                <w:szCs w:val="1"/>
                <w:color w:val="auto"/>
              </w:rPr>
            </w:pPr>
          </w:p>
        </w:tc>
      </w:tr>
      <w:tr>
        <w:trPr>
          <w:trHeight w:val="162"/>
        </w:trPr>
        <w:tc>
          <w:tcPr>
            <w:tcW w:w="2480" w:type="dxa"/>
            <w:vAlign w:val="bottom"/>
            <w:shd w:val="clear" w:color="auto" w:fill="052B82"/>
          </w:tcPr>
          <w:p>
            <w:pPr>
              <w:spacing w:after="0"/>
              <w:rPr>
                <w:sz w:val="14"/>
                <w:szCs w:val="14"/>
                <w:color w:val="auto"/>
              </w:rPr>
            </w:pPr>
          </w:p>
        </w:tc>
        <w:tc>
          <w:tcPr>
            <w:tcW w:w="1020" w:type="dxa"/>
            <w:vAlign w:val="bottom"/>
            <w:shd w:val="clear" w:color="auto" w:fill="052B82"/>
          </w:tcPr>
          <w:p>
            <w:pPr>
              <w:spacing w:after="0"/>
              <w:rPr>
                <w:sz w:val="14"/>
                <w:szCs w:val="14"/>
                <w:color w:val="auto"/>
              </w:rPr>
            </w:pPr>
          </w:p>
        </w:tc>
        <w:tc>
          <w:tcPr>
            <w:tcW w:w="1140" w:type="dxa"/>
            <w:vAlign w:val="bottom"/>
            <w:shd w:val="clear" w:color="auto" w:fill="052B82"/>
          </w:tcPr>
          <w:p>
            <w:pPr>
              <w:jc w:val="center"/>
              <w:ind w:right="148"/>
              <w:spacing w:after="0"/>
              <w:rPr>
                <w:sz w:val="20"/>
                <w:szCs w:val="20"/>
                <w:color w:val="auto"/>
              </w:rPr>
            </w:pPr>
            <w:r>
              <w:rPr>
                <w:rFonts w:ascii="Arial" w:cs="Arial" w:eastAsia="Arial" w:hAnsi="Arial"/>
                <w:sz w:val="14"/>
                <w:szCs w:val="14"/>
                <w:b w:val="1"/>
                <w:bCs w:val="1"/>
                <w:color w:val="FFFFFF"/>
              </w:rPr>
              <w:t>Stock</w:t>
            </w:r>
          </w:p>
        </w:tc>
        <w:tc>
          <w:tcPr>
            <w:tcW w:w="800" w:type="dxa"/>
            <w:vAlign w:val="bottom"/>
            <w:shd w:val="clear" w:color="auto" w:fill="052B82"/>
          </w:tcPr>
          <w:p>
            <w:pPr>
              <w:spacing w:after="0"/>
              <w:rPr>
                <w:sz w:val="14"/>
                <w:szCs w:val="14"/>
                <w:color w:val="auto"/>
              </w:rPr>
            </w:pPr>
          </w:p>
        </w:tc>
        <w:tc>
          <w:tcPr>
            <w:tcW w:w="820" w:type="dxa"/>
            <w:vAlign w:val="bottom"/>
            <w:shd w:val="clear" w:color="auto" w:fill="052B82"/>
          </w:tcPr>
          <w:p>
            <w:pPr>
              <w:spacing w:after="0"/>
              <w:rPr>
                <w:sz w:val="14"/>
                <w:szCs w:val="14"/>
                <w:color w:val="auto"/>
              </w:rPr>
            </w:pPr>
          </w:p>
        </w:tc>
        <w:tc>
          <w:tcPr>
            <w:tcW w:w="840" w:type="dxa"/>
            <w:vAlign w:val="bottom"/>
            <w:shd w:val="clear" w:color="auto" w:fill="052B82"/>
          </w:tcPr>
          <w:p>
            <w:pPr>
              <w:spacing w:after="0"/>
              <w:rPr>
                <w:sz w:val="14"/>
                <w:szCs w:val="14"/>
                <w:color w:val="auto"/>
              </w:rPr>
            </w:pPr>
          </w:p>
        </w:tc>
        <w:tc>
          <w:tcPr>
            <w:tcW w:w="880" w:type="dxa"/>
            <w:vAlign w:val="bottom"/>
            <w:shd w:val="clear" w:color="auto" w:fill="052B82"/>
          </w:tcPr>
          <w:p>
            <w:pPr>
              <w:spacing w:after="0"/>
              <w:rPr>
                <w:sz w:val="14"/>
                <w:szCs w:val="14"/>
                <w:color w:val="auto"/>
              </w:rPr>
            </w:pPr>
          </w:p>
        </w:tc>
        <w:tc>
          <w:tcPr>
            <w:tcW w:w="820" w:type="dxa"/>
            <w:vAlign w:val="bottom"/>
            <w:shd w:val="clear" w:color="auto" w:fill="052B82"/>
          </w:tcPr>
          <w:p>
            <w:pPr>
              <w:spacing w:after="0"/>
              <w:rPr>
                <w:sz w:val="14"/>
                <w:szCs w:val="14"/>
                <w:color w:val="auto"/>
              </w:rPr>
            </w:pPr>
          </w:p>
        </w:tc>
        <w:tc>
          <w:tcPr>
            <w:tcW w:w="6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Value</w:t>
            </w:r>
          </w:p>
        </w:tc>
        <w:tc>
          <w:tcPr>
            <w:tcW w:w="15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Maximum</w:t>
            </w:r>
          </w:p>
        </w:tc>
        <w:tc>
          <w:tcPr>
            <w:tcW w:w="0" w:type="dxa"/>
            <w:vAlign w:val="bottom"/>
          </w:tcPr>
          <w:p>
            <w:pPr>
              <w:spacing w:after="0"/>
              <w:rPr>
                <w:sz w:val="1"/>
                <w:szCs w:val="1"/>
                <w:color w:val="auto"/>
              </w:rPr>
            </w:pPr>
          </w:p>
        </w:tc>
      </w:tr>
      <w:tr>
        <w:trPr>
          <w:trHeight w:val="162"/>
        </w:trPr>
        <w:tc>
          <w:tcPr>
            <w:tcW w:w="2480" w:type="dxa"/>
            <w:vAlign w:val="bottom"/>
            <w:shd w:val="clear" w:color="auto" w:fill="052B82"/>
          </w:tcPr>
          <w:p>
            <w:pPr>
              <w:spacing w:after="0"/>
              <w:rPr>
                <w:sz w:val="14"/>
                <w:szCs w:val="14"/>
                <w:color w:val="auto"/>
              </w:rPr>
            </w:pPr>
          </w:p>
        </w:tc>
        <w:tc>
          <w:tcPr>
            <w:tcW w:w="1020" w:type="dxa"/>
            <w:vAlign w:val="bottom"/>
            <w:shd w:val="clear" w:color="auto" w:fill="052B82"/>
          </w:tcPr>
          <w:p>
            <w:pPr>
              <w:spacing w:after="0"/>
              <w:rPr>
                <w:sz w:val="14"/>
                <w:szCs w:val="14"/>
                <w:color w:val="auto"/>
              </w:rPr>
            </w:pPr>
          </w:p>
        </w:tc>
        <w:tc>
          <w:tcPr>
            <w:tcW w:w="1140" w:type="dxa"/>
            <w:vAlign w:val="bottom"/>
            <w:shd w:val="clear" w:color="auto" w:fill="052B82"/>
          </w:tcPr>
          <w:p>
            <w:pPr>
              <w:jc w:val="center"/>
              <w:ind w:right="148"/>
              <w:spacing w:after="0"/>
              <w:rPr>
                <w:sz w:val="20"/>
                <w:szCs w:val="20"/>
                <w:color w:val="auto"/>
              </w:rPr>
            </w:pPr>
            <w:r>
              <w:rPr>
                <w:rFonts w:ascii="Arial" w:cs="Arial" w:eastAsia="Arial" w:hAnsi="Arial"/>
                <w:sz w:val="14"/>
                <w:szCs w:val="14"/>
                <w:b w:val="1"/>
                <w:bCs w:val="1"/>
                <w:color w:val="FFFFFF"/>
              </w:rPr>
              <w:t>Units</w:t>
            </w:r>
          </w:p>
        </w:tc>
        <w:tc>
          <w:tcPr>
            <w:tcW w:w="80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Exercise</w:t>
            </w:r>
          </w:p>
        </w:tc>
        <w:tc>
          <w:tcPr>
            <w:tcW w:w="820" w:type="dxa"/>
            <w:vAlign w:val="bottom"/>
            <w:shd w:val="clear" w:color="auto" w:fill="052B82"/>
          </w:tcPr>
          <w:p>
            <w:pPr>
              <w:spacing w:after="0"/>
              <w:rPr>
                <w:sz w:val="14"/>
                <w:szCs w:val="14"/>
                <w:color w:val="auto"/>
              </w:rPr>
            </w:pPr>
          </w:p>
        </w:tc>
        <w:tc>
          <w:tcPr>
            <w:tcW w:w="840" w:type="dxa"/>
            <w:vAlign w:val="bottom"/>
            <w:shd w:val="clear" w:color="auto" w:fill="052B82"/>
          </w:tcPr>
          <w:p>
            <w:pPr>
              <w:jc w:val="right"/>
              <w:ind w:right="28"/>
              <w:spacing w:after="0"/>
              <w:rPr>
                <w:sz w:val="20"/>
                <w:szCs w:val="20"/>
                <w:color w:val="auto"/>
              </w:rPr>
            </w:pPr>
            <w:r>
              <w:rPr>
                <w:rFonts w:ascii="Arial" w:cs="Arial" w:eastAsia="Arial" w:hAnsi="Arial"/>
                <w:sz w:val="14"/>
                <w:szCs w:val="14"/>
                <w:b w:val="1"/>
                <w:bCs w:val="1"/>
                <w:color w:val="FFFFFF"/>
              </w:rPr>
              <w:t>Expected</w:t>
            </w:r>
          </w:p>
        </w:tc>
        <w:tc>
          <w:tcPr>
            <w:tcW w:w="880" w:type="dxa"/>
            <w:vAlign w:val="bottom"/>
            <w:shd w:val="clear" w:color="auto" w:fill="052B82"/>
          </w:tcPr>
          <w:p>
            <w:pPr>
              <w:jc w:val="right"/>
              <w:ind w:right="48"/>
              <w:spacing w:after="0"/>
              <w:rPr>
                <w:sz w:val="20"/>
                <w:szCs w:val="20"/>
                <w:color w:val="auto"/>
              </w:rPr>
            </w:pPr>
            <w:r>
              <w:rPr>
                <w:rFonts w:ascii="Arial" w:cs="Arial" w:eastAsia="Arial" w:hAnsi="Arial"/>
                <w:sz w:val="14"/>
                <w:szCs w:val="14"/>
                <w:b w:val="1"/>
                <w:bCs w:val="1"/>
                <w:color w:val="FFFFFF"/>
              </w:rPr>
              <w:t>Risk-Free</w:t>
            </w:r>
          </w:p>
        </w:tc>
        <w:tc>
          <w:tcPr>
            <w:tcW w:w="820" w:type="dxa"/>
            <w:vAlign w:val="bottom"/>
            <w:shd w:val="clear" w:color="auto" w:fill="052B82"/>
          </w:tcPr>
          <w:p>
            <w:pPr>
              <w:jc w:val="right"/>
              <w:ind w:right="48"/>
              <w:spacing w:after="0"/>
              <w:rPr>
                <w:sz w:val="20"/>
                <w:szCs w:val="20"/>
                <w:color w:val="auto"/>
              </w:rPr>
            </w:pPr>
            <w:r>
              <w:rPr>
                <w:rFonts w:ascii="Arial" w:cs="Arial" w:eastAsia="Arial" w:hAnsi="Arial"/>
                <w:sz w:val="14"/>
                <w:szCs w:val="14"/>
                <w:b w:val="1"/>
                <w:bCs w:val="1"/>
                <w:color w:val="FFFFFF"/>
              </w:rPr>
              <w:t>Dividend</w:t>
            </w:r>
          </w:p>
        </w:tc>
        <w:tc>
          <w:tcPr>
            <w:tcW w:w="6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w:t>
            </w:r>
          </w:p>
        </w:tc>
        <w:tc>
          <w:tcPr>
            <w:tcW w:w="15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Achievement Level</w:t>
            </w:r>
          </w:p>
        </w:tc>
        <w:tc>
          <w:tcPr>
            <w:tcW w:w="0" w:type="dxa"/>
            <w:vAlign w:val="bottom"/>
          </w:tcPr>
          <w:p>
            <w:pPr>
              <w:spacing w:after="0"/>
              <w:rPr>
                <w:sz w:val="1"/>
                <w:szCs w:val="1"/>
                <w:color w:val="auto"/>
              </w:rPr>
            </w:pPr>
          </w:p>
        </w:tc>
      </w:tr>
      <w:tr>
        <w:trPr>
          <w:trHeight w:val="162"/>
        </w:trPr>
        <w:tc>
          <w:tcPr>
            <w:tcW w:w="2480" w:type="dxa"/>
            <w:vAlign w:val="bottom"/>
            <w:shd w:val="clear" w:color="auto" w:fill="052B82"/>
          </w:tcPr>
          <w:p>
            <w:pPr>
              <w:spacing w:after="0"/>
              <w:rPr>
                <w:sz w:val="14"/>
                <w:szCs w:val="14"/>
                <w:color w:val="auto"/>
              </w:rPr>
            </w:pPr>
          </w:p>
        </w:tc>
        <w:tc>
          <w:tcPr>
            <w:tcW w:w="1020" w:type="dxa"/>
            <w:vAlign w:val="bottom"/>
            <w:shd w:val="clear" w:color="auto" w:fill="052B82"/>
          </w:tcPr>
          <w:p>
            <w:pPr>
              <w:jc w:val="right"/>
              <w:ind w:right="228"/>
              <w:spacing w:after="0"/>
              <w:rPr>
                <w:sz w:val="20"/>
                <w:szCs w:val="20"/>
                <w:color w:val="auto"/>
              </w:rPr>
            </w:pPr>
            <w:r>
              <w:rPr>
                <w:rFonts w:ascii="Arial" w:cs="Arial" w:eastAsia="Arial" w:hAnsi="Arial"/>
                <w:sz w:val="14"/>
                <w:szCs w:val="14"/>
                <w:b w:val="1"/>
                <w:bCs w:val="1"/>
                <w:color w:val="FFFFFF"/>
              </w:rPr>
              <w:t>Grant</w:t>
            </w:r>
          </w:p>
        </w:tc>
        <w:tc>
          <w:tcPr>
            <w:tcW w:w="1140" w:type="dxa"/>
            <w:vAlign w:val="bottom"/>
            <w:shd w:val="clear" w:color="auto" w:fill="052B82"/>
          </w:tcPr>
          <w:p>
            <w:pPr>
              <w:jc w:val="center"/>
              <w:ind w:right="148"/>
              <w:spacing w:after="0"/>
              <w:rPr>
                <w:sz w:val="20"/>
                <w:szCs w:val="20"/>
                <w:color w:val="auto"/>
              </w:rPr>
            </w:pPr>
            <w:r>
              <w:rPr>
                <w:rFonts w:ascii="Arial" w:cs="Arial" w:eastAsia="Arial" w:hAnsi="Arial"/>
                <w:sz w:val="14"/>
                <w:szCs w:val="14"/>
                <w:b w:val="1"/>
                <w:bCs w:val="1"/>
                <w:color w:val="FFFFFF"/>
              </w:rPr>
              <w:t>Granted</w:t>
            </w:r>
          </w:p>
        </w:tc>
        <w:tc>
          <w:tcPr>
            <w:tcW w:w="80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w w:val="99"/>
              </w:rPr>
              <w:t>Price</w:t>
            </w:r>
          </w:p>
        </w:tc>
        <w:tc>
          <w:tcPr>
            <w:tcW w:w="820" w:type="dxa"/>
            <w:vAlign w:val="bottom"/>
            <w:shd w:val="clear" w:color="auto" w:fill="052B82"/>
          </w:tcPr>
          <w:p>
            <w:pPr>
              <w:jc w:val="right"/>
              <w:ind w:right="48"/>
              <w:spacing w:after="0"/>
              <w:rPr>
                <w:sz w:val="20"/>
                <w:szCs w:val="20"/>
                <w:color w:val="auto"/>
              </w:rPr>
            </w:pPr>
            <w:r>
              <w:rPr>
                <w:rFonts w:ascii="Arial" w:cs="Arial" w:eastAsia="Arial" w:hAnsi="Arial"/>
                <w:sz w:val="14"/>
                <w:szCs w:val="14"/>
                <w:b w:val="1"/>
                <w:bCs w:val="1"/>
                <w:color w:val="FFFFFF"/>
              </w:rPr>
              <w:t>Volatility</w:t>
            </w:r>
          </w:p>
        </w:tc>
        <w:tc>
          <w:tcPr>
            <w:tcW w:w="840" w:type="dxa"/>
            <w:vAlign w:val="bottom"/>
            <w:shd w:val="clear" w:color="auto" w:fill="052B82"/>
          </w:tcPr>
          <w:p>
            <w:pPr>
              <w:jc w:val="right"/>
              <w:ind w:right="208"/>
              <w:spacing w:after="0"/>
              <w:rPr>
                <w:sz w:val="20"/>
                <w:szCs w:val="20"/>
                <w:color w:val="auto"/>
              </w:rPr>
            </w:pPr>
            <w:r>
              <w:rPr>
                <w:rFonts w:ascii="Arial" w:cs="Arial" w:eastAsia="Arial" w:hAnsi="Arial"/>
                <w:sz w:val="14"/>
                <w:szCs w:val="14"/>
                <w:b w:val="1"/>
                <w:bCs w:val="1"/>
                <w:color w:val="FFFFFF"/>
              </w:rPr>
              <w:t>Life</w:t>
            </w:r>
          </w:p>
        </w:tc>
        <w:tc>
          <w:tcPr>
            <w:tcW w:w="880" w:type="dxa"/>
            <w:vAlign w:val="bottom"/>
            <w:shd w:val="clear" w:color="auto" w:fill="052B82"/>
          </w:tcPr>
          <w:p>
            <w:pPr>
              <w:jc w:val="right"/>
              <w:ind w:right="108"/>
              <w:spacing w:after="0"/>
              <w:rPr>
                <w:sz w:val="20"/>
                <w:szCs w:val="20"/>
                <w:color w:val="auto"/>
              </w:rPr>
            </w:pPr>
            <w:r>
              <w:rPr>
                <w:rFonts w:ascii="Arial" w:cs="Arial" w:eastAsia="Arial" w:hAnsi="Arial"/>
                <w:sz w:val="14"/>
                <w:szCs w:val="14"/>
                <w:b w:val="1"/>
                <w:bCs w:val="1"/>
                <w:color w:val="FFFFFF"/>
              </w:rPr>
              <w:t>Interest</w:t>
            </w:r>
          </w:p>
        </w:tc>
        <w:tc>
          <w:tcPr>
            <w:tcW w:w="820" w:type="dxa"/>
            <w:vAlign w:val="bottom"/>
            <w:shd w:val="clear" w:color="auto" w:fill="052B82"/>
          </w:tcPr>
          <w:p>
            <w:pPr>
              <w:jc w:val="right"/>
              <w:ind w:right="188"/>
              <w:spacing w:after="0"/>
              <w:rPr>
                <w:sz w:val="20"/>
                <w:szCs w:val="20"/>
                <w:color w:val="auto"/>
              </w:rPr>
            </w:pPr>
            <w:r>
              <w:rPr>
                <w:rFonts w:ascii="Arial" w:cs="Arial" w:eastAsia="Arial" w:hAnsi="Arial"/>
                <w:sz w:val="14"/>
                <w:szCs w:val="14"/>
                <w:b w:val="1"/>
                <w:bCs w:val="1"/>
                <w:color w:val="FFFFFF"/>
              </w:rPr>
              <w:t>Yield</w:t>
            </w:r>
          </w:p>
        </w:tc>
        <w:tc>
          <w:tcPr>
            <w:tcW w:w="6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w w:val="97"/>
              </w:rPr>
              <w:t>Per</w:t>
            </w:r>
          </w:p>
        </w:tc>
        <w:tc>
          <w:tcPr>
            <w:tcW w:w="15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for Performance</w:t>
            </w:r>
          </w:p>
        </w:tc>
        <w:tc>
          <w:tcPr>
            <w:tcW w:w="0" w:type="dxa"/>
            <w:vAlign w:val="bottom"/>
          </w:tcPr>
          <w:p>
            <w:pPr>
              <w:spacing w:after="0"/>
              <w:rPr>
                <w:sz w:val="1"/>
                <w:szCs w:val="1"/>
                <w:color w:val="auto"/>
              </w:rPr>
            </w:pPr>
          </w:p>
        </w:tc>
      </w:tr>
      <w:tr>
        <w:trPr>
          <w:trHeight w:val="189"/>
        </w:trPr>
        <w:tc>
          <w:tcPr>
            <w:tcW w:w="2480" w:type="dxa"/>
            <w:vAlign w:val="bottom"/>
            <w:shd w:val="clear" w:color="auto" w:fill="052B82"/>
          </w:tcPr>
          <w:p>
            <w:pPr>
              <w:ind w:left="20"/>
              <w:spacing w:after="0"/>
              <w:rPr>
                <w:sz w:val="20"/>
                <w:szCs w:val="20"/>
                <w:color w:val="auto"/>
              </w:rPr>
            </w:pPr>
            <w:r>
              <w:rPr>
                <w:rFonts w:ascii="Arial" w:cs="Arial" w:eastAsia="Arial" w:hAnsi="Arial"/>
                <w:sz w:val="14"/>
                <w:szCs w:val="14"/>
                <w:b w:val="1"/>
                <w:bCs w:val="1"/>
                <w:color w:val="FFFFFF"/>
              </w:rPr>
              <w:t>Name</w:t>
            </w:r>
          </w:p>
        </w:tc>
        <w:tc>
          <w:tcPr>
            <w:tcW w:w="1020" w:type="dxa"/>
            <w:vAlign w:val="bottom"/>
            <w:shd w:val="clear" w:color="auto" w:fill="052B82"/>
          </w:tcPr>
          <w:p>
            <w:pPr>
              <w:jc w:val="right"/>
              <w:ind w:right="248"/>
              <w:spacing w:after="0"/>
              <w:rPr>
                <w:sz w:val="20"/>
                <w:szCs w:val="20"/>
                <w:color w:val="auto"/>
              </w:rPr>
            </w:pPr>
            <w:r>
              <w:rPr>
                <w:rFonts w:ascii="Arial" w:cs="Arial" w:eastAsia="Arial" w:hAnsi="Arial"/>
                <w:sz w:val="14"/>
                <w:szCs w:val="14"/>
                <w:b w:val="1"/>
                <w:bCs w:val="1"/>
                <w:color w:val="FFFFFF"/>
              </w:rPr>
              <w:t>Date</w:t>
            </w:r>
          </w:p>
        </w:tc>
        <w:tc>
          <w:tcPr>
            <w:tcW w:w="1140" w:type="dxa"/>
            <w:vAlign w:val="bottom"/>
            <w:shd w:val="clear" w:color="auto" w:fill="052B82"/>
          </w:tcPr>
          <w:p>
            <w:pPr>
              <w:jc w:val="center"/>
              <w:ind w:right="148"/>
              <w:spacing w:after="0"/>
              <w:rPr>
                <w:sz w:val="20"/>
                <w:szCs w:val="20"/>
                <w:color w:val="auto"/>
              </w:rPr>
            </w:pPr>
            <w:r>
              <w:rPr>
                <w:rFonts w:ascii="Arial" w:cs="Arial" w:eastAsia="Arial" w:hAnsi="Arial"/>
                <w:sz w:val="14"/>
                <w:szCs w:val="14"/>
                <w:b w:val="1"/>
                <w:bCs w:val="1"/>
                <w:color w:val="FFFFFF"/>
                <w:w w:val="93"/>
              </w:rPr>
              <w:t>(#)</w:t>
            </w:r>
          </w:p>
        </w:tc>
        <w:tc>
          <w:tcPr>
            <w:tcW w:w="80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w:t>
            </w:r>
          </w:p>
        </w:tc>
        <w:tc>
          <w:tcPr>
            <w:tcW w:w="820" w:type="dxa"/>
            <w:vAlign w:val="bottom"/>
            <w:shd w:val="clear" w:color="auto" w:fill="052B82"/>
          </w:tcPr>
          <w:p>
            <w:pPr>
              <w:jc w:val="right"/>
              <w:ind w:right="228"/>
              <w:spacing w:after="0"/>
              <w:rPr>
                <w:sz w:val="20"/>
                <w:szCs w:val="20"/>
                <w:color w:val="auto"/>
              </w:rPr>
            </w:pPr>
            <w:r>
              <w:rPr>
                <w:rFonts w:ascii="Arial" w:cs="Arial" w:eastAsia="Arial" w:hAnsi="Arial"/>
                <w:sz w:val="14"/>
                <w:szCs w:val="14"/>
                <w:b w:val="1"/>
                <w:bCs w:val="1"/>
                <w:color w:val="FFFFFF"/>
              </w:rPr>
              <w:t>(%)</w:t>
            </w:r>
          </w:p>
        </w:tc>
        <w:tc>
          <w:tcPr>
            <w:tcW w:w="840" w:type="dxa"/>
            <w:vAlign w:val="bottom"/>
            <w:shd w:val="clear" w:color="auto" w:fill="052B82"/>
          </w:tcPr>
          <w:p>
            <w:pPr>
              <w:jc w:val="right"/>
              <w:ind w:right="108"/>
              <w:spacing w:after="0"/>
              <w:rPr>
                <w:sz w:val="20"/>
                <w:szCs w:val="20"/>
                <w:color w:val="auto"/>
              </w:rPr>
            </w:pPr>
            <w:r>
              <w:rPr>
                <w:rFonts w:ascii="Arial" w:cs="Arial" w:eastAsia="Arial" w:hAnsi="Arial"/>
                <w:sz w:val="14"/>
                <w:szCs w:val="14"/>
                <w:b w:val="1"/>
                <w:bCs w:val="1"/>
                <w:color w:val="FFFFFF"/>
              </w:rPr>
              <w:t>(Years)</w:t>
            </w:r>
          </w:p>
        </w:tc>
        <w:tc>
          <w:tcPr>
            <w:tcW w:w="880" w:type="dxa"/>
            <w:vAlign w:val="bottom"/>
            <w:shd w:val="clear" w:color="auto" w:fill="052B82"/>
          </w:tcPr>
          <w:p>
            <w:pPr>
              <w:jc w:val="right"/>
              <w:ind w:right="88"/>
              <w:spacing w:after="0"/>
              <w:rPr>
                <w:sz w:val="20"/>
                <w:szCs w:val="20"/>
                <w:color w:val="auto"/>
              </w:rPr>
            </w:pPr>
            <w:r>
              <w:rPr>
                <w:rFonts w:ascii="Arial" w:cs="Arial" w:eastAsia="Arial" w:hAnsi="Arial"/>
                <w:sz w:val="14"/>
                <w:szCs w:val="14"/>
                <w:b w:val="1"/>
                <w:bCs w:val="1"/>
                <w:color w:val="FFFFFF"/>
              </w:rPr>
              <w:t>Rate (%)</w:t>
            </w:r>
          </w:p>
        </w:tc>
        <w:tc>
          <w:tcPr>
            <w:tcW w:w="820" w:type="dxa"/>
            <w:vAlign w:val="bottom"/>
            <w:shd w:val="clear" w:color="auto" w:fill="052B82"/>
          </w:tcPr>
          <w:p>
            <w:pPr>
              <w:jc w:val="right"/>
              <w:ind w:right="248"/>
              <w:spacing w:after="0"/>
              <w:rPr>
                <w:sz w:val="20"/>
                <w:szCs w:val="20"/>
                <w:color w:val="auto"/>
              </w:rPr>
            </w:pPr>
            <w:r>
              <w:rPr>
                <w:rFonts w:ascii="Arial" w:cs="Arial" w:eastAsia="Arial" w:hAnsi="Arial"/>
                <w:sz w:val="14"/>
                <w:szCs w:val="14"/>
                <w:b w:val="1"/>
                <w:bCs w:val="1"/>
                <w:color w:val="FFFFFF"/>
              </w:rPr>
              <w:t>(%)</w:t>
            </w:r>
          </w:p>
        </w:tc>
        <w:tc>
          <w:tcPr>
            <w:tcW w:w="6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Share</w:t>
            </w:r>
          </w:p>
        </w:tc>
        <w:tc>
          <w:tcPr>
            <w:tcW w:w="15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Based RSUs ($)</w:t>
            </w:r>
          </w:p>
        </w:tc>
        <w:tc>
          <w:tcPr>
            <w:tcW w:w="0" w:type="dxa"/>
            <w:vAlign w:val="bottom"/>
          </w:tcPr>
          <w:p>
            <w:pPr>
              <w:spacing w:after="0"/>
              <w:rPr>
                <w:sz w:val="1"/>
                <w:szCs w:val="1"/>
                <w:color w:val="auto"/>
              </w:rPr>
            </w:pPr>
          </w:p>
        </w:tc>
      </w:tr>
      <w:tr>
        <w:trPr>
          <w:trHeight w:val="275"/>
        </w:trPr>
        <w:tc>
          <w:tcPr>
            <w:tcW w:w="2480" w:type="dxa"/>
            <w:vAlign w:val="bottom"/>
          </w:tcPr>
          <w:p>
            <w:pPr>
              <w:ind w:left="20"/>
              <w:spacing w:after="0"/>
              <w:rPr>
                <w:sz w:val="20"/>
                <w:szCs w:val="20"/>
                <w:color w:val="auto"/>
              </w:rPr>
            </w:pPr>
            <w:r>
              <w:rPr>
                <w:rFonts w:ascii="Arial" w:cs="Arial" w:eastAsia="Arial" w:hAnsi="Arial"/>
                <w:sz w:val="14"/>
                <w:szCs w:val="14"/>
                <w:color w:val="auto"/>
              </w:rPr>
              <w:t>Steve Pietkiewicz</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6/15/2017</w:t>
            </w:r>
          </w:p>
        </w:tc>
        <w:tc>
          <w:tcPr>
            <w:tcW w:w="1140" w:type="dxa"/>
            <w:vAlign w:val="bottom"/>
          </w:tcPr>
          <w:p>
            <w:pPr>
              <w:jc w:val="right"/>
              <w:ind w:right="188"/>
              <w:spacing w:after="0"/>
              <w:rPr>
                <w:sz w:val="20"/>
                <w:szCs w:val="20"/>
                <w:color w:val="auto"/>
              </w:rPr>
            </w:pPr>
            <w:r>
              <w:rPr>
                <w:rFonts w:ascii="Arial" w:cs="Arial" w:eastAsia="Arial" w:hAnsi="Arial"/>
                <w:sz w:val="14"/>
                <w:szCs w:val="14"/>
                <w:color w:val="auto"/>
              </w:rPr>
              <w:t>6,715*</w:t>
            </w: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tcPr>
          <w:p>
            <w:pPr>
              <w:ind w:left="48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1.49</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2.26</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74.48</w:t>
            </w: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2480" w:type="dxa"/>
            <w:vAlign w:val="bottom"/>
          </w:tcPr>
          <w:p>
            <w:pPr>
              <w:spacing w:after="0"/>
              <w:rPr>
                <w:sz w:val="14"/>
                <w:szCs w:val="1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6/15/2017</w:t>
            </w:r>
          </w:p>
        </w:tc>
        <w:tc>
          <w:tcPr>
            <w:tcW w:w="1140" w:type="dxa"/>
            <w:vAlign w:val="bottom"/>
          </w:tcPr>
          <w:p>
            <w:pPr>
              <w:jc w:val="right"/>
              <w:ind w:right="248"/>
              <w:spacing w:after="0"/>
              <w:rPr>
                <w:sz w:val="20"/>
                <w:szCs w:val="20"/>
                <w:color w:val="auto"/>
              </w:rPr>
            </w:pPr>
            <w:r>
              <w:rPr>
                <w:rFonts w:ascii="Arial" w:cs="Arial" w:eastAsia="Arial" w:hAnsi="Arial"/>
                <w:sz w:val="14"/>
                <w:szCs w:val="14"/>
                <w:color w:val="auto"/>
              </w:rPr>
              <w:t>30,391</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79.75</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26.10</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5.0</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1.76</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2.26</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15.68</w:t>
            </w: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tcPr>
          <w:p>
            <w:pPr>
              <w:spacing w:after="0"/>
              <w:rPr>
                <w:sz w:val="14"/>
                <w:szCs w:val="1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7/17/2017</w:t>
            </w: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15,218***</w:t>
            </w: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tcPr>
          <w:p>
            <w:pPr>
              <w:ind w:left="48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1.76</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1.97</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85.94</w:t>
            </w: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1,569,402</w:t>
            </w:r>
          </w:p>
        </w:tc>
        <w:tc>
          <w:tcPr>
            <w:tcW w:w="0" w:type="dxa"/>
            <w:vAlign w:val="bottom"/>
          </w:tcPr>
          <w:p>
            <w:pPr>
              <w:spacing w:after="0"/>
              <w:rPr>
                <w:sz w:val="1"/>
                <w:szCs w:val="1"/>
                <w:color w:val="auto"/>
              </w:rPr>
            </w:pPr>
          </w:p>
        </w:tc>
      </w:tr>
      <w:tr>
        <w:trPr>
          <w:trHeight w:val="162"/>
        </w:trPr>
        <w:tc>
          <w:tcPr>
            <w:tcW w:w="2480" w:type="dxa"/>
            <w:vAlign w:val="bottom"/>
          </w:tcPr>
          <w:p>
            <w:pPr>
              <w:spacing w:after="0"/>
              <w:rPr>
                <w:sz w:val="14"/>
                <w:szCs w:val="1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10/16/2017</w:t>
            </w:r>
          </w:p>
        </w:tc>
        <w:tc>
          <w:tcPr>
            <w:tcW w:w="1140" w:type="dxa"/>
            <w:vAlign w:val="bottom"/>
          </w:tcPr>
          <w:p>
            <w:pPr>
              <w:jc w:val="right"/>
              <w:ind w:right="188"/>
              <w:spacing w:after="0"/>
              <w:rPr>
                <w:sz w:val="20"/>
                <w:szCs w:val="20"/>
                <w:color w:val="auto"/>
              </w:rPr>
            </w:pPr>
            <w:r>
              <w:rPr>
                <w:rFonts w:ascii="Arial" w:cs="Arial" w:eastAsia="Arial" w:hAnsi="Arial"/>
                <w:sz w:val="14"/>
                <w:szCs w:val="14"/>
                <w:color w:val="auto"/>
              </w:rPr>
              <w:t>17,356*</w:t>
            </w: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tcPr>
          <w:p>
            <w:pPr>
              <w:ind w:left="48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1.66</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2.05</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85.31</w:t>
            </w: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tcPr>
          <w:p>
            <w:pPr>
              <w:spacing w:after="0"/>
              <w:rPr>
                <w:sz w:val="14"/>
                <w:szCs w:val="1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3/29/2018</w:t>
            </w:r>
          </w:p>
        </w:tc>
        <w:tc>
          <w:tcPr>
            <w:tcW w:w="1140" w:type="dxa"/>
            <w:vAlign w:val="bottom"/>
          </w:tcPr>
          <w:p>
            <w:pPr>
              <w:jc w:val="right"/>
              <w:ind w:right="188"/>
              <w:spacing w:after="0"/>
              <w:rPr>
                <w:sz w:val="20"/>
                <w:szCs w:val="20"/>
                <w:color w:val="auto"/>
              </w:rPr>
            </w:pPr>
            <w:r>
              <w:rPr>
                <w:rFonts w:ascii="Arial" w:cs="Arial" w:eastAsia="Arial" w:hAnsi="Arial"/>
                <w:sz w:val="14"/>
                <w:szCs w:val="14"/>
                <w:color w:val="auto"/>
              </w:rPr>
              <w:t>5,650*</w:t>
            </w: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tcPr>
          <w:p>
            <w:pPr>
              <w:ind w:left="48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2.54</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2.11</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86.51</w:t>
            </w: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tcPr>
          <w:p>
            <w:pPr>
              <w:spacing w:after="0"/>
              <w:rPr>
                <w:sz w:val="14"/>
                <w:szCs w:val="1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3/29/2018</w:t>
            </w: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5,650**</w:t>
            </w: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25.63</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2.37</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2.08</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101.23</w:t>
            </w: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1,143,899</w:t>
            </w:r>
          </w:p>
        </w:tc>
        <w:tc>
          <w:tcPr>
            <w:tcW w:w="0" w:type="dxa"/>
            <w:vAlign w:val="bottom"/>
          </w:tcPr>
          <w:p>
            <w:pPr>
              <w:spacing w:after="0"/>
              <w:rPr>
                <w:sz w:val="1"/>
                <w:szCs w:val="1"/>
                <w:color w:val="auto"/>
              </w:rPr>
            </w:pPr>
          </w:p>
        </w:tc>
      </w:tr>
      <w:tr>
        <w:trPr>
          <w:trHeight w:val="162"/>
        </w:trPr>
        <w:tc>
          <w:tcPr>
            <w:tcW w:w="2480" w:type="dxa"/>
            <w:vAlign w:val="bottom"/>
          </w:tcPr>
          <w:p>
            <w:pPr>
              <w:spacing w:after="0"/>
              <w:rPr>
                <w:sz w:val="14"/>
                <w:szCs w:val="1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3/29/2018</w:t>
            </w:r>
          </w:p>
        </w:tc>
        <w:tc>
          <w:tcPr>
            <w:tcW w:w="1140" w:type="dxa"/>
            <w:vAlign w:val="bottom"/>
          </w:tcPr>
          <w:p>
            <w:pPr>
              <w:jc w:val="right"/>
              <w:ind w:right="248"/>
              <w:spacing w:after="0"/>
              <w:rPr>
                <w:sz w:val="20"/>
                <w:szCs w:val="20"/>
                <w:color w:val="auto"/>
              </w:rPr>
            </w:pPr>
            <w:r>
              <w:rPr>
                <w:rFonts w:ascii="Arial" w:cs="Arial" w:eastAsia="Arial" w:hAnsi="Arial"/>
                <w:sz w:val="14"/>
                <w:szCs w:val="14"/>
                <w:color w:val="auto"/>
              </w:rPr>
              <w:t>23,713</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91.13</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27.77</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5.0</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2.64</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2.11</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20.83</w:t>
            </w: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tcPr>
          <w:p>
            <w:pPr>
              <w:spacing w:after="0"/>
              <w:rPr>
                <w:sz w:val="14"/>
                <w:szCs w:val="1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6/15/2018</w:t>
            </w:r>
          </w:p>
        </w:tc>
        <w:tc>
          <w:tcPr>
            <w:tcW w:w="1140" w:type="dxa"/>
            <w:vAlign w:val="bottom"/>
          </w:tcPr>
          <w:p>
            <w:pPr>
              <w:jc w:val="right"/>
              <w:ind w:right="188"/>
              <w:spacing w:after="0"/>
              <w:rPr>
                <w:sz w:val="20"/>
                <w:szCs w:val="20"/>
                <w:color w:val="auto"/>
              </w:rPr>
            </w:pPr>
            <w:r>
              <w:rPr>
                <w:rFonts w:ascii="Arial" w:cs="Arial" w:eastAsia="Arial" w:hAnsi="Arial"/>
                <w:sz w:val="14"/>
                <w:szCs w:val="14"/>
                <w:color w:val="auto"/>
              </w:rPr>
              <w:t>4,028*</w:t>
            </w: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tcPr>
          <w:p>
            <w:pPr>
              <w:ind w:left="48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2.75</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1.89</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96.90</w:t>
            </w: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tcPr>
          <w:p>
            <w:pPr>
              <w:spacing w:after="0"/>
              <w:rPr>
                <w:sz w:val="14"/>
                <w:szCs w:val="1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3/13/2019</w:t>
            </w:r>
          </w:p>
        </w:tc>
        <w:tc>
          <w:tcPr>
            <w:tcW w:w="1140" w:type="dxa"/>
            <w:vAlign w:val="bottom"/>
          </w:tcPr>
          <w:p>
            <w:pPr>
              <w:jc w:val="right"/>
              <w:ind w:right="188"/>
              <w:spacing w:after="0"/>
              <w:rPr>
                <w:sz w:val="20"/>
                <w:szCs w:val="20"/>
                <w:color w:val="auto"/>
              </w:rPr>
            </w:pPr>
            <w:r>
              <w:rPr>
                <w:rFonts w:ascii="Arial" w:cs="Arial" w:eastAsia="Arial" w:hAnsi="Arial"/>
                <w:sz w:val="14"/>
                <w:szCs w:val="14"/>
                <w:color w:val="auto"/>
              </w:rPr>
              <w:t>3,992*</w:t>
            </w: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tcPr>
          <w:p>
            <w:pPr>
              <w:ind w:left="48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2.42</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2.00</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102.89</w:t>
            </w: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tcPr>
          <w:p>
            <w:pPr>
              <w:spacing w:after="0"/>
              <w:rPr>
                <w:sz w:val="14"/>
                <w:szCs w:val="1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3/13/2019</w:t>
            </w: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3,992**</w:t>
            </w: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24.07</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2.38</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2.00</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114.36</w:t>
            </w: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913,050</w:t>
            </w:r>
          </w:p>
        </w:tc>
        <w:tc>
          <w:tcPr>
            <w:tcW w:w="0" w:type="dxa"/>
            <w:vAlign w:val="bottom"/>
          </w:tcPr>
          <w:p>
            <w:pPr>
              <w:spacing w:after="0"/>
              <w:rPr>
                <w:sz w:val="1"/>
                <w:szCs w:val="1"/>
                <w:color w:val="auto"/>
              </w:rPr>
            </w:pPr>
          </w:p>
        </w:tc>
      </w:tr>
      <w:tr>
        <w:trPr>
          <w:trHeight w:val="162"/>
        </w:trPr>
        <w:tc>
          <w:tcPr>
            <w:tcW w:w="2480" w:type="dxa"/>
            <w:vAlign w:val="bottom"/>
          </w:tcPr>
          <w:p>
            <w:pPr>
              <w:spacing w:after="0"/>
              <w:rPr>
                <w:sz w:val="14"/>
                <w:szCs w:val="1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3/13/2019</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3,992****</w:t>
            </w: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tcPr>
          <w:p>
            <w:pPr>
              <w:ind w:left="48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2.42</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2.00</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92.00</w:t>
            </w: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813,170</w:t>
            </w:r>
          </w:p>
        </w:tc>
        <w:tc>
          <w:tcPr>
            <w:tcW w:w="0" w:type="dxa"/>
            <w:vAlign w:val="bottom"/>
          </w:tcPr>
          <w:p>
            <w:pPr>
              <w:spacing w:after="0"/>
              <w:rPr>
                <w:sz w:val="1"/>
                <w:szCs w:val="1"/>
                <w:color w:val="auto"/>
              </w:rPr>
            </w:pPr>
          </w:p>
        </w:tc>
      </w:tr>
      <w:tr>
        <w:trPr>
          <w:trHeight w:val="162"/>
        </w:trPr>
        <w:tc>
          <w:tcPr>
            <w:tcW w:w="2480" w:type="dxa"/>
            <w:vAlign w:val="bottom"/>
          </w:tcPr>
          <w:p>
            <w:pPr>
              <w:spacing w:after="0"/>
              <w:rPr>
                <w:sz w:val="14"/>
                <w:szCs w:val="1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3/13/2019</w:t>
            </w:r>
          </w:p>
        </w:tc>
        <w:tc>
          <w:tcPr>
            <w:tcW w:w="1140" w:type="dxa"/>
            <w:vAlign w:val="bottom"/>
          </w:tcPr>
          <w:p>
            <w:pPr>
              <w:jc w:val="right"/>
              <w:ind w:right="248"/>
              <w:spacing w:after="0"/>
              <w:rPr>
                <w:sz w:val="20"/>
                <w:szCs w:val="20"/>
                <w:color w:val="auto"/>
              </w:rPr>
            </w:pPr>
            <w:r>
              <w:rPr>
                <w:rFonts w:ascii="Arial" w:cs="Arial" w:eastAsia="Arial" w:hAnsi="Arial"/>
                <w:sz w:val="14"/>
                <w:szCs w:val="14"/>
                <w:color w:val="auto"/>
              </w:rPr>
              <w:t>17,676</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108.08</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26.32</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5.0</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2.42</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2.00</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23.43</w:t>
            </w: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480" w:type="dxa"/>
            <w:vAlign w:val="bottom"/>
          </w:tcPr>
          <w:p>
            <w:pPr>
              <w:spacing w:after="0"/>
              <w:rPr>
                <w:sz w:val="14"/>
                <w:szCs w:val="1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6/17/2019</w:t>
            </w:r>
          </w:p>
        </w:tc>
        <w:tc>
          <w:tcPr>
            <w:tcW w:w="1140" w:type="dxa"/>
            <w:vAlign w:val="bottom"/>
          </w:tcPr>
          <w:p>
            <w:pPr>
              <w:jc w:val="right"/>
              <w:ind w:right="188"/>
              <w:spacing w:after="0"/>
              <w:rPr>
                <w:sz w:val="20"/>
                <w:szCs w:val="20"/>
                <w:color w:val="auto"/>
              </w:rPr>
            </w:pPr>
            <w:r>
              <w:rPr>
                <w:rFonts w:ascii="Arial" w:cs="Arial" w:eastAsia="Arial" w:hAnsi="Arial"/>
                <w:sz w:val="14"/>
                <w:szCs w:val="14"/>
                <w:color w:val="auto"/>
              </w:rPr>
              <w:t>3,849*</w:t>
            </w: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tcPr>
          <w:p>
            <w:pPr>
              <w:ind w:left="48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1.83</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2.06</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99.85</w:t>
            </w: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-2144395</wp:posOffset>
            </wp:positionV>
            <wp:extent cx="198945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989455"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76200</wp:posOffset>
            </wp:positionV>
            <wp:extent cx="76327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3" w:lineRule="exact"/>
        <w:rPr>
          <w:sz w:val="20"/>
          <w:szCs w:val="20"/>
          <w:color w:val="auto"/>
        </w:rPr>
      </w:pPr>
    </w:p>
    <w:p>
      <w:pPr>
        <w:ind w:left="640" w:right="40"/>
        <w:spacing w:after="0" w:line="235" w:lineRule="auto"/>
        <w:rPr>
          <w:sz w:val="20"/>
          <w:szCs w:val="20"/>
          <w:color w:val="auto"/>
        </w:rPr>
      </w:pPr>
      <w:r>
        <w:rPr>
          <w:rFonts w:ascii="Arial" w:cs="Arial" w:eastAsia="Arial" w:hAnsi="Arial"/>
          <w:sz w:val="18"/>
          <w:szCs w:val="18"/>
          <w:color w:val="auto"/>
        </w:rPr>
        <w:t>Entries above with single asterisks (*) are time-based RSUs, entries with double asterisks (**) are relative TSR PRSUs, entries with triple asterisks (***) are Linear Integration PRSUs, entries with quadruple asterisks (****) are financial metric PRSUs and entries without asterisks are stock options. The grant date fair value of time-based RSUs represents the value of our common stock on the date of grant, reduced by the present value of dividends expected to be paid on our common stock prior to vesting. The grant date fair value of the relative TSR PRSUs was calculated using the Monte Carlo simulation model which utilizes multiple input variables that determine the probability of satisfying the performance conditions stipulated in the award grant to calculate the fair market value. The Monte Carlo simulation model also uses stock price volatility and other variables to estimate the probability of satisfying the performance conditions, including the possibility that the market condition may not be satisfied, and the resulting fair value of the award. The grant date fair value of Linear Integration PRSUs represents the value of our common stock as of October 28, 2017, reduced by the present value of dividends expected to be paid on our common stock prior to vesting based upon the then-probable outcome of the performance conditions. The grant date fair value of the financial metric PRSUs represents the value at the grant date based upon the probable outcome of the performance conditions at the date of grant. The grant date fair value of stock options is computed using a Black-Scholes valuation methodology. For a more detailed description of the assumptions used for purposes of determining grant date fair value, see Note 3 to the Consolidated Financial Statements and “Management’s Discussion and Analysis of Financial Condition and Results of Operations —Critical Accounting Policies and Estimates —Stock-Based Compensation,” included in our Annual Report on Form 10-K for the year ended November 2, 2019.</w:t>
      </w:r>
    </w:p>
    <w:p>
      <w:pPr>
        <w:spacing w:after="0" w:line="120" w:lineRule="exact"/>
        <w:rPr>
          <w:sz w:val="20"/>
          <w:szCs w:val="20"/>
          <w:color w:val="auto"/>
        </w:rPr>
      </w:pPr>
    </w:p>
    <w:p>
      <w:pPr>
        <w:ind w:left="640" w:right="260" w:hanging="436"/>
        <w:spacing w:after="0"/>
        <w:tabs>
          <w:tab w:leader="none" w:pos="6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Reflects the amounts earned under our executive performance incentive plan in fiscal 2019, 2018 and 2017. For Mr. Pietkiewicz, amounts earned in fiscal 2017 and the first half of fiscal 2018 were under the legacy Linear Technology profit sharing program and Linear Technology Corporation Executive Bonus Plan.</w:t>
      </w:r>
    </w:p>
    <w:p>
      <w:pPr>
        <w:spacing w:after="0" w:line="133" w:lineRule="exact"/>
        <w:rPr>
          <w:sz w:val="20"/>
          <w:szCs w:val="20"/>
          <w:color w:val="auto"/>
        </w:rPr>
      </w:pPr>
    </w:p>
    <w:p>
      <w:pPr>
        <w:ind w:left="600" w:hanging="396"/>
        <w:spacing w:after="0"/>
        <w:tabs>
          <w:tab w:leader="none" w:pos="600" w:val="left"/>
        </w:tabs>
        <w:numPr>
          <w:ilvl w:val="0"/>
          <w:numId w:val="89"/>
        </w:numPr>
        <w:rPr>
          <w:rFonts w:ascii="Arial" w:cs="Arial" w:eastAsia="Arial" w:hAnsi="Arial"/>
          <w:sz w:val="18"/>
          <w:szCs w:val="18"/>
          <w:color w:val="999999"/>
        </w:rPr>
      </w:pPr>
      <w:r>
        <w:rPr>
          <w:rFonts w:ascii="Arial" w:cs="Arial" w:eastAsia="Arial" w:hAnsi="Arial"/>
          <w:sz w:val="14"/>
          <w:szCs w:val="14"/>
          <w:b w:val="1"/>
          <w:bCs w:val="1"/>
          <w:color w:val="052B82"/>
        </w:rPr>
        <w:t>Analog Devices, Inc.</w:t>
      </w:r>
    </w:p>
    <w:p>
      <w:pPr>
        <w:sectPr>
          <w:pgSz w:w="11900" w:h="16838" w:orient="portrait"/>
          <w:cols w:equalWidth="0" w:num="1">
            <w:col w:w="11240"/>
          </w:cols>
          <w:pgMar w:left="240" w:top="459" w:right="41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205740</wp:posOffset>
            </wp:positionV>
            <wp:extent cx="2649855" cy="1371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40" w:hanging="436"/>
        <w:spacing w:after="0"/>
        <w:tabs>
          <w:tab w:leader="none" w:pos="6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amounts shown in the “All Other Compensation” column are comprised of the following:</w:t>
      </w:r>
    </w:p>
    <w:p>
      <w:pPr>
        <w:spacing w:after="0" w:line="203" w:lineRule="exact"/>
        <w:rPr>
          <w:sz w:val="20"/>
          <w:szCs w:val="20"/>
          <w:color w:val="auto"/>
        </w:rPr>
      </w:pPr>
    </w:p>
    <w:tbl>
      <w:tblPr>
        <w:tblLayout w:type="fixed"/>
        <w:tblInd w:w="220" w:type="dxa"/>
        <w:tblCellMar>
          <w:top w:w="0" w:type="dxa"/>
          <w:left w:w="0" w:type="dxa"/>
          <w:bottom w:w="0" w:type="dxa"/>
          <w:right w:w="0" w:type="dxa"/>
        </w:tblCellMar>
      </w:tblPr>
      <w:tr>
        <w:trPr>
          <w:trHeight w:val="149"/>
        </w:trPr>
        <w:tc>
          <w:tcPr>
            <w:tcW w:w="2940" w:type="dxa"/>
            <w:vAlign w:val="bottom"/>
            <w:shd w:val="clear" w:color="auto" w:fill="052B82"/>
          </w:tcPr>
          <w:p>
            <w:pPr>
              <w:spacing w:after="0"/>
              <w:rPr>
                <w:sz w:val="13"/>
                <w:szCs w:val="13"/>
                <w:color w:val="auto"/>
              </w:rPr>
            </w:pPr>
          </w:p>
        </w:tc>
        <w:tc>
          <w:tcPr>
            <w:tcW w:w="520" w:type="dxa"/>
            <w:vAlign w:val="bottom"/>
            <w:shd w:val="clear" w:color="auto" w:fill="052B82"/>
          </w:tcPr>
          <w:p>
            <w:pPr>
              <w:spacing w:after="0"/>
              <w:rPr>
                <w:sz w:val="13"/>
                <w:szCs w:val="13"/>
                <w:color w:val="auto"/>
              </w:rPr>
            </w:pPr>
          </w:p>
        </w:tc>
        <w:tc>
          <w:tcPr>
            <w:tcW w:w="740" w:type="dxa"/>
            <w:vAlign w:val="bottom"/>
            <w:gridSpan w:val="2"/>
            <w:shd w:val="clear" w:color="auto" w:fill="052B82"/>
          </w:tcPr>
          <w:p>
            <w:pPr>
              <w:ind w:left="80"/>
              <w:spacing w:after="0"/>
              <w:rPr>
                <w:sz w:val="20"/>
                <w:szCs w:val="20"/>
                <w:color w:val="auto"/>
              </w:rPr>
            </w:pPr>
            <w:r>
              <w:rPr>
                <w:rFonts w:ascii="Arial" w:cs="Arial" w:eastAsia="Arial" w:hAnsi="Arial"/>
                <w:sz w:val="13"/>
                <w:szCs w:val="13"/>
                <w:b w:val="1"/>
                <w:bCs w:val="1"/>
                <w:color w:val="FFFFFF"/>
              </w:rPr>
              <w:t>Company</w:t>
            </w:r>
          </w:p>
        </w:tc>
        <w:tc>
          <w:tcPr>
            <w:tcW w:w="140" w:type="dxa"/>
            <w:vAlign w:val="bottom"/>
            <w:shd w:val="clear" w:color="auto" w:fill="052B82"/>
          </w:tcPr>
          <w:p>
            <w:pPr>
              <w:spacing w:after="0"/>
              <w:rPr>
                <w:sz w:val="13"/>
                <w:szCs w:val="13"/>
                <w:color w:val="auto"/>
              </w:rPr>
            </w:pPr>
          </w:p>
        </w:tc>
        <w:tc>
          <w:tcPr>
            <w:tcW w:w="600" w:type="dxa"/>
            <w:vAlign w:val="bottom"/>
            <w:shd w:val="clear" w:color="auto" w:fill="052B82"/>
          </w:tcPr>
          <w:p>
            <w:pPr>
              <w:spacing w:after="0"/>
              <w:rPr>
                <w:sz w:val="13"/>
                <w:szCs w:val="13"/>
                <w:color w:val="auto"/>
              </w:rPr>
            </w:pPr>
          </w:p>
        </w:tc>
        <w:tc>
          <w:tcPr>
            <w:tcW w:w="160" w:type="dxa"/>
            <w:vAlign w:val="bottom"/>
            <w:shd w:val="clear" w:color="auto" w:fill="052B82"/>
          </w:tcPr>
          <w:p>
            <w:pPr>
              <w:spacing w:after="0"/>
              <w:rPr>
                <w:sz w:val="13"/>
                <w:szCs w:val="13"/>
                <w:color w:val="auto"/>
              </w:rPr>
            </w:pPr>
          </w:p>
        </w:tc>
        <w:tc>
          <w:tcPr>
            <w:tcW w:w="560" w:type="dxa"/>
            <w:vAlign w:val="bottom"/>
            <w:shd w:val="clear" w:color="auto" w:fill="052B82"/>
          </w:tcPr>
          <w:p>
            <w:pPr>
              <w:spacing w:after="0"/>
              <w:rPr>
                <w:sz w:val="13"/>
                <w:szCs w:val="13"/>
                <w:color w:val="auto"/>
              </w:rPr>
            </w:pPr>
          </w:p>
        </w:tc>
        <w:tc>
          <w:tcPr>
            <w:tcW w:w="160" w:type="dxa"/>
            <w:vAlign w:val="bottom"/>
            <w:shd w:val="clear" w:color="auto" w:fill="052B82"/>
          </w:tcPr>
          <w:p>
            <w:pPr>
              <w:spacing w:after="0"/>
              <w:rPr>
                <w:sz w:val="13"/>
                <w:szCs w:val="13"/>
                <w:color w:val="auto"/>
              </w:rPr>
            </w:pPr>
          </w:p>
        </w:tc>
        <w:tc>
          <w:tcPr>
            <w:tcW w:w="640" w:type="dxa"/>
            <w:vAlign w:val="bottom"/>
            <w:shd w:val="clear" w:color="auto" w:fill="052B82"/>
          </w:tcPr>
          <w:p>
            <w:pPr>
              <w:spacing w:after="0"/>
              <w:rPr>
                <w:sz w:val="13"/>
                <w:szCs w:val="13"/>
                <w:color w:val="auto"/>
              </w:rPr>
            </w:pPr>
          </w:p>
        </w:tc>
        <w:tc>
          <w:tcPr>
            <w:tcW w:w="160" w:type="dxa"/>
            <w:vAlign w:val="bottom"/>
            <w:shd w:val="clear" w:color="auto" w:fill="052B82"/>
          </w:tcPr>
          <w:p>
            <w:pPr>
              <w:spacing w:after="0"/>
              <w:rPr>
                <w:sz w:val="13"/>
                <w:szCs w:val="13"/>
                <w:color w:val="auto"/>
              </w:rPr>
            </w:pPr>
          </w:p>
        </w:tc>
        <w:tc>
          <w:tcPr>
            <w:tcW w:w="620" w:type="dxa"/>
            <w:vAlign w:val="bottom"/>
            <w:shd w:val="clear" w:color="auto" w:fill="052B82"/>
          </w:tcPr>
          <w:p>
            <w:pPr>
              <w:spacing w:after="0"/>
              <w:rPr>
                <w:sz w:val="13"/>
                <w:szCs w:val="13"/>
                <w:color w:val="auto"/>
              </w:rPr>
            </w:pPr>
          </w:p>
        </w:tc>
        <w:tc>
          <w:tcPr>
            <w:tcW w:w="240" w:type="dxa"/>
            <w:vAlign w:val="bottom"/>
            <w:shd w:val="clear" w:color="auto" w:fill="052B82"/>
          </w:tcPr>
          <w:p>
            <w:pPr>
              <w:spacing w:after="0"/>
              <w:rPr>
                <w:sz w:val="13"/>
                <w:szCs w:val="13"/>
                <w:color w:val="auto"/>
              </w:rPr>
            </w:pPr>
          </w:p>
        </w:tc>
        <w:tc>
          <w:tcPr>
            <w:tcW w:w="620" w:type="dxa"/>
            <w:vAlign w:val="bottom"/>
            <w:shd w:val="clear" w:color="auto" w:fill="052B82"/>
          </w:tcPr>
          <w:p>
            <w:pPr>
              <w:spacing w:after="0"/>
              <w:rPr>
                <w:sz w:val="13"/>
                <w:szCs w:val="13"/>
                <w:color w:val="auto"/>
              </w:rPr>
            </w:pPr>
          </w:p>
        </w:tc>
        <w:tc>
          <w:tcPr>
            <w:tcW w:w="160" w:type="dxa"/>
            <w:vAlign w:val="bottom"/>
            <w:shd w:val="clear" w:color="auto" w:fill="052B82"/>
          </w:tcPr>
          <w:p>
            <w:pPr>
              <w:spacing w:after="0"/>
              <w:rPr>
                <w:sz w:val="13"/>
                <w:szCs w:val="13"/>
                <w:color w:val="auto"/>
              </w:rPr>
            </w:pPr>
          </w:p>
        </w:tc>
        <w:tc>
          <w:tcPr>
            <w:tcW w:w="580" w:type="dxa"/>
            <w:vAlign w:val="bottom"/>
            <w:shd w:val="clear" w:color="auto" w:fill="052B82"/>
          </w:tcPr>
          <w:p>
            <w:pPr>
              <w:spacing w:after="0"/>
              <w:rPr>
                <w:sz w:val="13"/>
                <w:szCs w:val="13"/>
                <w:color w:val="auto"/>
              </w:rPr>
            </w:pPr>
          </w:p>
        </w:tc>
        <w:tc>
          <w:tcPr>
            <w:tcW w:w="200" w:type="dxa"/>
            <w:vAlign w:val="bottom"/>
            <w:shd w:val="clear" w:color="auto" w:fill="052B82"/>
          </w:tcPr>
          <w:p>
            <w:pPr>
              <w:spacing w:after="0"/>
              <w:rPr>
                <w:sz w:val="13"/>
                <w:szCs w:val="13"/>
                <w:color w:val="auto"/>
              </w:rPr>
            </w:pPr>
          </w:p>
        </w:tc>
        <w:tc>
          <w:tcPr>
            <w:tcW w:w="480" w:type="dxa"/>
            <w:vAlign w:val="bottom"/>
            <w:shd w:val="clear" w:color="auto" w:fill="052B82"/>
          </w:tcPr>
          <w:p>
            <w:pPr>
              <w:spacing w:after="0"/>
              <w:rPr>
                <w:sz w:val="13"/>
                <w:szCs w:val="13"/>
                <w:color w:val="auto"/>
              </w:rPr>
            </w:pPr>
          </w:p>
        </w:tc>
        <w:tc>
          <w:tcPr>
            <w:tcW w:w="200" w:type="dxa"/>
            <w:vAlign w:val="bottom"/>
            <w:shd w:val="clear" w:color="auto" w:fill="052B82"/>
          </w:tcPr>
          <w:p>
            <w:pPr>
              <w:spacing w:after="0"/>
              <w:rPr>
                <w:sz w:val="13"/>
                <w:szCs w:val="13"/>
                <w:color w:val="auto"/>
              </w:rPr>
            </w:pPr>
          </w:p>
        </w:tc>
        <w:tc>
          <w:tcPr>
            <w:tcW w:w="560" w:type="dxa"/>
            <w:vAlign w:val="bottom"/>
            <w:shd w:val="clear" w:color="auto" w:fill="052B82"/>
          </w:tcPr>
          <w:p>
            <w:pPr>
              <w:spacing w:after="0"/>
              <w:rPr>
                <w:sz w:val="13"/>
                <w:szCs w:val="13"/>
                <w:color w:val="auto"/>
              </w:rPr>
            </w:pPr>
          </w:p>
        </w:tc>
        <w:tc>
          <w:tcPr>
            <w:tcW w:w="200" w:type="dxa"/>
            <w:vAlign w:val="bottom"/>
            <w:shd w:val="clear" w:color="auto" w:fill="052B82"/>
          </w:tcPr>
          <w:p>
            <w:pPr>
              <w:spacing w:after="0"/>
              <w:rPr>
                <w:sz w:val="13"/>
                <w:szCs w:val="13"/>
                <w:color w:val="auto"/>
              </w:rPr>
            </w:pPr>
          </w:p>
        </w:tc>
        <w:tc>
          <w:tcPr>
            <w:tcW w:w="540" w:type="dxa"/>
            <w:vAlign w:val="bottom"/>
            <w:shd w:val="clear" w:color="auto" w:fill="052B82"/>
          </w:tcPr>
          <w:p>
            <w:pPr>
              <w:spacing w:after="0"/>
              <w:rPr>
                <w:sz w:val="13"/>
                <w:szCs w:val="13"/>
                <w:color w:val="auto"/>
              </w:rPr>
            </w:pPr>
          </w:p>
        </w:tc>
      </w:tr>
      <w:tr>
        <w:trPr>
          <w:trHeight w:val="135"/>
        </w:trPr>
        <w:tc>
          <w:tcPr>
            <w:tcW w:w="2940" w:type="dxa"/>
            <w:vAlign w:val="bottom"/>
            <w:shd w:val="clear" w:color="auto" w:fill="052B82"/>
          </w:tcPr>
          <w:p>
            <w:pPr>
              <w:spacing w:after="0"/>
              <w:rPr>
                <w:sz w:val="11"/>
                <w:szCs w:val="11"/>
                <w:color w:val="auto"/>
              </w:rPr>
            </w:pPr>
          </w:p>
        </w:tc>
        <w:tc>
          <w:tcPr>
            <w:tcW w:w="520" w:type="dxa"/>
            <w:vAlign w:val="bottom"/>
            <w:shd w:val="clear" w:color="auto" w:fill="052B82"/>
          </w:tcPr>
          <w:p>
            <w:pPr>
              <w:spacing w:after="0"/>
              <w:rPr>
                <w:sz w:val="11"/>
                <w:szCs w:val="11"/>
                <w:color w:val="auto"/>
              </w:rPr>
            </w:pPr>
          </w:p>
        </w:tc>
        <w:tc>
          <w:tcPr>
            <w:tcW w:w="160" w:type="dxa"/>
            <w:vAlign w:val="bottom"/>
            <w:shd w:val="clear" w:color="auto" w:fill="052B82"/>
          </w:tcPr>
          <w:p>
            <w:pPr>
              <w:spacing w:after="0"/>
              <w:rPr>
                <w:sz w:val="11"/>
                <w:szCs w:val="11"/>
                <w:color w:val="auto"/>
              </w:rPr>
            </w:pPr>
          </w:p>
        </w:tc>
        <w:tc>
          <w:tcPr>
            <w:tcW w:w="580" w:type="dxa"/>
            <w:vAlign w:val="bottom"/>
            <w:shd w:val="clear" w:color="auto" w:fill="052B82"/>
          </w:tcPr>
          <w:p>
            <w:pPr>
              <w:jc w:val="right"/>
              <w:ind w:right="129"/>
              <w:spacing w:after="0" w:line="135" w:lineRule="exact"/>
              <w:rPr>
                <w:sz w:val="20"/>
                <w:szCs w:val="20"/>
                <w:color w:val="auto"/>
              </w:rPr>
            </w:pPr>
            <w:r>
              <w:rPr>
                <w:rFonts w:ascii="Arial" w:cs="Arial" w:eastAsia="Arial" w:hAnsi="Arial"/>
                <w:sz w:val="13"/>
                <w:szCs w:val="13"/>
                <w:b w:val="1"/>
                <w:bCs w:val="1"/>
                <w:color w:val="FFFFFF"/>
                <w:w w:val="95"/>
              </w:rPr>
              <w:t>401(k)</w:t>
            </w:r>
          </w:p>
        </w:tc>
        <w:tc>
          <w:tcPr>
            <w:tcW w:w="740" w:type="dxa"/>
            <w:vAlign w:val="bottom"/>
            <w:gridSpan w:val="2"/>
            <w:shd w:val="clear" w:color="auto" w:fill="052B82"/>
          </w:tcPr>
          <w:p>
            <w:pPr>
              <w:ind w:left="80"/>
              <w:spacing w:after="0" w:line="135" w:lineRule="exact"/>
              <w:rPr>
                <w:sz w:val="20"/>
                <w:szCs w:val="20"/>
                <w:color w:val="auto"/>
              </w:rPr>
            </w:pPr>
            <w:r>
              <w:rPr>
                <w:rFonts w:ascii="Arial" w:cs="Arial" w:eastAsia="Arial" w:hAnsi="Arial"/>
                <w:sz w:val="13"/>
                <w:szCs w:val="13"/>
                <w:b w:val="1"/>
                <w:bCs w:val="1"/>
                <w:color w:val="FFFFFF"/>
              </w:rPr>
              <w:t>Employee</w:t>
            </w:r>
          </w:p>
        </w:tc>
        <w:tc>
          <w:tcPr>
            <w:tcW w:w="160" w:type="dxa"/>
            <w:vAlign w:val="bottom"/>
            <w:shd w:val="clear" w:color="auto" w:fill="052B82"/>
          </w:tcPr>
          <w:p>
            <w:pPr>
              <w:spacing w:after="0"/>
              <w:rPr>
                <w:sz w:val="11"/>
                <w:szCs w:val="11"/>
                <w:color w:val="auto"/>
              </w:rPr>
            </w:pPr>
          </w:p>
        </w:tc>
        <w:tc>
          <w:tcPr>
            <w:tcW w:w="560" w:type="dxa"/>
            <w:vAlign w:val="bottom"/>
            <w:shd w:val="clear" w:color="auto" w:fill="052B82"/>
          </w:tcPr>
          <w:p>
            <w:pPr>
              <w:spacing w:after="0"/>
              <w:rPr>
                <w:sz w:val="11"/>
                <w:szCs w:val="11"/>
                <w:color w:val="auto"/>
              </w:rPr>
            </w:pPr>
          </w:p>
        </w:tc>
        <w:tc>
          <w:tcPr>
            <w:tcW w:w="160" w:type="dxa"/>
            <w:vAlign w:val="bottom"/>
            <w:shd w:val="clear" w:color="auto" w:fill="052B82"/>
          </w:tcPr>
          <w:p>
            <w:pPr>
              <w:spacing w:after="0"/>
              <w:rPr>
                <w:sz w:val="11"/>
                <w:szCs w:val="11"/>
                <w:color w:val="auto"/>
              </w:rPr>
            </w:pPr>
          </w:p>
        </w:tc>
        <w:tc>
          <w:tcPr>
            <w:tcW w:w="640" w:type="dxa"/>
            <w:vAlign w:val="bottom"/>
            <w:shd w:val="clear" w:color="auto" w:fill="052B82"/>
          </w:tcPr>
          <w:p>
            <w:pPr>
              <w:spacing w:after="0"/>
              <w:rPr>
                <w:sz w:val="11"/>
                <w:szCs w:val="11"/>
                <w:color w:val="auto"/>
              </w:rPr>
            </w:pPr>
          </w:p>
        </w:tc>
        <w:tc>
          <w:tcPr>
            <w:tcW w:w="160" w:type="dxa"/>
            <w:vAlign w:val="bottom"/>
            <w:shd w:val="clear" w:color="auto" w:fill="052B82"/>
          </w:tcPr>
          <w:p>
            <w:pPr>
              <w:spacing w:after="0"/>
              <w:rPr>
                <w:sz w:val="11"/>
                <w:szCs w:val="11"/>
                <w:color w:val="auto"/>
              </w:rPr>
            </w:pPr>
          </w:p>
        </w:tc>
        <w:tc>
          <w:tcPr>
            <w:tcW w:w="620" w:type="dxa"/>
            <w:vAlign w:val="bottom"/>
            <w:shd w:val="clear" w:color="auto" w:fill="052B82"/>
          </w:tcPr>
          <w:p>
            <w:pPr>
              <w:spacing w:after="0"/>
              <w:rPr>
                <w:sz w:val="11"/>
                <w:szCs w:val="11"/>
                <w:color w:val="auto"/>
              </w:rPr>
            </w:pPr>
          </w:p>
        </w:tc>
        <w:tc>
          <w:tcPr>
            <w:tcW w:w="240" w:type="dxa"/>
            <w:vAlign w:val="bottom"/>
            <w:shd w:val="clear" w:color="auto" w:fill="052B82"/>
          </w:tcPr>
          <w:p>
            <w:pPr>
              <w:spacing w:after="0"/>
              <w:rPr>
                <w:sz w:val="11"/>
                <w:szCs w:val="11"/>
                <w:color w:val="auto"/>
              </w:rPr>
            </w:pPr>
          </w:p>
        </w:tc>
        <w:tc>
          <w:tcPr>
            <w:tcW w:w="620" w:type="dxa"/>
            <w:vAlign w:val="bottom"/>
            <w:shd w:val="clear" w:color="auto" w:fill="052B82"/>
          </w:tcPr>
          <w:p>
            <w:pPr>
              <w:spacing w:after="0"/>
              <w:rPr>
                <w:sz w:val="11"/>
                <w:szCs w:val="11"/>
                <w:color w:val="auto"/>
              </w:rPr>
            </w:pPr>
          </w:p>
        </w:tc>
        <w:tc>
          <w:tcPr>
            <w:tcW w:w="160" w:type="dxa"/>
            <w:vAlign w:val="bottom"/>
            <w:shd w:val="clear" w:color="auto" w:fill="052B82"/>
          </w:tcPr>
          <w:p>
            <w:pPr>
              <w:spacing w:after="0"/>
              <w:rPr>
                <w:sz w:val="11"/>
                <w:szCs w:val="11"/>
                <w:color w:val="auto"/>
              </w:rPr>
            </w:pPr>
          </w:p>
        </w:tc>
        <w:tc>
          <w:tcPr>
            <w:tcW w:w="580" w:type="dxa"/>
            <w:vAlign w:val="bottom"/>
            <w:shd w:val="clear" w:color="auto" w:fill="052B82"/>
          </w:tcPr>
          <w:p>
            <w:pPr>
              <w:spacing w:after="0"/>
              <w:rPr>
                <w:sz w:val="11"/>
                <w:szCs w:val="11"/>
                <w:color w:val="auto"/>
              </w:rPr>
            </w:pPr>
          </w:p>
        </w:tc>
        <w:tc>
          <w:tcPr>
            <w:tcW w:w="200" w:type="dxa"/>
            <w:vAlign w:val="bottom"/>
            <w:shd w:val="clear" w:color="auto" w:fill="052B82"/>
          </w:tcPr>
          <w:p>
            <w:pPr>
              <w:spacing w:after="0"/>
              <w:rPr>
                <w:sz w:val="11"/>
                <w:szCs w:val="11"/>
                <w:color w:val="auto"/>
              </w:rPr>
            </w:pPr>
          </w:p>
        </w:tc>
        <w:tc>
          <w:tcPr>
            <w:tcW w:w="480" w:type="dxa"/>
            <w:vAlign w:val="bottom"/>
            <w:shd w:val="clear" w:color="auto" w:fill="052B82"/>
          </w:tcPr>
          <w:p>
            <w:pPr>
              <w:spacing w:after="0"/>
              <w:rPr>
                <w:sz w:val="11"/>
                <w:szCs w:val="11"/>
                <w:color w:val="auto"/>
              </w:rPr>
            </w:pPr>
          </w:p>
        </w:tc>
        <w:tc>
          <w:tcPr>
            <w:tcW w:w="200" w:type="dxa"/>
            <w:vAlign w:val="bottom"/>
            <w:shd w:val="clear" w:color="auto" w:fill="052B82"/>
          </w:tcPr>
          <w:p>
            <w:pPr>
              <w:spacing w:after="0"/>
              <w:rPr>
                <w:sz w:val="11"/>
                <w:szCs w:val="11"/>
                <w:color w:val="auto"/>
              </w:rPr>
            </w:pPr>
          </w:p>
        </w:tc>
        <w:tc>
          <w:tcPr>
            <w:tcW w:w="560" w:type="dxa"/>
            <w:vAlign w:val="bottom"/>
            <w:shd w:val="clear" w:color="auto" w:fill="052B82"/>
          </w:tcPr>
          <w:p>
            <w:pPr>
              <w:spacing w:after="0"/>
              <w:rPr>
                <w:sz w:val="11"/>
                <w:szCs w:val="11"/>
                <w:color w:val="auto"/>
              </w:rPr>
            </w:pPr>
          </w:p>
        </w:tc>
        <w:tc>
          <w:tcPr>
            <w:tcW w:w="740" w:type="dxa"/>
            <w:vAlign w:val="bottom"/>
            <w:gridSpan w:val="2"/>
            <w:shd w:val="clear" w:color="auto" w:fill="052B82"/>
          </w:tcPr>
          <w:p>
            <w:pPr>
              <w:ind w:left="120"/>
              <w:spacing w:after="0" w:line="135" w:lineRule="exact"/>
              <w:rPr>
                <w:sz w:val="20"/>
                <w:szCs w:val="20"/>
                <w:color w:val="auto"/>
              </w:rPr>
            </w:pPr>
            <w:r>
              <w:rPr>
                <w:rFonts w:ascii="Arial" w:cs="Arial" w:eastAsia="Arial" w:hAnsi="Arial"/>
                <w:sz w:val="13"/>
                <w:szCs w:val="13"/>
                <w:b w:val="1"/>
                <w:bCs w:val="1"/>
                <w:color w:val="FFFFFF"/>
              </w:rPr>
              <w:t>Dividend</w:t>
            </w:r>
          </w:p>
        </w:tc>
      </w:tr>
      <w:tr>
        <w:trPr>
          <w:trHeight w:val="144"/>
        </w:trPr>
        <w:tc>
          <w:tcPr>
            <w:tcW w:w="2940" w:type="dxa"/>
            <w:vAlign w:val="bottom"/>
            <w:shd w:val="clear" w:color="auto" w:fill="052B82"/>
          </w:tcPr>
          <w:p>
            <w:pPr>
              <w:spacing w:after="0"/>
              <w:rPr>
                <w:sz w:val="12"/>
                <w:szCs w:val="12"/>
                <w:color w:val="auto"/>
              </w:rPr>
            </w:pPr>
          </w:p>
        </w:tc>
        <w:tc>
          <w:tcPr>
            <w:tcW w:w="520" w:type="dxa"/>
            <w:vAlign w:val="bottom"/>
            <w:shd w:val="clear" w:color="auto" w:fill="052B82"/>
          </w:tcPr>
          <w:p>
            <w:pPr>
              <w:spacing w:after="0"/>
              <w:rPr>
                <w:sz w:val="12"/>
                <w:szCs w:val="12"/>
                <w:color w:val="auto"/>
              </w:rPr>
            </w:pPr>
          </w:p>
        </w:tc>
        <w:tc>
          <w:tcPr>
            <w:tcW w:w="740" w:type="dxa"/>
            <w:vAlign w:val="bottom"/>
            <w:gridSpan w:val="2"/>
            <w:shd w:val="clear" w:color="auto" w:fill="052B82"/>
          </w:tcPr>
          <w:p>
            <w:pPr>
              <w:ind w:left="100"/>
              <w:spacing w:after="0" w:line="144" w:lineRule="exact"/>
              <w:rPr>
                <w:sz w:val="20"/>
                <w:szCs w:val="20"/>
                <w:color w:val="auto"/>
              </w:rPr>
            </w:pPr>
            <w:r>
              <w:rPr>
                <w:rFonts w:ascii="Arial" w:cs="Arial" w:eastAsia="Arial" w:hAnsi="Arial"/>
                <w:sz w:val="13"/>
                <w:szCs w:val="13"/>
                <w:b w:val="1"/>
                <w:bCs w:val="1"/>
                <w:color w:val="FFFFFF"/>
              </w:rPr>
              <w:t>and DCP</w:t>
            </w:r>
          </w:p>
        </w:tc>
        <w:tc>
          <w:tcPr>
            <w:tcW w:w="140" w:type="dxa"/>
            <w:vAlign w:val="bottom"/>
            <w:shd w:val="clear" w:color="auto" w:fill="052B82"/>
          </w:tcPr>
          <w:p>
            <w:pPr>
              <w:spacing w:after="0"/>
              <w:rPr>
                <w:sz w:val="12"/>
                <w:szCs w:val="12"/>
                <w:color w:val="auto"/>
              </w:rPr>
            </w:pPr>
          </w:p>
        </w:tc>
        <w:tc>
          <w:tcPr>
            <w:tcW w:w="600" w:type="dxa"/>
            <w:vAlign w:val="bottom"/>
            <w:shd w:val="clear" w:color="auto" w:fill="052B82"/>
          </w:tcPr>
          <w:p>
            <w:pPr>
              <w:jc w:val="right"/>
              <w:ind w:right="70"/>
              <w:spacing w:after="0" w:line="144" w:lineRule="exact"/>
              <w:rPr>
                <w:sz w:val="20"/>
                <w:szCs w:val="20"/>
                <w:color w:val="auto"/>
              </w:rPr>
            </w:pPr>
            <w:r>
              <w:rPr>
                <w:rFonts w:ascii="Arial" w:cs="Arial" w:eastAsia="Arial" w:hAnsi="Arial"/>
                <w:sz w:val="13"/>
                <w:szCs w:val="13"/>
                <w:b w:val="1"/>
                <w:bCs w:val="1"/>
                <w:color w:val="FFFFFF"/>
                <w:w w:val="95"/>
              </w:rPr>
              <w:t>Service</w:t>
            </w:r>
          </w:p>
        </w:tc>
        <w:tc>
          <w:tcPr>
            <w:tcW w:w="720" w:type="dxa"/>
            <w:vAlign w:val="bottom"/>
            <w:gridSpan w:val="2"/>
            <w:shd w:val="clear" w:color="auto" w:fill="052B82"/>
          </w:tcPr>
          <w:p>
            <w:pPr>
              <w:ind w:left="80"/>
              <w:spacing w:after="0" w:line="144" w:lineRule="exact"/>
              <w:rPr>
                <w:sz w:val="20"/>
                <w:szCs w:val="20"/>
                <w:color w:val="auto"/>
              </w:rPr>
            </w:pPr>
            <w:r>
              <w:rPr>
                <w:rFonts w:ascii="Arial" w:cs="Arial" w:eastAsia="Arial" w:hAnsi="Arial"/>
                <w:sz w:val="13"/>
                <w:szCs w:val="13"/>
                <w:b w:val="1"/>
                <w:bCs w:val="1"/>
                <w:color w:val="FFFFFF"/>
              </w:rPr>
              <w:t>Executive</w:t>
            </w:r>
          </w:p>
        </w:tc>
        <w:tc>
          <w:tcPr>
            <w:tcW w:w="800" w:type="dxa"/>
            <w:vAlign w:val="bottom"/>
            <w:gridSpan w:val="2"/>
            <w:shd w:val="clear" w:color="auto" w:fill="052B82"/>
          </w:tcPr>
          <w:p>
            <w:pPr>
              <w:ind w:left="80"/>
              <w:spacing w:after="0" w:line="144" w:lineRule="exact"/>
              <w:rPr>
                <w:sz w:val="20"/>
                <w:szCs w:val="20"/>
                <w:color w:val="auto"/>
              </w:rPr>
            </w:pPr>
            <w:r>
              <w:rPr>
                <w:rFonts w:ascii="Arial" w:cs="Arial" w:eastAsia="Arial" w:hAnsi="Arial"/>
                <w:sz w:val="13"/>
                <w:szCs w:val="13"/>
                <w:b w:val="1"/>
                <w:bCs w:val="1"/>
                <w:color w:val="FFFFFF"/>
              </w:rPr>
              <w:t>Healthcare</w:t>
            </w:r>
          </w:p>
        </w:tc>
        <w:tc>
          <w:tcPr>
            <w:tcW w:w="780" w:type="dxa"/>
            <w:vAlign w:val="bottom"/>
            <w:gridSpan w:val="2"/>
            <w:shd w:val="clear" w:color="auto" w:fill="052B82"/>
          </w:tcPr>
          <w:p>
            <w:pPr>
              <w:ind w:left="60"/>
              <w:spacing w:after="0" w:line="144" w:lineRule="exact"/>
              <w:rPr>
                <w:sz w:val="20"/>
                <w:szCs w:val="20"/>
                <w:color w:val="auto"/>
              </w:rPr>
            </w:pPr>
            <w:r>
              <w:rPr>
                <w:rFonts w:ascii="Arial" w:cs="Arial" w:eastAsia="Arial" w:hAnsi="Arial"/>
                <w:sz w:val="13"/>
                <w:szCs w:val="13"/>
                <w:b w:val="1"/>
                <w:bCs w:val="1"/>
                <w:color w:val="FFFFFF"/>
              </w:rPr>
              <w:t>Relocation</w:t>
            </w:r>
          </w:p>
        </w:tc>
        <w:tc>
          <w:tcPr>
            <w:tcW w:w="860" w:type="dxa"/>
            <w:vAlign w:val="bottom"/>
            <w:gridSpan w:val="2"/>
            <w:shd w:val="clear" w:color="auto" w:fill="052B82"/>
          </w:tcPr>
          <w:p>
            <w:pPr>
              <w:ind w:left="120"/>
              <w:spacing w:after="0" w:line="144" w:lineRule="exact"/>
              <w:rPr>
                <w:sz w:val="20"/>
                <w:szCs w:val="20"/>
                <w:color w:val="auto"/>
              </w:rPr>
            </w:pPr>
            <w:r>
              <w:rPr>
                <w:rFonts w:ascii="Arial" w:cs="Arial" w:eastAsia="Arial" w:hAnsi="Arial"/>
                <w:sz w:val="13"/>
                <w:szCs w:val="13"/>
                <w:b w:val="1"/>
                <w:bCs w:val="1"/>
                <w:color w:val="FFFFFF"/>
              </w:rPr>
              <w:t>Expatriate</w:t>
            </w:r>
          </w:p>
        </w:tc>
        <w:tc>
          <w:tcPr>
            <w:tcW w:w="160" w:type="dxa"/>
            <w:vAlign w:val="bottom"/>
            <w:shd w:val="clear" w:color="auto" w:fill="052B82"/>
          </w:tcPr>
          <w:p>
            <w:pPr>
              <w:spacing w:after="0"/>
              <w:rPr>
                <w:sz w:val="12"/>
                <w:szCs w:val="12"/>
                <w:color w:val="auto"/>
              </w:rPr>
            </w:pPr>
          </w:p>
        </w:tc>
        <w:tc>
          <w:tcPr>
            <w:tcW w:w="580" w:type="dxa"/>
            <w:vAlign w:val="bottom"/>
            <w:shd w:val="clear" w:color="auto" w:fill="052B82"/>
          </w:tcPr>
          <w:p>
            <w:pPr>
              <w:spacing w:after="0"/>
              <w:rPr>
                <w:sz w:val="12"/>
                <w:szCs w:val="12"/>
                <w:color w:val="auto"/>
              </w:rPr>
            </w:pPr>
          </w:p>
        </w:tc>
        <w:tc>
          <w:tcPr>
            <w:tcW w:w="200" w:type="dxa"/>
            <w:vAlign w:val="bottom"/>
            <w:shd w:val="clear" w:color="auto" w:fill="052B82"/>
          </w:tcPr>
          <w:p>
            <w:pPr>
              <w:spacing w:after="0"/>
              <w:rPr>
                <w:sz w:val="12"/>
                <w:szCs w:val="12"/>
                <w:color w:val="auto"/>
              </w:rPr>
            </w:pPr>
          </w:p>
        </w:tc>
        <w:tc>
          <w:tcPr>
            <w:tcW w:w="480" w:type="dxa"/>
            <w:vAlign w:val="bottom"/>
            <w:shd w:val="clear" w:color="auto" w:fill="052B82"/>
          </w:tcPr>
          <w:p>
            <w:pPr>
              <w:spacing w:after="0"/>
              <w:rPr>
                <w:sz w:val="12"/>
                <w:szCs w:val="12"/>
                <w:color w:val="auto"/>
              </w:rPr>
            </w:pPr>
          </w:p>
        </w:tc>
        <w:tc>
          <w:tcPr>
            <w:tcW w:w="760" w:type="dxa"/>
            <w:vAlign w:val="bottom"/>
            <w:gridSpan w:val="2"/>
            <w:shd w:val="clear" w:color="auto" w:fill="052B82"/>
          </w:tcPr>
          <w:p>
            <w:pPr>
              <w:ind w:left="100"/>
              <w:spacing w:after="0" w:line="144" w:lineRule="exact"/>
              <w:rPr>
                <w:sz w:val="20"/>
                <w:szCs w:val="20"/>
                <w:color w:val="auto"/>
              </w:rPr>
            </w:pPr>
            <w:r>
              <w:rPr>
                <w:rFonts w:ascii="Arial" w:cs="Arial" w:eastAsia="Arial" w:hAnsi="Arial"/>
                <w:sz w:val="13"/>
                <w:szCs w:val="13"/>
                <w:b w:val="1"/>
                <w:bCs w:val="1"/>
                <w:color w:val="FFFFFF"/>
              </w:rPr>
              <w:t>Vacation/</w:t>
            </w:r>
          </w:p>
        </w:tc>
        <w:tc>
          <w:tcPr>
            <w:tcW w:w="740" w:type="dxa"/>
            <w:vAlign w:val="bottom"/>
            <w:gridSpan w:val="2"/>
            <w:shd w:val="clear" w:color="auto" w:fill="052B82"/>
          </w:tcPr>
          <w:p>
            <w:pPr>
              <w:ind w:left="80"/>
              <w:spacing w:after="0" w:line="144" w:lineRule="exact"/>
              <w:rPr>
                <w:sz w:val="20"/>
                <w:szCs w:val="20"/>
                <w:color w:val="auto"/>
              </w:rPr>
            </w:pPr>
            <w:r>
              <w:rPr>
                <w:rFonts w:ascii="Arial" w:cs="Arial" w:eastAsia="Arial" w:hAnsi="Arial"/>
                <w:sz w:val="13"/>
                <w:szCs w:val="13"/>
                <w:b w:val="1"/>
                <w:bCs w:val="1"/>
                <w:color w:val="FFFFFF"/>
              </w:rPr>
              <w:t>Payments</w:t>
            </w:r>
          </w:p>
        </w:tc>
      </w:tr>
      <w:tr>
        <w:trPr>
          <w:trHeight w:val="135"/>
        </w:trPr>
        <w:tc>
          <w:tcPr>
            <w:tcW w:w="2940" w:type="dxa"/>
            <w:vAlign w:val="bottom"/>
            <w:shd w:val="clear" w:color="auto" w:fill="052B82"/>
          </w:tcPr>
          <w:p>
            <w:pPr>
              <w:spacing w:after="0"/>
              <w:rPr>
                <w:sz w:val="11"/>
                <w:szCs w:val="11"/>
                <w:color w:val="auto"/>
              </w:rPr>
            </w:pPr>
          </w:p>
        </w:tc>
        <w:tc>
          <w:tcPr>
            <w:tcW w:w="520" w:type="dxa"/>
            <w:vAlign w:val="bottom"/>
            <w:shd w:val="clear" w:color="auto" w:fill="052B82"/>
          </w:tcPr>
          <w:p>
            <w:pPr>
              <w:jc w:val="center"/>
              <w:spacing w:after="0" w:line="135" w:lineRule="exact"/>
              <w:rPr>
                <w:sz w:val="20"/>
                <w:szCs w:val="20"/>
                <w:color w:val="auto"/>
              </w:rPr>
            </w:pPr>
            <w:r>
              <w:rPr>
                <w:rFonts w:ascii="Arial" w:cs="Arial" w:eastAsia="Arial" w:hAnsi="Arial"/>
                <w:sz w:val="13"/>
                <w:szCs w:val="13"/>
                <w:b w:val="1"/>
                <w:bCs w:val="1"/>
                <w:color w:val="FFFFFF"/>
                <w:w w:val="97"/>
              </w:rPr>
              <w:t>Fiscal</w:t>
            </w:r>
          </w:p>
        </w:tc>
        <w:tc>
          <w:tcPr>
            <w:tcW w:w="740" w:type="dxa"/>
            <w:vAlign w:val="bottom"/>
            <w:gridSpan w:val="2"/>
            <w:shd w:val="clear" w:color="auto" w:fill="052B82"/>
          </w:tcPr>
          <w:p>
            <w:pPr>
              <w:ind w:left="60"/>
              <w:spacing w:after="0" w:line="135" w:lineRule="exact"/>
              <w:rPr>
                <w:sz w:val="20"/>
                <w:szCs w:val="20"/>
                <w:color w:val="auto"/>
              </w:rPr>
            </w:pPr>
            <w:r>
              <w:rPr>
                <w:rFonts w:ascii="Arial" w:cs="Arial" w:eastAsia="Arial" w:hAnsi="Arial"/>
                <w:sz w:val="13"/>
                <w:szCs w:val="13"/>
                <w:b w:val="1"/>
                <w:bCs w:val="1"/>
                <w:color w:val="FFFFFF"/>
              </w:rPr>
              <w:t>Payments</w:t>
            </w:r>
          </w:p>
        </w:tc>
        <w:tc>
          <w:tcPr>
            <w:tcW w:w="140" w:type="dxa"/>
            <w:vAlign w:val="bottom"/>
            <w:shd w:val="clear" w:color="auto" w:fill="052B82"/>
          </w:tcPr>
          <w:p>
            <w:pPr>
              <w:spacing w:after="0"/>
              <w:rPr>
                <w:sz w:val="11"/>
                <w:szCs w:val="11"/>
                <w:color w:val="auto"/>
              </w:rPr>
            </w:pPr>
          </w:p>
        </w:tc>
        <w:tc>
          <w:tcPr>
            <w:tcW w:w="600" w:type="dxa"/>
            <w:vAlign w:val="bottom"/>
            <w:shd w:val="clear" w:color="auto" w:fill="052B82"/>
          </w:tcPr>
          <w:p>
            <w:pPr>
              <w:jc w:val="right"/>
              <w:ind w:right="110"/>
              <w:spacing w:after="0" w:line="135" w:lineRule="exact"/>
              <w:rPr>
                <w:sz w:val="20"/>
                <w:szCs w:val="20"/>
                <w:color w:val="auto"/>
              </w:rPr>
            </w:pPr>
            <w:r>
              <w:rPr>
                <w:rFonts w:ascii="Arial" w:cs="Arial" w:eastAsia="Arial" w:hAnsi="Arial"/>
                <w:sz w:val="13"/>
                <w:szCs w:val="13"/>
                <w:b w:val="1"/>
                <w:bCs w:val="1"/>
                <w:color w:val="FFFFFF"/>
              </w:rPr>
              <w:t>Award</w:t>
            </w:r>
          </w:p>
        </w:tc>
        <w:tc>
          <w:tcPr>
            <w:tcW w:w="160" w:type="dxa"/>
            <w:vAlign w:val="bottom"/>
            <w:shd w:val="clear" w:color="auto" w:fill="052B82"/>
          </w:tcPr>
          <w:p>
            <w:pPr>
              <w:spacing w:after="0"/>
              <w:rPr>
                <w:sz w:val="11"/>
                <w:szCs w:val="11"/>
                <w:color w:val="auto"/>
              </w:rPr>
            </w:pPr>
          </w:p>
        </w:tc>
        <w:tc>
          <w:tcPr>
            <w:tcW w:w="560" w:type="dxa"/>
            <w:vAlign w:val="bottom"/>
            <w:shd w:val="clear" w:color="auto" w:fill="052B82"/>
          </w:tcPr>
          <w:p>
            <w:pPr>
              <w:ind w:left="20"/>
              <w:spacing w:after="0" w:line="135" w:lineRule="exact"/>
              <w:rPr>
                <w:sz w:val="20"/>
                <w:szCs w:val="20"/>
                <w:color w:val="auto"/>
              </w:rPr>
            </w:pPr>
            <w:r>
              <w:rPr>
                <w:rFonts w:ascii="Arial" w:cs="Arial" w:eastAsia="Arial" w:hAnsi="Arial"/>
                <w:sz w:val="13"/>
                <w:szCs w:val="13"/>
                <w:b w:val="1"/>
                <w:bCs w:val="1"/>
                <w:color w:val="FFFFFF"/>
              </w:rPr>
              <w:t>Health</w:t>
            </w:r>
          </w:p>
        </w:tc>
        <w:tc>
          <w:tcPr>
            <w:tcW w:w="160" w:type="dxa"/>
            <w:vAlign w:val="bottom"/>
            <w:shd w:val="clear" w:color="auto" w:fill="052B82"/>
          </w:tcPr>
          <w:p>
            <w:pPr>
              <w:spacing w:after="0"/>
              <w:rPr>
                <w:sz w:val="11"/>
                <w:szCs w:val="11"/>
                <w:color w:val="auto"/>
              </w:rPr>
            </w:pPr>
          </w:p>
        </w:tc>
        <w:tc>
          <w:tcPr>
            <w:tcW w:w="640" w:type="dxa"/>
            <w:vAlign w:val="bottom"/>
            <w:shd w:val="clear" w:color="auto" w:fill="052B82"/>
          </w:tcPr>
          <w:p>
            <w:pPr>
              <w:spacing w:after="0" w:line="135" w:lineRule="exact"/>
              <w:rPr>
                <w:sz w:val="20"/>
                <w:szCs w:val="20"/>
                <w:color w:val="auto"/>
              </w:rPr>
            </w:pPr>
            <w:r>
              <w:rPr>
                <w:rFonts w:ascii="Arial" w:cs="Arial" w:eastAsia="Arial" w:hAnsi="Arial"/>
                <w:sz w:val="13"/>
                <w:szCs w:val="13"/>
                <w:b w:val="1"/>
                <w:bCs w:val="1"/>
                <w:color w:val="FFFFFF"/>
              </w:rPr>
              <w:t>Savings</w:t>
            </w:r>
          </w:p>
        </w:tc>
        <w:tc>
          <w:tcPr>
            <w:tcW w:w="780" w:type="dxa"/>
            <w:vAlign w:val="bottom"/>
            <w:gridSpan w:val="2"/>
            <w:shd w:val="clear" w:color="auto" w:fill="052B82"/>
          </w:tcPr>
          <w:p>
            <w:pPr>
              <w:ind w:left="100"/>
              <w:spacing w:after="0" w:line="135" w:lineRule="exact"/>
              <w:rPr>
                <w:sz w:val="20"/>
                <w:szCs w:val="20"/>
                <w:color w:val="auto"/>
              </w:rPr>
            </w:pPr>
            <w:r>
              <w:rPr>
                <w:rFonts w:ascii="Arial" w:cs="Arial" w:eastAsia="Arial" w:hAnsi="Arial"/>
                <w:sz w:val="13"/>
                <w:szCs w:val="13"/>
                <w:b w:val="1"/>
                <w:bCs w:val="1"/>
                <w:color w:val="FFFFFF"/>
              </w:rPr>
              <w:t>Expenses</w:t>
            </w:r>
          </w:p>
        </w:tc>
        <w:tc>
          <w:tcPr>
            <w:tcW w:w="860" w:type="dxa"/>
            <w:vAlign w:val="bottom"/>
            <w:gridSpan w:val="2"/>
            <w:shd w:val="clear" w:color="auto" w:fill="052B82"/>
          </w:tcPr>
          <w:p>
            <w:pPr>
              <w:ind w:left="60"/>
              <w:spacing w:after="0" w:line="135" w:lineRule="exact"/>
              <w:rPr>
                <w:sz w:val="20"/>
                <w:szCs w:val="20"/>
                <w:color w:val="auto"/>
              </w:rPr>
            </w:pPr>
            <w:r>
              <w:rPr>
                <w:rFonts w:ascii="Arial" w:cs="Arial" w:eastAsia="Arial" w:hAnsi="Arial"/>
                <w:sz w:val="13"/>
                <w:szCs w:val="13"/>
                <w:b w:val="1"/>
                <w:bCs w:val="1"/>
                <w:color w:val="FFFFFF"/>
              </w:rPr>
              <w:t>Assignment</w:t>
            </w:r>
          </w:p>
        </w:tc>
        <w:tc>
          <w:tcPr>
            <w:tcW w:w="160" w:type="dxa"/>
            <w:vAlign w:val="bottom"/>
            <w:shd w:val="clear" w:color="auto" w:fill="052B82"/>
          </w:tcPr>
          <w:p>
            <w:pPr>
              <w:spacing w:after="0"/>
              <w:rPr>
                <w:sz w:val="11"/>
                <w:szCs w:val="11"/>
                <w:color w:val="auto"/>
              </w:rPr>
            </w:pPr>
          </w:p>
        </w:tc>
        <w:tc>
          <w:tcPr>
            <w:tcW w:w="580" w:type="dxa"/>
            <w:vAlign w:val="bottom"/>
            <w:shd w:val="clear" w:color="auto" w:fill="052B82"/>
          </w:tcPr>
          <w:p>
            <w:pPr>
              <w:jc w:val="right"/>
              <w:ind w:right="149"/>
              <w:spacing w:after="0" w:line="135" w:lineRule="exact"/>
              <w:rPr>
                <w:sz w:val="20"/>
                <w:szCs w:val="20"/>
                <w:color w:val="auto"/>
              </w:rPr>
            </w:pPr>
            <w:r>
              <w:rPr>
                <w:rFonts w:ascii="Arial" w:cs="Arial" w:eastAsia="Arial" w:hAnsi="Arial"/>
                <w:sz w:val="13"/>
                <w:szCs w:val="13"/>
                <w:b w:val="1"/>
                <w:bCs w:val="1"/>
                <w:color w:val="FFFFFF"/>
              </w:rPr>
              <w:t>Cash</w:t>
            </w:r>
          </w:p>
        </w:tc>
        <w:tc>
          <w:tcPr>
            <w:tcW w:w="200" w:type="dxa"/>
            <w:vAlign w:val="bottom"/>
            <w:shd w:val="clear" w:color="auto" w:fill="052B82"/>
          </w:tcPr>
          <w:p>
            <w:pPr>
              <w:spacing w:after="0"/>
              <w:rPr>
                <w:sz w:val="11"/>
                <w:szCs w:val="11"/>
                <w:color w:val="auto"/>
              </w:rPr>
            </w:pPr>
          </w:p>
        </w:tc>
        <w:tc>
          <w:tcPr>
            <w:tcW w:w="480" w:type="dxa"/>
            <w:vAlign w:val="bottom"/>
            <w:shd w:val="clear" w:color="auto" w:fill="052B82"/>
          </w:tcPr>
          <w:p>
            <w:pPr>
              <w:ind w:left="40"/>
              <w:spacing w:after="0" w:line="135" w:lineRule="exact"/>
              <w:rPr>
                <w:sz w:val="20"/>
                <w:szCs w:val="20"/>
                <w:color w:val="auto"/>
              </w:rPr>
            </w:pPr>
            <w:r>
              <w:rPr>
                <w:rFonts w:ascii="Arial" w:cs="Arial" w:eastAsia="Arial" w:hAnsi="Arial"/>
                <w:sz w:val="13"/>
                <w:szCs w:val="13"/>
                <w:b w:val="1"/>
                <w:bCs w:val="1"/>
                <w:color w:val="FFFFFF"/>
              </w:rPr>
              <w:t>Tax</w:t>
            </w:r>
          </w:p>
        </w:tc>
        <w:tc>
          <w:tcPr>
            <w:tcW w:w="760" w:type="dxa"/>
            <w:vAlign w:val="bottom"/>
            <w:gridSpan w:val="2"/>
            <w:shd w:val="clear" w:color="auto" w:fill="052B82"/>
          </w:tcPr>
          <w:p>
            <w:pPr>
              <w:ind w:left="60"/>
              <w:spacing w:after="0" w:line="135" w:lineRule="exact"/>
              <w:rPr>
                <w:sz w:val="20"/>
                <w:szCs w:val="20"/>
                <w:color w:val="auto"/>
              </w:rPr>
            </w:pPr>
            <w:r>
              <w:rPr>
                <w:rFonts w:ascii="Arial" w:cs="Arial" w:eastAsia="Arial" w:hAnsi="Arial"/>
                <w:sz w:val="13"/>
                <w:szCs w:val="13"/>
                <w:b w:val="1"/>
                <w:bCs w:val="1"/>
                <w:color w:val="FFFFFF"/>
              </w:rPr>
              <w:t>Sabbatical</w:t>
            </w:r>
          </w:p>
        </w:tc>
        <w:tc>
          <w:tcPr>
            <w:tcW w:w="740" w:type="dxa"/>
            <w:vAlign w:val="bottom"/>
            <w:gridSpan w:val="2"/>
            <w:shd w:val="clear" w:color="auto" w:fill="052B82"/>
          </w:tcPr>
          <w:p>
            <w:pPr>
              <w:ind w:left="120"/>
              <w:spacing w:after="0" w:line="135" w:lineRule="exact"/>
              <w:rPr>
                <w:sz w:val="20"/>
                <w:szCs w:val="20"/>
                <w:color w:val="auto"/>
              </w:rPr>
            </w:pPr>
            <w:r>
              <w:rPr>
                <w:rFonts w:ascii="Arial" w:cs="Arial" w:eastAsia="Arial" w:hAnsi="Arial"/>
                <w:sz w:val="13"/>
                <w:szCs w:val="13"/>
                <w:b w:val="1"/>
                <w:bCs w:val="1"/>
                <w:color w:val="FFFFFF"/>
              </w:rPr>
              <w:t>on RSAs</w:t>
            </w:r>
          </w:p>
        </w:tc>
      </w:tr>
      <w:tr>
        <w:trPr>
          <w:trHeight w:val="162"/>
        </w:trPr>
        <w:tc>
          <w:tcPr>
            <w:tcW w:w="2940" w:type="dxa"/>
            <w:vAlign w:val="bottom"/>
            <w:shd w:val="clear" w:color="auto" w:fill="052B82"/>
          </w:tcPr>
          <w:p>
            <w:pPr>
              <w:ind w:left="20"/>
              <w:spacing w:after="0"/>
              <w:rPr>
                <w:sz w:val="20"/>
                <w:szCs w:val="20"/>
                <w:color w:val="auto"/>
              </w:rPr>
            </w:pPr>
            <w:r>
              <w:rPr>
                <w:rFonts w:ascii="Arial" w:cs="Arial" w:eastAsia="Arial" w:hAnsi="Arial"/>
                <w:sz w:val="13"/>
                <w:szCs w:val="13"/>
                <w:b w:val="1"/>
                <w:bCs w:val="1"/>
                <w:color w:val="FFFFFF"/>
              </w:rPr>
              <w:t>Name</w:t>
            </w:r>
          </w:p>
        </w:tc>
        <w:tc>
          <w:tcPr>
            <w:tcW w:w="520" w:type="dxa"/>
            <w:vAlign w:val="bottom"/>
            <w:shd w:val="clear" w:color="auto" w:fill="052B82"/>
          </w:tcPr>
          <w:p>
            <w:pPr>
              <w:jc w:val="center"/>
              <w:spacing w:after="0"/>
              <w:rPr>
                <w:sz w:val="20"/>
                <w:szCs w:val="20"/>
                <w:color w:val="auto"/>
              </w:rPr>
            </w:pPr>
            <w:r>
              <w:rPr>
                <w:rFonts w:ascii="Arial" w:cs="Arial" w:eastAsia="Arial" w:hAnsi="Arial"/>
                <w:sz w:val="13"/>
                <w:szCs w:val="13"/>
                <w:b w:val="1"/>
                <w:bCs w:val="1"/>
                <w:color w:val="FFFFFF"/>
                <w:w w:val="92"/>
              </w:rPr>
              <w:t>Year</w:t>
            </w:r>
          </w:p>
        </w:tc>
        <w:tc>
          <w:tcPr>
            <w:tcW w:w="160" w:type="dxa"/>
            <w:vAlign w:val="bottom"/>
            <w:shd w:val="clear" w:color="auto" w:fill="052B82"/>
          </w:tcPr>
          <w:p>
            <w:pPr>
              <w:spacing w:after="0"/>
              <w:rPr>
                <w:sz w:val="14"/>
                <w:szCs w:val="14"/>
                <w:color w:val="auto"/>
              </w:rPr>
            </w:pPr>
          </w:p>
        </w:tc>
        <w:tc>
          <w:tcPr>
            <w:tcW w:w="580" w:type="dxa"/>
            <w:vAlign w:val="bottom"/>
            <w:shd w:val="clear" w:color="auto" w:fill="052B82"/>
          </w:tcPr>
          <w:p>
            <w:pPr>
              <w:jc w:val="right"/>
              <w:ind w:right="229"/>
              <w:spacing w:after="0"/>
              <w:rPr>
                <w:sz w:val="20"/>
                <w:szCs w:val="20"/>
                <w:color w:val="auto"/>
              </w:rPr>
            </w:pPr>
            <w:r>
              <w:rPr>
                <w:rFonts w:ascii="Arial" w:cs="Arial" w:eastAsia="Arial" w:hAnsi="Arial"/>
                <w:sz w:val="13"/>
                <w:szCs w:val="13"/>
                <w:b w:val="1"/>
                <w:bCs w:val="1"/>
                <w:color w:val="FFFFFF"/>
              </w:rPr>
              <w:t>(a)</w:t>
            </w:r>
          </w:p>
        </w:tc>
        <w:tc>
          <w:tcPr>
            <w:tcW w:w="140" w:type="dxa"/>
            <w:vAlign w:val="bottom"/>
            <w:shd w:val="clear" w:color="auto" w:fill="052B82"/>
          </w:tcPr>
          <w:p>
            <w:pPr>
              <w:spacing w:after="0"/>
              <w:rPr>
                <w:sz w:val="14"/>
                <w:szCs w:val="14"/>
                <w:color w:val="auto"/>
              </w:rPr>
            </w:pPr>
          </w:p>
        </w:tc>
        <w:tc>
          <w:tcPr>
            <w:tcW w:w="600" w:type="dxa"/>
            <w:vAlign w:val="bottom"/>
            <w:shd w:val="clear" w:color="auto" w:fill="052B82"/>
          </w:tcPr>
          <w:p>
            <w:pPr>
              <w:jc w:val="right"/>
              <w:ind w:right="230"/>
              <w:spacing w:after="0"/>
              <w:rPr>
                <w:sz w:val="20"/>
                <w:szCs w:val="20"/>
                <w:color w:val="auto"/>
              </w:rPr>
            </w:pPr>
            <w:r>
              <w:rPr>
                <w:rFonts w:ascii="Arial" w:cs="Arial" w:eastAsia="Arial" w:hAnsi="Arial"/>
                <w:sz w:val="13"/>
                <w:szCs w:val="13"/>
                <w:b w:val="1"/>
                <w:bCs w:val="1"/>
                <w:color w:val="FFFFFF"/>
              </w:rPr>
              <w:t>(b)</w:t>
            </w:r>
          </w:p>
        </w:tc>
        <w:tc>
          <w:tcPr>
            <w:tcW w:w="720" w:type="dxa"/>
            <w:vAlign w:val="bottom"/>
            <w:gridSpan w:val="2"/>
            <w:shd w:val="clear" w:color="auto" w:fill="052B82"/>
          </w:tcPr>
          <w:p>
            <w:pPr>
              <w:ind w:left="100"/>
              <w:spacing w:after="0"/>
              <w:rPr>
                <w:sz w:val="20"/>
                <w:szCs w:val="20"/>
                <w:color w:val="auto"/>
              </w:rPr>
            </w:pPr>
            <w:r>
              <w:rPr>
                <w:rFonts w:ascii="Arial" w:cs="Arial" w:eastAsia="Arial" w:hAnsi="Arial"/>
                <w:sz w:val="13"/>
                <w:szCs w:val="13"/>
                <w:b w:val="1"/>
                <w:bCs w:val="1"/>
                <w:color w:val="FFFFFF"/>
              </w:rPr>
              <w:t>Services</w:t>
            </w:r>
          </w:p>
        </w:tc>
        <w:tc>
          <w:tcPr>
            <w:tcW w:w="800" w:type="dxa"/>
            <w:vAlign w:val="bottom"/>
            <w:gridSpan w:val="2"/>
            <w:shd w:val="clear" w:color="auto" w:fill="052B82"/>
          </w:tcPr>
          <w:p>
            <w:pPr>
              <w:ind w:left="140"/>
              <w:spacing w:after="0"/>
              <w:rPr>
                <w:sz w:val="20"/>
                <w:szCs w:val="20"/>
                <w:color w:val="auto"/>
              </w:rPr>
            </w:pPr>
            <w:r>
              <w:rPr>
                <w:rFonts w:ascii="Arial" w:cs="Arial" w:eastAsia="Arial" w:hAnsi="Arial"/>
                <w:sz w:val="13"/>
                <w:szCs w:val="13"/>
                <w:b w:val="1"/>
                <w:bCs w:val="1"/>
                <w:color w:val="FFFFFF"/>
              </w:rPr>
              <w:t>Account</w:t>
            </w:r>
          </w:p>
        </w:tc>
        <w:tc>
          <w:tcPr>
            <w:tcW w:w="160" w:type="dxa"/>
            <w:vAlign w:val="bottom"/>
            <w:shd w:val="clear" w:color="auto" w:fill="052B82"/>
          </w:tcPr>
          <w:p>
            <w:pPr>
              <w:spacing w:after="0"/>
              <w:rPr>
                <w:sz w:val="14"/>
                <w:szCs w:val="14"/>
                <w:color w:val="auto"/>
              </w:rPr>
            </w:pPr>
          </w:p>
        </w:tc>
        <w:tc>
          <w:tcPr>
            <w:tcW w:w="620" w:type="dxa"/>
            <w:vAlign w:val="bottom"/>
            <w:shd w:val="clear" w:color="auto" w:fill="052B82"/>
          </w:tcPr>
          <w:p>
            <w:pPr>
              <w:jc w:val="right"/>
              <w:ind w:right="249"/>
              <w:spacing w:after="0"/>
              <w:rPr>
                <w:sz w:val="20"/>
                <w:szCs w:val="20"/>
                <w:color w:val="auto"/>
              </w:rPr>
            </w:pPr>
            <w:r>
              <w:rPr>
                <w:rFonts w:ascii="Arial" w:cs="Arial" w:eastAsia="Arial" w:hAnsi="Arial"/>
                <w:sz w:val="13"/>
                <w:szCs w:val="13"/>
                <w:b w:val="1"/>
                <w:bCs w:val="1"/>
                <w:color w:val="FFFFFF"/>
              </w:rPr>
              <w:t>(c)</w:t>
            </w:r>
          </w:p>
        </w:tc>
        <w:tc>
          <w:tcPr>
            <w:tcW w:w="860" w:type="dxa"/>
            <w:vAlign w:val="bottom"/>
            <w:gridSpan w:val="2"/>
            <w:shd w:val="clear" w:color="auto" w:fill="052B82"/>
          </w:tcPr>
          <w:p>
            <w:pPr>
              <w:ind w:left="60"/>
              <w:spacing w:after="0"/>
              <w:rPr>
                <w:sz w:val="20"/>
                <w:szCs w:val="20"/>
                <w:color w:val="auto"/>
              </w:rPr>
            </w:pPr>
            <w:r>
              <w:rPr>
                <w:rFonts w:ascii="Arial" w:cs="Arial" w:eastAsia="Arial" w:hAnsi="Arial"/>
                <w:sz w:val="13"/>
                <w:szCs w:val="13"/>
                <w:b w:val="1"/>
                <w:bCs w:val="1"/>
                <w:color w:val="FFFFFF"/>
              </w:rPr>
              <w:t>Payment (d)</w:t>
            </w:r>
          </w:p>
        </w:tc>
        <w:tc>
          <w:tcPr>
            <w:tcW w:w="740" w:type="dxa"/>
            <w:vAlign w:val="bottom"/>
            <w:gridSpan w:val="2"/>
            <w:shd w:val="clear" w:color="auto" w:fill="052B82"/>
          </w:tcPr>
          <w:p>
            <w:pPr>
              <w:jc w:val="right"/>
              <w:ind w:right="69"/>
              <w:spacing w:after="0"/>
              <w:rPr>
                <w:sz w:val="20"/>
                <w:szCs w:val="20"/>
                <w:color w:val="auto"/>
              </w:rPr>
            </w:pPr>
            <w:r>
              <w:rPr>
                <w:rFonts w:ascii="Arial" w:cs="Arial" w:eastAsia="Arial" w:hAnsi="Arial"/>
                <w:sz w:val="13"/>
                <w:szCs w:val="13"/>
                <w:b w:val="1"/>
                <w:bCs w:val="1"/>
                <w:color w:val="FFFFFF"/>
              </w:rPr>
              <w:t>Awards</w:t>
            </w:r>
          </w:p>
        </w:tc>
        <w:tc>
          <w:tcPr>
            <w:tcW w:w="680" w:type="dxa"/>
            <w:vAlign w:val="bottom"/>
            <w:gridSpan w:val="2"/>
            <w:shd w:val="clear" w:color="auto" w:fill="052B82"/>
          </w:tcPr>
          <w:p>
            <w:pPr>
              <w:ind w:left="80"/>
              <w:spacing w:after="0"/>
              <w:rPr>
                <w:sz w:val="20"/>
                <w:szCs w:val="20"/>
                <w:color w:val="auto"/>
              </w:rPr>
            </w:pPr>
            <w:r>
              <w:rPr>
                <w:rFonts w:ascii="Arial" w:cs="Arial" w:eastAsia="Arial" w:hAnsi="Arial"/>
                <w:sz w:val="13"/>
                <w:szCs w:val="13"/>
                <w:b w:val="1"/>
                <w:bCs w:val="1"/>
                <w:color w:val="FFFFFF"/>
              </w:rPr>
              <w:t>Planning</w:t>
            </w:r>
          </w:p>
        </w:tc>
        <w:tc>
          <w:tcPr>
            <w:tcW w:w="760" w:type="dxa"/>
            <w:vAlign w:val="bottom"/>
            <w:gridSpan w:val="2"/>
            <w:shd w:val="clear" w:color="auto" w:fill="052B82"/>
          </w:tcPr>
          <w:p>
            <w:pPr>
              <w:ind w:left="80"/>
              <w:spacing w:after="0"/>
              <w:rPr>
                <w:sz w:val="20"/>
                <w:szCs w:val="20"/>
                <w:color w:val="auto"/>
              </w:rPr>
            </w:pPr>
            <w:r>
              <w:rPr>
                <w:rFonts w:ascii="Arial" w:cs="Arial" w:eastAsia="Arial" w:hAnsi="Arial"/>
                <w:sz w:val="13"/>
                <w:szCs w:val="13"/>
                <w:b w:val="1"/>
                <w:bCs w:val="1"/>
                <w:color w:val="FFFFFF"/>
              </w:rPr>
              <w:t>Payout (e)</w:t>
            </w:r>
          </w:p>
        </w:tc>
        <w:tc>
          <w:tcPr>
            <w:tcW w:w="200" w:type="dxa"/>
            <w:vAlign w:val="bottom"/>
            <w:shd w:val="clear" w:color="auto" w:fill="052B82"/>
          </w:tcPr>
          <w:p>
            <w:pPr>
              <w:spacing w:after="0"/>
              <w:rPr>
                <w:sz w:val="14"/>
                <w:szCs w:val="14"/>
                <w:color w:val="auto"/>
              </w:rPr>
            </w:pPr>
          </w:p>
        </w:tc>
        <w:tc>
          <w:tcPr>
            <w:tcW w:w="540" w:type="dxa"/>
            <w:vAlign w:val="bottom"/>
            <w:shd w:val="clear" w:color="auto" w:fill="052B82"/>
          </w:tcPr>
          <w:p>
            <w:pPr>
              <w:ind w:left="120"/>
              <w:spacing w:after="0"/>
              <w:rPr>
                <w:sz w:val="20"/>
                <w:szCs w:val="20"/>
                <w:color w:val="auto"/>
              </w:rPr>
            </w:pPr>
            <w:r>
              <w:rPr>
                <w:rFonts w:ascii="Arial" w:cs="Arial" w:eastAsia="Arial" w:hAnsi="Arial"/>
                <w:sz w:val="13"/>
                <w:szCs w:val="13"/>
                <w:b w:val="1"/>
                <w:bCs w:val="1"/>
                <w:color w:val="FFFFFF"/>
              </w:rPr>
              <w:t>(f)</w:t>
            </w:r>
          </w:p>
        </w:tc>
      </w:tr>
      <w:tr>
        <w:trPr>
          <w:trHeight w:val="275"/>
        </w:trPr>
        <w:tc>
          <w:tcPr>
            <w:tcW w:w="2940" w:type="dxa"/>
            <w:vAlign w:val="bottom"/>
          </w:tcPr>
          <w:p>
            <w:pPr>
              <w:ind w:left="20"/>
              <w:spacing w:after="0"/>
              <w:rPr>
                <w:sz w:val="20"/>
                <w:szCs w:val="20"/>
                <w:color w:val="auto"/>
              </w:rPr>
            </w:pPr>
            <w:r>
              <w:rPr>
                <w:rFonts w:ascii="Arial" w:cs="Arial" w:eastAsia="Arial" w:hAnsi="Arial"/>
                <w:sz w:val="14"/>
                <w:szCs w:val="14"/>
                <w:color w:val="auto"/>
              </w:rPr>
              <w:t>Vincent Roche</w:t>
            </w:r>
          </w:p>
        </w:tc>
        <w:tc>
          <w:tcPr>
            <w:tcW w:w="520" w:type="dxa"/>
            <w:vAlign w:val="bottom"/>
          </w:tcPr>
          <w:p>
            <w:pPr>
              <w:jc w:val="center"/>
              <w:spacing w:after="0"/>
              <w:rPr>
                <w:sz w:val="20"/>
                <w:szCs w:val="20"/>
                <w:color w:val="auto"/>
              </w:rPr>
            </w:pPr>
            <w:r>
              <w:rPr>
                <w:rFonts w:ascii="Arial" w:cs="Arial" w:eastAsia="Arial" w:hAnsi="Arial"/>
                <w:sz w:val="14"/>
                <w:szCs w:val="14"/>
                <w:color w:val="auto"/>
              </w:rPr>
              <w:t>2019</w:t>
            </w:r>
          </w:p>
        </w:tc>
        <w:tc>
          <w:tcPr>
            <w:tcW w:w="160" w:type="dxa"/>
            <w:vAlign w:val="bottom"/>
          </w:tcPr>
          <w:p>
            <w:pPr>
              <w:ind w:left="6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82,462</w:t>
            </w:r>
          </w:p>
        </w:tc>
        <w:tc>
          <w:tcPr>
            <w:tcW w:w="140" w:type="dxa"/>
            <w:vAlign w:val="bottom"/>
          </w:tcPr>
          <w:p>
            <w:pPr>
              <w:ind w:left="60"/>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160" w:type="dxa"/>
            <w:vAlign w:val="bottom"/>
          </w:tcPr>
          <w:p>
            <w:pPr>
              <w:ind w:left="60"/>
              <w:spacing w:after="0"/>
              <w:rPr>
                <w:sz w:val="20"/>
                <w:szCs w:val="20"/>
                <w:color w:val="auto"/>
              </w:rPr>
            </w:pPr>
            <w:r>
              <w:rPr>
                <w:rFonts w:ascii="Arial" w:cs="Arial" w:eastAsia="Arial" w:hAnsi="Arial"/>
                <w:sz w:val="14"/>
                <w:szCs w:val="14"/>
                <w:color w:val="auto"/>
              </w:rPr>
              <w:t>$</w:t>
            </w:r>
          </w:p>
        </w:tc>
        <w:tc>
          <w:tcPr>
            <w:tcW w:w="560" w:type="dxa"/>
            <w:vAlign w:val="bottom"/>
          </w:tcPr>
          <w:p>
            <w:pPr>
              <w:jc w:val="center"/>
              <w:ind w:left="69"/>
              <w:spacing w:after="0"/>
              <w:rPr>
                <w:sz w:val="20"/>
                <w:szCs w:val="20"/>
                <w:color w:val="auto"/>
              </w:rPr>
            </w:pPr>
            <w:r>
              <w:rPr>
                <w:rFonts w:ascii="Arial" w:cs="Arial" w:eastAsia="Arial" w:hAnsi="Arial"/>
                <w:sz w:val="14"/>
                <w:szCs w:val="14"/>
                <w:color w:val="auto"/>
                <w:w w:val="99"/>
              </w:rPr>
              <w:t>—</w:t>
            </w:r>
          </w:p>
        </w:tc>
        <w:tc>
          <w:tcPr>
            <w:tcW w:w="160" w:type="dxa"/>
            <w:vAlign w:val="bottom"/>
          </w:tcPr>
          <w:p>
            <w:pPr>
              <w:ind w:left="80"/>
              <w:spacing w:after="0"/>
              <w:rPr>
                <w:sz w:val="20"/>
                <w:szCs w:val="20"/>
                <w:color w:val="auto"/>
              </w:rPr>
            </w:pPr>
            <w:r>
              <w:rPr>
                <w:rFonts w:ascii="Arial" w:cs="Arial" w:eastAsia="Arial" w:hAnsi="Arial"/>
                <w:sz w:val="14"/>
                <w:szCs w:val="14"/>
                <w:color w:val="auto"/>
                <w:w w:val="76"/>
              </w:rPr>
              <w:t>$</w:t>
            </w:r>
          </w:p>
        </w:tc>
        <w:tc>
          <w:tcPr>
            <w:tcW w:w="640" w:type="dxa"/>
            <w:vAlign w:val="bottom"/>
          </w:tcPr>
          <w:p>
            <w:pPr>
              <w:jc w:val="center"/>
              <w:ind w:left="109"/>
              <w:spacing w:after="0"/>
              <w:rPr>
                <w:sz w:val="20"/>
                <w:szCs w:val="20"/>
                <w:color w:val="auto"/>
              </w:rPr>
            </w:pPr>
            <w:r>
              <w:rPr>
                <w:rFonts w:ascii="Arial" w:cs="Arial" w:eastAsia="Arial" w:hAnsi="Arial"/>
                <w:sz w:val="14"/>
                <w:szCs w:val="14"/>
                <w:color w:val="auto"/>
                <w:w w:val="99"/>
              </w:rPr>
              <w:t>—</w:t>
            </w:r>
          </w:p>
        </w:tc>
        <w:tc>
          <w:tcPr>
            <w:tcW w:w="160" w:type="dxa"/>
            <w:vAlign w:val="bottom"/>
          </w:tcPr>
          <w:p>
            <w:pPr>
              <w:ind w:left="6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240" w:type="dxa"/>
            <w:vAlign w:val="bottom"/>
          </w:tcPr>
          <w:p>
            <w:pPr>
              <w:ind w:left="60"/>
              <w:spacing w:after="0"/>
              <w:rPr>
                <w:sz w:val="20"/>
                <w:szCs w:val="20"/>
                <w:color w:val="auto"/>
              </w:rPr>
            </w:pPr>
            <w:r>
              <w:rPr>
                <w:rFonts w:ascii="Arial" w:cs="Arial" w:eastAsia="Arial" w:hAnsi="Arial"/>
                <w:sz w:val="14"/>
                <w:szCs w:val="14"/>
                <w:color w:val="auto"/>
              </w:rPr>
              <w:t>$</w:t>
            </w:r>
          </w:p>
        </w:tc>
        <w:tc>
          <w:tcPr>
            <w:tcW w:w="620" w:type="dxa"/>
            <w:vAlign w:val="bottom"/>
          </w:tcPr>
          <w:p>
            <w:pPr>
              <w:ind w:left="3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tcPr>
          <w:p>
            <w:pPr>
              <w:ind w:left="80"/>
              <w:spacing w:after="0"/>
              <w:rPr>
                <w:sz w:val="20"/>
                <w:szCs w:val="20"/>
                <w:color w:val="auto"/>
              </w:rPr>
            </w:pPr>
            <w:r>
              <w:rPr>
                <w:rFonts w:ascii="Arial" w:cs="Arial" w:eastAsia="Arial" w:hAnsi="Arial"/>
                <w:sz w:val="14"/>
                <w:szCs w:val="14"/>
                <w:color w:val="auto"/>
              </w:rPr>
              <w:t>$</w:t>
            </w:r>
          </w:p>
        </w:tc>
        <w:tc>
          <w:tcPr>
            <w:tcW w:w="480" w:type="dxa"/>
            <w:vAlign w:val="bottom"/>
          </w:tcPr>
          <w:p>
            <w:pPr>
              <w:jc w:val="center"/>
              <w:spacing w:after="0"/>
              <w:rPr>
                <w:sz w:val="20"/>
                <w:szCs w:val="20"/>
                <w:color w:val="auto"/>
              </w:rPr>
            </w:pPr>
            <w:r>
              <w:rPr>
                <w:rFonts w:ascii="Arial" w:cs="Arial" w:eastAsia="Arial" w:hAnsi="Arial"/>
                <w:sz w:val="14"/>
                <w:szCs w:val="14"/>
                <w:color w:val="auto"/>
              </w:rPr>
              <w:t>3,129</w:t>
            </w:r>
          </w:p>
        </w:tc>
        <w:tc>
          <w:tcPr>
            <w:tcW w:w="200" w:type="dxa"/>
            <w:vAlign w:val="bottom"/>
          </w:tcPr>
          <w:p>
            <w:pPr>
              <w:ind w:left="60"/>
              <w:spacing w:after="0"/>
              <w:rPr>
                <w:sz w:val="20"/>
                <w:szCs w:val="20"/>
                <w:color w:val="auto"/>
              </w:rPr>
            </w:pPr>
            <w:r>
              <w:rPr>
                <w:rFonts w:ascii="Arial" w:cs="Arial" w:eastAsia="Arial" w:hAnsi="Arial"/>
                <w:sz w:val="14"/>
                <w:szCs w:val="14"/>
                <w:color w:val="auto"/>
              </w:rPr>
              <w:t>$</w:t>
            </w:r>
          </w:p>
        </w:tc>
        <w:tc>
          <w:tcPr>
            <w:tcW w:w="560" w:type="dxa"/>
            <w:vAlign w:val="bottom"/>
          </w:tcPr>
          <w:p>
            <w:pPr>
              <w:ind w:left="280"/>
              <w:spacing w:after="0"/>
              <w:rPr>
                <w:sz w:val="20"/>
                <w:szCs w:val="20"/>
                <w:color w:val="auto"/>
              </w:rPr>
            </w:pPr>
            <w:r>
              <w:rPr>
                <w:rFonts w:ascii="Arial" w:cs="Arial" w:eastAsia="Arial" w:hAnsi="Arial"/>
                <w:sz w:val="14"/>
                <w:szCs w:val="14"/>
                <w:color w:val="auto"/>
              </w:rPr>
              <w:t>—</w:t>
            </w:r>
          </w:p>
        </w:tc>
        <w:tc>
          <w:tcPr>
            <w:tcW w:w="200" w:type="dxa"/>
            <w:vAlign w:val="bottom"/>
          </w:tcPr>
          <w:p>
            <w:pPr>
              <w:ind w:left="80"/>
              <w:spacing w:after="0"/>
              <w:rPr>
                <w:sz w:val="20"/>
                <w:szCs w:val="20"/>
                <w:color w:val="auto"/>
              </w:rPr>
            </w:pPr>
            <w:r>
              <w:rPr>
                <w:rFonts w:ascii="Arial" w:cs="Arial" w:eastAsia="Arial" w:hAnsi="Arial"/>
                <w:sz w:val="14"/>
                <w:szCs w:val="14"/>
                <w:color w:val="auto"/>
              </w:rPr>
              <w:t>$</w:t>
            </w:r>
          </w:p>
        </w:tc>
        <w:tc>
          <w:tcPr>
            <w:tcW w:w="540" w:type="dxa"/>
            <w:vAlign w:val="bottom"/>
          </w:tcPr>
          <w:p>
            <w:pPr>
              <w:ind w:left="260"/>
              <w:spacing w:after="0"/>
              <w:rPr>
                <w:sz w:val="20"/>
                <w:szCs w:val="20"/>
                <w:color w:val="auto"/>
              </w:rPr>
            </w:pPr>
            <w:r>
              <w:rPr>
                <w:rFonts w:ascii="Arial" w:cs="Arial" w:eastAsia="Arial" w:hAnsi="Arial"/>
                <w:sz w:val="14"/>
                <w:szCs w:val="14"/>
                <w:color w:val="auto"/>
              </w:rPr>
              <w:t>—</w:t>
            </w:r>
          </w:p>
        </w:tc>
      </w:tr>
      <w:tr>
        <w:trPr>
          <w:trHeight w:val="162"/>
        </w:trPr>
        <w:tc>
          <w:tcPr>
            <w:tcW w:w="294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color w:val="auto"/>
              </w:rPr>
              <w:t>2018</w:t>
            </w:r>
          </w:p>
        </w:tc>
        <w:tc>
          <w:tcPr>
            <w:tcW w:w="160" w:type="dxa"/>
            <w:vAlign w:val="bottom"/>
          </w:tcPr>
          <w:p>
            <w:pPr>
              <w:ind w:left="6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78,769</w:t>
            </w:r>
          </w:p>
        </w:tc>
        <w:tc>
          <w:tcPr>
            <w:tcW w:w="140" w:type="dxa"/>
            <w:vAlign w:val="bottom"/>
          </w:tcPr>
          <w:p>
            <w:pPr>
              <w:ind w:left="60"/>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988</w:t>
            </w:r>
          </w:p>
        </w:tc>
        <w:tc>
          <w:tcPr>
            <w:tcW w:w="160" w:type="dxa"/>
            <w:vAlign w:val="bottom"/>
          </w:tcPr>
          <w:p>
            <w:pPr>
              <w:ind w:left="60"/>
              <w:spacing w:after="0"/>
              <w:rPr>
                <w:sz w:val="20"/>
                <w:szCs w:val="20"/>
                <w:color w:val="auto"/>
              </w:rPr>
            </w:pPr>
            <w:r>
              <w:rPr>
                <w:rFonts w:ascii="Arial" w:cs="Arial" w:eastAsia="Arial" w:hAnsi="Arial"/>
                <w:sz w:val="14"/>
                <w:szCs w:val="14"/>
                <w:color w:val="auto"/>
              </w:rPr>
              <w:t>$</w:t>
            </w:r>
          </w:p>
        </w:tc>
        <w:tc>
          <w:tcPr>
            <w:tcW w:w="560" w:type="dxa"/>
            <w:vAlign w:val="bottom"/>
          </w:tcPr>
          <w:p>
            <w:pPr>
              <w:jc w:val="center"/>
              <w:ind w:left="69"/>
              <w:spacing w:after="0"/>
              <w:rPr>
                <w:sz w:val="20"/>
                <w:szCs w:val="20"/>
                <w:color w:val="auto"/>
              </w:rPr>
            </w:pPr>
            <w:r>
              <w:rPr>
                <w:rFonts w:ascii="Arial" w:cs="Arial" w:eastAsia="Arial" w:hAnsi="Arial"/>
                <w:sz w:val="14"/>
                <w:szCs w:val="14"/>
                <w:color w:val="auto"/>
                <w:w w:val="99"/>
              </w:rPr>
              <w:t>—</w:t>
            </w:r>
          </w:p>
        </w:tc>
        <w:tc>
          <w:tcPr>
            <w:tcW w:w="160" w:type="dxa"/>
            <w:vAlign w:val="bottom"/>
          </w:tcPr>
          <w:p>
            <w:pPr>
              <w:ind w:left="80"/>
              <w:spacing w:after="0"/>
              <w:rPr>
                <w:sz w:val="20"/>
                <w:szCs w:val="20"/>
                <w:color w:val="auto"/>
              </w:rPr>
            </w:pPr>
            <w:r>
              <w:rPr>
                <w:rFonts w:ascii="Arial" w:cs="Arial" w:eastAsia="Arial" w:hAnsi="Arial"/>
                <w:sz w:val="14"/>
                <w:szCs w:val="14"/>
                <w:color w:val="auto"/>
                <w:w w:val="76"/>
              </w:rPr>
              <w:t>$</w:t>
            </w:r>
          </w:p>
        </w:tc>
        <w:tc>
          <w:tcPr>
            <w:tcW w:w="640" w:type="dxa"/>
            <w:vAlign w:val="bottom"/>
          </w:tcPr>
          <w:p>
            <w:pPr>
              <w:jc w:val="center"/>
              <w:ind w:left="109"/>
              <w:spacing w:after="0"/>
              <w:rPr>
                <w:sz w:val="20"/>
                <w:szCs w:val="20"/>
                <w:color w:val="auto"/>
              </w:rPr>
            </w:pPr>
            <w:r>
              <w:rPr>
                <w:rFonts w:ascii="Arial" w:cs="Arial" w:eastAsia="Arial" w:hAnsi="Arial"/>
                <w:sz w:val="14"/>
                <w:szCs w:val="14"/>
                <w:color w:val="auto"/>
                <w:w w:val="99"/>
              </w:rPr>
              <w:t>—</w:t>
            </w:r>
          </w:p>
        </w:tc>
        <w:tc>
          <w:tcPr>
            <w:tcW w:w="160" w:type="dxa"/>
            <w:vAlign w:val="bottom"/>
          </w:tcPr>
          <w:p>
            <w:pPr>
              <w:ind w:left="6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240" w:type="dxa"/>
            <w:vAlign w:val="bottom"/>
          </w:tcPr>
          <w:p>
            <w:pPr>
              <w:ind w:left="60"/>
              <w:spacing w:after="0"/>
              <w:rPr>
                <w:sz w:val="20"/>
                <w:szCs w:val="20"/>
                <w:color w:val="auto"/>
              </w:rPr>
            </w:pPr>
            <w:r>
              <w:rPr>
                <w:rFonts w:ascii="Arial" w:cs="Arial" w:eastAsia="Arial" w:hAnsi="Arial"/>
                <w:sz w:val="14"/>
                <w:szCs w:val="14"/>
                <w:color w:val="auto"/>
              </w:rPr>
              <w:t>$</w:t>
            </w:r>
          </w:p>
        </w:tc>
        <w:tc>
          <w:tcPr>
            <w:tcW w:w="620" w:type="dxa"/>
            <w:vAlign w:val="bottom"/>
          </w:tcPr>
          <w:p>
            <w:pPr>
              <w:ind w:left="3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tcPr>
          <w:p>
            <w:pPr>
              <w:ind w:left="80"/>
              <w:spacing w:after="0"/>
              <w:rPr>
                <w:sz w:val="20"/>
                <w:szCs w:val="20"/>
                <w:color w:val="auto"/>
              </w:rPr>
            </w:pPr>
            <w:r>
              <w:rPr>
                <w:rFonts w:ascii="Arial" w:cs="Arial" w:eastAsia="Arial" w:hAnsi="Arial"/>
                <w:sz w:val="14"/>
                <w:szCs w:val="14"/>
                <w:color w:val="auto"/>
              </w:rPr>
              <w:t>$</w:t>
            </w:r>
          </w:p>
        </w:tc>
        <w:tc>
          <w:tcPr>
            <w:tcW w:w="480" w:type="dxa"/>
            <w:vAlign w:val="bottom"/>
          </w:tcPr>
          <w:p>
            <w:pPr>
              <w:jc w:val="center"/>
              <w:spacing w:after="0"/>
              <w:rPr>
                <w:sz w:val="20"/>
                <w:szCs w:val="20"/>
                <w:color w:val="auto"/>
              </w:rPr>
            </w:pPr>
            <w:r>
              <w:rPr>
                <w:rFonts w:ascii="Arial" w:cs="Arial" w:eastAsia="Arial" w:hAnsi="Arial"/>
                <w:sz w:val="14"/>
                <w:szCs w:val="14"/>
                <w:color w:val="auto"/>
              </w:rPr>
              <w:t>6,180</w:t>
            </w:r>
          </w:p>
        </w:tc>
        <w:tc>
          <w:tcPr>
            <w:tcW w:w="200" w:type="dxa"/>
            <w:vAlign w:val="bottom"/>
          </w:tcPr>
          <w:p>
            <w:pPr>
              <w:ind w:left="60"/>
              <w:spacing w:after="0"/>
              <w:rPr>
                <w:sz w:val="20"/>
                <w:szCs w:val="20"/>
                <w:color w:val="auto"/>
              </w:rPr>
            </w:pPr>
            <w:r>
              <w:rPr>
                <w:rFonts w:ascii="Arial" w:cs="Arial" w:eastAsia="Arial" w:hAnsi="Arial"/>
                <w:sz w:val="14"/>
                <w:szCs w:val="14"/>
                <w:color w:val="auto"/>
              </w:rPr>
              <w:t>$</w:t>
            </w:r>
          </w:p>
        </w:tc>
        <w:tc>
          <w:tcPr>
            <w:tcW w:w="560" w:type="dxa"/>
            <w:vAlign w:val="bottom"/>
          </w:tcPr>
          <w:p>
            <w:pPr>
              <w:ind w:left="280"/>
              <w:spacing w:after="0"/>
              <w:rPr>
                <w:sz w:val="20"/>
                <w:szCs w:val="20"/>
                <w:color w:val="auto"/>
              </w:rPr>
            </w:pPr>
            <w:r>
              <w:rPr>
                <w:rFonts w:ascii="Arial" w:cs="Arial" w:eastAsia="Arial" w:hAnsi="Arial"/>
                <w:sz w:val="14"/>
                <w:szCs w:val="14"/>
                <w:color w:val="auto"/>
              </w:rPr>
              <w:t>—</w:t>
            </w:r>
          </w:p>
        </w:tc>
        <w:tc>
          <w:tcPr>
            <w:tcW w:w="200" w:type="dxa"/>
            <w:vAlign w:val="bottom"/>
          </w:tcPr>
          <w:p>
            <w:pPr>
              <w:ind w:left="80"/>
              <w:spacing w:after="0"/>
              <w:rPr>
                <w:sz w:val="20"/>
                <w:szCs w:val="20"/>
                <w:color w:val="auto"/>
              </w:rPr>
            </w:pPr>
            <w:r>
              <w:rPr>
                <w:rFonts w:ascii="Arial" w:cs="Arial" w:eastAsia="Arial" w:hAnsi="Arial"/>
                <w:sz w:val="14"/>
                <w:szCs w:val="14"/>
                <w:color w:val="auto"/>
              </w:rPr>
              <w:t>$</w:t>
            </w:r>
          </w:p>
        </w:tc>
        <w:tc>
          <w:tcPr>
            <w:tcW w:w="540" w:type="dxa"/>
            <w:vAlign w:val="bottom"/>
          </w:tcPr>
          <w:p>
            <w:pPr>
              <w:ind w:left="260"/>
              <w:spacing w:after="0"/>
              <w:rPr>
                <w:sz w:val="20"/>
                <w:szCs w:val="20"/>
                <w:color w:val="auto"/>
              </w:rPr>
            </w:pPr>
            <w:r>
              <w:rPr>
                <w:rFonts w:ascii="Arial" w:cs="Arial" w:eastAsia="Arial" w:hAnsi="Arial"/>
                <w:sz w:val="14"/>
                <w:szCs w:val="14"/>
                <w:color w:val="auto"/>
              </w:rPr>
              <w:t>—</w:t>
            </w:r>
          </w:p>
        </w:tc>
      </w:tr>
      <w:tr>
        <w:trPr>
          <w:trHeight w:val="157"/>
        </w:trPr>
        <w:tc>
          <w:tcPr>
            <w:tcW w:w="2940" w:type="dxa"/>
            <w:vAlign w:val="bottom"/>
          </w:tcPr>
          <w:p>
            <w:pPr>
              <w:spacing w:after="0"/>
              <w:rPr>
                <w:sz w:val="13"/>
                <w:szCs w:val="13"/>
                <w:color w:val="auto"/>
              </w:rPr>
            </w:pPr>
          </w:p>
        </w:tc>
        <w:tc>
          <w:tcPr>
            <w:tcW w:w="520" w:type="dxa"/>
            <w:vAlign w:val="bottom"/>
          </w:tcPr>
          <w:p>
            <w:pPr>
              <w:jc w:val="center"/>
              <w:spacing w:after="0" w:line="157" w:lineRule="exact"/>
              <w:rPr>
                <w:sz w:val="20"/>
                <w:szCs w:val="20"/>
                <w:color w:val="auto"/>
              </w:rPr>
            </w:pPr>
            <w:r>
              <w:rPr>
                <w:rFonts w:ascii="Arial" w:cs="Arial" w:eastAsia="Arial" w:hAnsi="Arial"/>
                <w:sz w:val="14"/>
                <w:szCs w:val="14"/>
                <w:color w:val="auto"/>
              </w:rPr>
              <w:t>2017</w:t>
            </w:r>
          </w:p>
        </w:tc>
        <w:tc>
          <w:tcPr>
            <w:tcW w:w="160" w:type="dxa"/>
            <w:vAlign w:val="bottom"/>
          </w:tcPr>
          <w:p>
            <w:pPr>
              <w:ind w:left="60"/>
              <w:spacing w:after="0" w:line="157"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7" w:lineRule="exact"/>
              <w:rPr>
                <w:sz w:val="20"/>
                <w:szCs w:val="20"/>
                <w:color w:val="auto"/>
              </w:rPr>
            </w:pPr>
            <w:r>
              <w:rPr>
                <w:rFonts w:ascii="Arial" w:cs="Arial" w:eastAsia="Arial" w:hAnsi="Arial"/>
                <w:sz w:val="14"/>
                <w:szCs w:val="14"/>
                <w:color w:val="auto"/>
              </w:rPr>
              <w:t>70,240</w:t>
            </w:r>
          </w:p>
        </w:tc>
        <w:tc>
          <w:tcPr>
            <w:tcW w:w="140" w:type="dxa"/>
            <w:vAlign w:val="bottom"/>
          </w:tcPr>
          <w:p>
            <w:pPr>
              <w:ind w:left="60"/>
              <w:spacing w:after="0" w:line="157"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ind w:right="70"/>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ind w:left="60"/>
              <w:spacing w:after="0" w:line="157" w:lineRule="exact"/>
              <w:rPr>
                <w:sz w:val="20"/>
                <w:szCs w:val="20"/>
                <w:color w:val="auto"/>
              </w:rPr>
            </w:pPr>
            <w:r>
              <w:rPr>
                <w:rFonts w:ascii="Arial" w:cs="Arial" w:eastAsia="Arial" w:hAnsi="Arial"/>
                <w:sz w:val="14"/>
                <w:szCs w:val="14"/>
                <w:color w:val="auto"/>
              </w:rPr>
              <w:t>$</w:t>
            </w:r>
          </w:p>
        </w:tc>
        <w:tc>
          <w:tcPr>
            <w:tcW w:w="560" w:type="dxa"/>
            <w:vAlign w:val="bottom"/>
          </w:tcPr>
          <w:p>
            <w:pPr>
              <w:jc w:val="center"/>
              <w:ind w:left="69"/>
              <w:spacing w:after="0" w:line="157" w:lineRule="exact"/>
              <w:rPr>
                <w:sz w:val="20"/>
                <w:szCs w:val="20"/>
                <w:color w:val="auto"/>
              </w:rPr>
            </w:pPr>
            <w:r>
              <w:rPr>
                <w:rFonts w:ascii="Arial" w:cs="Arial" w:eastAsia="Arial" w:hAnsi="Arial"/>
                <w:sz w:val="14"/>
                <w:szCs w:val="14"/>
                <w:color w:val="auto"/>
                <w:w w:val="99"/>
              </w:rPr>
              <w:t>—</w:t>
            </w:r>
          </w:p>
        </w:tc>
        <w:tc>
          <w:tcPr>
            <w:tcW w:w="160" w:type="dxa"/>
            <w:vAlign w:val="bottom"/>
          </w:tcPr>
          <w:p>
            <w:pPr>
              <w:ind w:left="80"/>
              <w:spacing w:after="0" w:line="157" w:lineRule="exact"/>
              <w:rPr>
                <w:sz w:val="20"/>
                <w:szCs w:val="20"/>
                <w:color w:val="auto"/>
              </w:rPr>
            </w:pPr>
            <w:r>
              <w:rPr>
                <w:rFonts w:ascii="Arial" w:cs="Arial" w:eastAsia="Arial" w:hAnsi="Arial"/>
                <w:sz w:val="14"/>
                <w:szCs w:val="14"/>
                <w:color w:val="auto"/>
                <w:w w:val="76"/>
              </w:rPr>
              <w:t>$</w:t>
            </w:r>
          </w:p>
        </w:tc>
        <w:tc>
          <w:tcPr>
            <w:tcW w:w="640" w:type="dxa"/>
            <w:vAlign w:val="bottom"/>
          </w:tcPr>
          <w:p>
            <w:pPr>
              <w:jc w:val="center"/>
              <w:ind w:left="109"/>
              <w:spacing w:after="0" w:line="157" w:lineRule="exact"/>
              <w:rPr>
                <w:sz w:val="20"/>
                <w:szCs w:val="20"/>
                <w:color w:val="auto"/>
              </w:rPr>
            </w:pPr>
            <w:r>
              <w:rPr>
                <w:rFonts w:ascii="Arial" w:cs="Arial" w:eastAsia="Arial" w:hAnsi="Arial"/>
                <w:sz w:val="14"/>
                <w:szCs w:val="14"/>
                <w:color w:val="auto"/>
                <w:w w:val="99"/>
              </w:rPr>
              <w:t>—</w:t>
            </w:r>
          </w:p>
        </w:tc>
        <w:tc>
          <w:tcPr>
            <w:tcW w:w="160" w:type="dxa"/>
            <w:vAlign w:val="bottom"/>
          </w:tcPr>
          <w:p>
            <w:pPr>
              <w:ind w:left="60"/>
              <w:spacing w:after="0" w:line="157"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89"/>
              <w:spacing w:after="0" w:line="157" w:lineRule="exact"/>
              <w:rPr>
                <w:sz w:val="20"/>
                <w:szCs w:val="20"/>
                <w:color w:val="auto"/>
              </w:rPr>
            </w:pPr>
            <w:r>
              <w:rPr>
                <w:rFonts w:ascii="Arial" w:cs="Arial" w:eastAsia="Arial" w:hAnsi="Arial"/>
                <w:sz w:val="14"/>
                <w:szCs w:val="14"/>
                <w:color w:val="auto"/>
              </w:rPr>
              <w:t>—</w:t>
            </w:r>
          </w:p>
        </w:tc>
        <w:tc>
          <w:tcPr>
            <w:tcW w:w="240" w:type="dxa"/>
            <w:vAlign w:val="bottom"/>
          </w:tcPr>
          <w:p>
            <w:pPr>
              <w:ind w:left="60"/>
              <w:spacing w:after="0" w:line="157" w:lineRule="exact"/>
              <w:rPr>
                <w:sz w:val="20"/>
                <w:szCs w:val="20"/>
                <w:color w:val="auto"/>
              </w:rPr>
            </w:pPr>
            <w:r>
              <w:rPr>
                <w:rFonts w:ascii="Arial" w:cs="Arial" w:eastAsia="Arial" w:hAnsi="Arial"/>
                <w:sz w:val="14"/>
                <w:szCs w:val="14"/>
                <w:color w:val="auto"/>
              </w:rPr>
              <w:t>$</w:t>
            </w:r>
          </w:p>
        </w:tc>
        <w:tc>
          <w:tcPr>
            <w:tcW w:w="620" w:type="dxa"/>
            <w:vAlign w:val="bottom"/>
          </w:tcPr>
          <w:p>
            <w:pPr>
              <w:ind w:left="320"/>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69"/>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ind w:left="80"/>
              <w:spacing w:after="0" w:line="157" w:lineRule="exact"/>
              <w:rPr>
                <w:sz w:val="20"/>
                <w:szCs w:val="20"/>
                <w:color w:val="auto"/>
              </w:rPr>
            </w:pPr>
            <w:r>
              <w:rPr>
                <w:rFonts w:ascii="Arial" w:cs="Arial" w:eastAsia="Arial" w:hAnsi="Arial"/>
                <w:sz w:val="14"/>
                <w:szCs w:val="14"/>
                <w:color w:val="auto"/>
              </w:rPr>
              <w:t>$</w:t>
            </w:r>
          </w:p>
        </w:tc>
        <w:tc>
          <w:tcPr>
            <w:tcW w:w="480" w:type="dxa"/>
            <w:vAlign w:val="bottom"/>
          </w:tcPr>
          <w:p>
            <w:pPr>
              <w:jc w:val="center"/>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ind w:left="60"/>
              <w:spacing w:after="0" w:line="157" w:lineRule="exact"/>
              <w:rPr>
                <w:sz w:val="20"/>
                <w:szCs w:val="20"/>
                <w:color w:val="auto"/>
              </w:rPr>
            </w:pPr>
            <w:r>
              <w:rPr>
                <w:rFonts w:ascii="Arial" w:cs="Arial" w:eastAsia="Arial" w:hAnsi="Arial"/>
                <w:sz w:val="14"/>
                <w:szCs w:val="14"/>
                <w:color w:val="auto"/>
              </w:rPr>
              <w:t>$</w:t>
            </w:r>
          </w:p>
        </w:tc>
        <w:tc>
          <w:tcPr>
            <w:tcW w:w="560" w:type="dxa"/>
            <w:vAlign w:val="bottom"/>
          </w:tcPr>
          <w:p>
            <w:pPr>
              <w:ind w:left="280"/>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ind w:left="80"/>
              <w:spacing w:after="0" w:line="157" w:lineRule="exact"/>
              <w:rPr>
                <w:sz w:val="20"/>
                <w:szCs w:val="20"/>
                <w:color w:val="auto"/>
              </w:rPr>
            </w:pPr>
            <w:r>
              <w:rPr>
                <w:rFonts w:ascii="Arial" w:cs="Arial" w:eastAsia="Arial" w:hAnsi="Arial"/>
                <w:sz w:val="14"/>
                <w:szCs w:val="14"/>
                <w:color w:val="auto"/>
              </w:rPr>
              <w:t>$</w:t>
            </w:r>
          </w:p>
        </w:tc>
        <w:tc>
          <w:tcPr>
            <w:tcW w:w="540" w:type="dxa"/>
            <w:vAlign w:val="bottom"/>
          </w:tcPr>
          <w:p>
            <w:pPr>
              <w:ind w:left="260"/>
              <w:spacing w:after="0" w:line="157" w:lineRule="exact"/>
              <w:rPr>
                <w:sz w:val="20"/>
                <w:szCs w:val="20"/>
                <w:color w:val="auto"/>
              </w:rPr>
            </w:pPr>
            <w:r>
              <w:rPr>
                <w:rFonts w:ascii="Arial" w:cs="Arial" w:eastAsia="Arial" w:hAnsi="Arial"/>
                <w:sz w:val="14"/>
                <w:szCs w:val="14"/>
                <w:color w:val="auto"/>
              </w:rPr>
              <w:t>—</w:t>
            </w:r>
          </w:p>
        </w:tc>
      </w:tr>
      <w:tr>
        <w:trPr>
          <w:trHeight w:val="270"/>
        </w:trPr>
        <w:tc>
          <w:tcPr>
            <w:tcW w:w="2940" w:type="dxa"/>
            <w:vAlign w:val="bottom"/>
            <w:shd w:val="clear" w:color="auto" w:fill="E8EDF4"/>
          </w:tcPr>
          <w:p>
            <w:pPr>
              <w:ind w:left="20"/>
              <w:spacing w:after="0"/>
              <w:rPr>
                <w:sz w:val="20"/>
                <w:szCs w:val="20"/>
                <w:color w:val="auto"/>
              </w:rPr>
            </w:pPr>
            <w:r>
              <w:rPr>
                <w:rFonts w:ascii="Arial" w:cs="Arial" w:eastAsia="Arial" w:hAnsi="Arial"/>
                <w:sz w:val="14"/>
                <w:szCs w:val="14"/>
                <w:color w:val="auto"/>
              </w:rPr>
              <w:t>Prashanth Mahendra-Rajah</w:t>
            </w:r>
          </w:p>
        </w:tc>
        <w:tc>
          <w:tcPr>
            <w:tcW w:w="520" w:type="dxa"/>
            <w:vAlign w:val="bottom"/>
            <w:shd w:val="clear" w:color="auto" w:fill="E8EDF4"/>
          </w:tcPr>
          <w:p>
            <w:pPr>
              <w:jc w:val="center"/>
              <w:spacing w:after="0"/>
              <w:rPr>
                <w:sz w:val="20"/>
                <w:szCs w:val="20"/>
                <w:color w:val="auto"/>
              </w:rPr>
            </w:pPr>
            <w:r>
              <w:rPr>
                <w:rFonts w:ascii="Arial" w:cs="Arial" w:eastAsia="Arial" w:hAnsi="Arial"/>
                <w:sz w:val="14"/>
                <w:szCs w:val="14"/>
                <w:color w:val="auto"/>
              </w:rPr>
              <w:t>2019</w:t>
            </w:r>
          </w:p>
        </w:tc>
        <w:tc>
          <w:tcPr>
            <w:tcW w:w="160" w:type="dxa"/>
            <w:vAlign w:val="bottom"/>
            <w:shd w:val="clear" w:color="auto" w:fill="E8EDF4"/>
          </w:tcPr>
          <w:p>
            <w:pPr>
              <w:ind w:left="60"/>
              <w:spacing w:after="0"/>
              <w:rPr>
                <w:sz w:val="20"/>
                <w:szCs w:val="20"/>
                <w:color w:val="auto"/>
              </w:rPr>
            </w:pPr>
            <w:r>
              <w:rPr>
                <w:rFonts w:ascii="Arial" w:cs="Arial" w:eastAsia="Arial" w:hAnsi="Arial"/>
                <w:sz w:val="14"/>
                <w:szCs w:val="14"/>
                <w:color w:val="auto"/>
              </w:rPr>
              <w:t>$</w:t>
            </w:r>
          </w:p>
        </w:tc>
        <w:tc>
          <w:tcPr>
            <w:tcW w:w="580" w:type="dxa"/>
            <w:vAlign w:val="bottom"/>
            <w:shd w:val="clear" w:color="auto" w:fill="E8EDF4"/>
          </w:tcPr>
          <w:p>
            <w:pPr>
              <w:jc w:val="right"/>
              <w:spacing w:after="0"/>
              <w:rPr>
                <w:sz w:val="20"/>
                <w:szCs w:val="20"/>
                <w:color w:val="auto"/>
              </w:rPr>
            </w:pPr>
            <w:r>
              <w:rPr>
                <w:rFonts w:ascii="Arial" w:cs="Arial" w:eastAsia="Arial" w:hAnsi="Arial"/>
                <w:sz w:val="14"/>
                <w:szCs w:val="14"/>
                <w:color w:val="auto"/>
              </w:rPr>
              <w:t>45,231</w:t>
            </w:r>
          </w:p>
        </w:tc>
        <w:tc>
          <w:tcPr>
            <w:tcW w:w="140" w:type="dxa"/>
            <w:vAlign w:val="bottom"/>
            <w:shd w:val="clear" w:color="auto" w:fill="E8EDF4"/>
          </w:tcPr>
          <w:p>
            <w:pPr>
              <w:ind w:left="60"/>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E8EDF4"/>
          </w:tcPr>
          <w:p>
            <w:pPr>
              <w:jc w:val="right"/>
              <w:ind w:right="70"/>
              <w:spacing w:after="0"/>
              <w:rPr>
                <w:sz w:val="20"/>
                <w:szCs w:val="20"/>
                <w:color w:val="auto"/>
              </w:rPr>
            </w:pPr>
            <w:r>
              <w:rPr>
                <w:rFonts w:ascii="Arial" w:cs="Arial" w:eastAsia="Arial" w:hAnsi="Arial"/>
                <w:sz w:val="14"/>
                <w:szCs w:val="14"/>
                <w:color w:val="auto"/>
              </w:rPr>
              <w:t>—</w:t>
            </w:r>
          </w:p>
        </w:tc>
        <w:tc>
          <w:tcPr>
            <w:tcW w:w="160" w:type="dxa"/>
            <w:vAlign w:val="bottom"/>
            <w:shd w:val="clear" w:color="auto" w:fill="E8EDF4"/>
          </w:tcPr>
          <w:p>
            <w:pPr>
              <w:ind w:left="60"/>
              <w:spacing w:after="0"/>
              <w:rPr>
                <w:sz w:val="20"/>
                <w:szCs w:val="20"/>
                <w:color w:val="auto"/>
              </w:rPr>
            </w:pPr>
            <w:r>
              <w:rPr>
                <w:rFonts w:ascii="Arial" w:cs="Arial" w:eastAsia="Arial" w:hAnsi="Arial"/>
                <w:sz w:val="14"/>
                <w:szCs w:val="14"/>
                <w:color w:val="auto"/>
              </w:rPr>
              <w:t>$</w:t>
            </w:r>
          </w:p>
        </w:tc>
        <w:tc>
          <w:tcPr>
            <w:tcW w:w="560" w:type="dxa"/>
            <w:vAlign w:val="bottom"/>
            <w:shd w:val="clear" w:color="auto" w:fill="E8EDF4"/>
          </w:tcPr>
          <w:p>
            <w:pPr>
              <w:jc w:val="center"/>
              <w:ind w:left="69"/>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E8EDF4"/>
          </w:tcPr>
          <w:p>
            <w:pPr>
              <w:ind w:left="80"/>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E8EDF4"/>
          </w:tcPr>
          <w:p>
            <w:pPr>
              <w:jc w:val="center"/>
              <w:ind w:left="49"/>
              <w:spacing w:after="0"/>
              <w:rPr>
                <w:sz w:val="20"/>
                <w:szCs w:val="20"/>
                <w:color w:val="auto"/>
              </w:rPr>
            </w:pPr>
            <w:r>
              <w:rPr>
                <w:rFonts w:ascii="Arial" w:cs="Arial" w:eastAsia="Arial" w:hAnsi="Arial"/>
                <w:sz w:val="14"/>
                <w:szCs w:val="14"/>
                <w:color w:val="auto"/>
              </w:rPr>
              <w:t>1,200</w:t>
            </w:r>
          </w:p>
        </w:tc>
        <w:tc>
          <w:tcPr>
            <w:tcW w:w="160" w:type="dxa"/>
            <w:vAlign w:val="bottom"/>
            <w:shd w:val="clear" w:color="auto" w:fill="E8EDF4"/>
          </w:tcPr>
          <w:p>
            <w:pPr>
              <w:ind w:left="60"/>
              <w:spacing w:after="0"/>
              <w:rPr>
                <w:sz w:val="20"/>
                <w:szCs w:val="20"/>
                <w:color w:val="auto"/>
              </w:rPr>
            </w:pPr>
            <w:r>
              <w:rPr>
                <w:rFonts w:ascii="Arial" w:cs="Arial" w:eastAsia="Arial" w:hAnsi="Arial"/>
                <w:sz w:val="14"/>
                <w:szCs w:val="14"/>
                <w:color w:val="auto"/>
              </w:rPr>
              <w:t>$</w:t>
            </w:r>
          </w:p>
        </w:tc>
        <w:tc>
          <w:tcPr>
            <w:tcW w:w="620" w:type="dxa"/>
            <w:vAlign w:val="bottom"/>
            <w:shd w:val="clear" w:color="auto" w:fill="E8EDF4"/>
          </w:tcPr>
          <w:p>
            <w:pPr>
              <w:jc w:val="right"/>
              <w:ind w:right="9"/>
              <w:spacing w:after="0"/>
              <w:rPr>
                <w:sz w:val="20"/>
                <w:szCs w:val="20"/>
                <w:color w:val="auto"/>
              </w:rPr>
            </w:pPr>
            <w:r>
              <w:rPr>
                <w:rFonts w:ascii="Arial" w:cs="Arial" w:eastAsia="Arial" w:hAnsi="Arial"/>
                <w:sz w:val="14"/>
                <w:szCs w:val="14"/>
                <w:color w:val="auto"/>
              </w:rPr>
              <w:t>106,705</w:t>
            </w:r>
          </w:p>
        </w:tc>
        <w:tc>
          <w:tcPr>
            <w:tcW w:w="240" w:type="dxa"/>
            <w:vAlign w:val="bottom"/>
            <w:shd w:val="clear" w:color="auto" w:fill="E8EDF4"/>
          </w:tcPr>
          <w:p>
            <w:pPr>
              <w:ind w:left="60"/>
              <w:spacing w:after="0"/>
              <w:rPr>
                <w:sz w:val="20"/>
                <w:szCs w:val="20"/>
                <w:color w:val="auto"/>
              </w:rPr>
            </w:pPr>
            <w:r>
              <w:rPr>
                <w:rFonts w:ascii="Arial" w:cs="Arial" w:eastAsia="Arial" w:hAnsi="Arial"/>
                <w:sz w:val="14"/>
                <w:szCs w:val="14"/>
                <w:color w:val="auto"/>
              </w:rPr>
              <w:t>$</w:t>
            </w:r>
          </w:p>
        </w:tc>
        <w:tc>
          <w:tcPr>
            <w:tcW w:w="620" w:type="dxa"/>
            <w:vAlign w:val="bottom"/>
            <w:shd w:val="clear" w:color="auto" w:fill="E8EDF4"/>
          </w:tcPr>
          <w:p>
            <w:pPr>
              <w:ind w:left="320"/>
              <w:spacing w:after="0"/>
              <w:rPr>
                <w:sz w:val="20"/>
                <w:szCs w:val="20"/>
                <w:color w:val="auto"/>
              </w:rPr>
            </w:pPr>
            <w:r>
              <w:rPr>
                <w:rFonts w:ascii="Arial" w:cs="Arial" w:eastAsia="Arial" w:hAnsi="Arial"/>
                <w:sz w:val="14"/>
                <w:szCs w:val="14"/>
                <w:color w:val="auto"/>
              </w:rPr>
              <w:t>—</w:t>
            </w:r>
          </w:p>
        </w:tc>
        <w:tc>
          <w:tcPr>
            <w:tcW w:w="160" w:type="dxa"/>
            <w:vAlign w:val="bottom"/>
            <w:shd w:val="clear" w:color="auto" w:fill="E8EDF4"/>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E8EDF4"/>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shd w:val="clear" w:color="auto" w:fill="E8EDF4"/>
          </w:tcPr>
          <w:p>
            <w:pPr>
              <w:ind w:left="80"/>
              <w:spacing w:after="0"/>
              <w:rPr>
                <w:sz w:val="20"/>
                <w:szCs w:val="20"/>
                <w:color w:val="auto"/>
              </w:rPr>
            </w:pPr>
            <w:r>
              <w:rPr>
                <w:rFonts w:ascii="Arial" w:cs="Arial" w:eastAsia="Arial" w:hAnsi="Arial"/>
                <w:sz w:val="14"/>
                <w:szCs w:val="14"/>
                <w:color w:val="auto"/>
              </w:rPr>
              <w:t>$</w:t>
            </w:r>
          </w:p>
        </w:tc>
        <w:tc>
          <w:tcPr>
            <w:tcW w:w="480" w:type="dxa"/>
            <w:vAlign w:val="bottom"/>
            <w:shd w:val="clear" w:color="auto" w:fill="E8EDF4"/>
          </w:tcPr>
          <w:p>
            <w:pPr>
              <w:jc w:val="center"/>
              <w:spacing w:after="0"/>
              <w:rPr>
                <w:sz w:val="20"/>
                <w:szCs w:val="20"/>
                <w:color w:val="auto"/>
              </w:rPr>
            </w:pPr>
            <w:r>
              <w:rPr>
                <w:rFonts w:ascii="Arial" w:cs="Arial" w:eastAsia="Arial" w:hAnsi="Arial"/>
                <w:sz w:val="14"/>
                <w:szCs w:val="14"/>
                <w:color w:val="auto"/>
              </w:rPr>
              <w:t>—</w:t>
            </w:r>
          </w:p>
        </w:tc>
        <w:tc>
          <w:tcPr>
            <w:tcW w:w="200" w:type="dxa"/>
            <w:vAlign w:val="bottom"/>
            <w:shd w:val="clear" w:color="auto" w:fill="E8EDF4"/>
          </w:tcPr>
          <w:p>
            <w:pPr>
              <w:ind w:left="60"/>
              <w:spacing w:after="0"/>
              <w:rPr>
                <w:sz w:val="20"/>
                <w:szCs w:val="20"/>
                <w:color w:val="auto"/>
              </w:rPr>
            </w:pPr>
            <w:r>
              <w:rPr>
                <w:rFonts w:ascii="Arial" w:cs="Arial" w:eastAsia="Arial" w:hAnsi="Arial"/>
                <w:sz w:val="14"/>
                <w:szCs w:val="14"/>
                <w:color w:val="auto"/>
              </w:rPr>
              <w:t>$</w:t>
            </w:r>
          </w:p>
        </w:tc>
        <w:tc>
          <w:tcPr>
            <w:tcW w:w="560" w:type="dxa"/>
            <w:vAlign w:val="bottom"/>
            <w:shd w:val="clear" w:color="auto" w:fill="E8EDF4"/>
          </w:tcPr>
          <w:p>
            <w:pPr>
              <w:ind w:left="280"/>
              <w:spacing w:after="0"/>
              <w:rPr>
                <w:sz w:val="20"/>
                <w:szCs w:val="20"/>
                <w:color w:val="auto"/>
              </w:rPr>
            </w:pPr>
            <w:r>
              <w:rPr>
                <w:rFonts w:ascii="Arial" w:cs="Arial" w:eastAsia="Arial" w:hAnsi="Arial"/>
                <w:sz w:val="14"/>
                <w:szCs w:val="14"/>
                <w:color w:val="auto"/>
              </w:rPr>
              <w:t>—</w:t>
            </w:r>
          </w:p>
        </w:tc>
        <w:tc>
          <w:tcPr>
            <w:tcW w:w="200" w:type="dxa"/>
            <w:vAlign w:val="bottom"/>
            <w:shd w:val="clear" w:color="auto" w:fill="E8EDF4"/>
          </w:tcPr>
          <w:p>
            <w:pPr>
              <w:ind w:left="80"/>
              <w:spacing w:after="0"/>
              <w:rPr>
                <w:sz w:val="20"/>
                <w:szCs w:val="20"/>
                <w:color w:val="auto"/>
              </w:rPr>
            </w:pPr>
            <w:r>
              <w:rPr>
                <w:rFonts w:ascii="Arial" w:cs="Arial" w:eastAsia="Arial" w:hAnsi="Arial"/>
                <w:sz w:val="14"/>
                <w:szCs w:val="14"/>
                <w:color w:val="auto"/>
              </w:rPr>
              <w:t>$</w:t>
            </w:r>
          </w:p>
        </w:tc>
        <w:tc>
          <w:tcPr>
            <w:tcW w:w="540" w:type="dxa"/>
            <w:vAlign w:val="bottom"/>
            <w:shd w:val="clear" w:color="auto" w:fill="E8EDF4"/>
          </w:tcPr>
          <w:p>
            <w:pPr>
              <w:ind w:left="260"/>
              <w:spacing w:after="0"/>
              <w:rPr>
                <w:sz w:val="20"/>
                <w:szCs w:val="20"/>
                <w:color w:val="auto"/>
              </w:rPr>
            </w:pPr>
            <w:r>
              <w:rPr>
                <w:rFonts w:ascii="Arial" w:cs="Arial" w:eastAsia="Arial" w:hAnsi="Arial"/>
                <w:sz w:val="14"/>
                <w:szCs w:val="14"/>
                <w:color w:val="auto"/>
              </w:rPr>
              <w:t>—</w:t>
            </w:r>
          </w:p>
        </w:tc>
      </w:tr>
      <w:tr>
        <w:trPr>
          <w:trHeight w:val="162"/>
        </w:trPr>
        <w:tc>
          <w:tcPr>
            <w:tcW w:w="2940" w:type="dxa"/>
            <w:vAlign w:val="bottom"/>
            <w:shd w:val="clear" w:color="auto" w:fill="E8EDF4"/>
          </w:tcPr>
          <w:p>
            <w:pPr>
              <w:spacing w:after="0"/>
              <w:rPr>
                <w:sz w:val="14"/>
                <w:szCs w:val="14"/>
                <w:color w:val="auto"/>
              </w:rPr>
            </w:pPr>
          </w:p>
        </w:tc>
        <w:tc>
          <w:tcPr>
            <w:tcW w:w="520" w:type="dxa"/>
            <w:vAlign w:val="bottom"/>
            <w:shd w:val="clear" w:color="auto" w:fill="E8EDF4"/>
          </w:tcPr>
          <w:p>
            <w:pPr>
              <w:jc w:val="center"/>
              <w:spacing w:after="0"/>
              <w:rPr>
                <w:sz w:val="20"/>
                <w:szCs w:val="20"/>
                <w:color w:val="auto"/>
              </w:rPr>
            </w:pPr>
            <w:r>
              <w:rPr>
                <w:rFonts w:ascii="Arial" w:cs="Arial" w:eastAsia="Arial" w:hAnsi="Arial"/>
                <w:sz w:val="14"/>
                <w:szCs w:val="14"/>
                <w:color w:val="auto"/>
              </w:rPr>
              <w:t>2018</w:t>
            </w:r>
          </w:p>
        </w:tc>
        <w:tc>
          <w:tcPr>
            <w:tcW w:w="160" w:type="dxa"/>
            <w:vAlign w:val="bottom"/>
            <w:shd w:val="clear" w:color="auto" w:fill="E8EDF4"/>
          </w:tcPr>
          <w:p>
            <w:pPr>
              <w:ind w:left="60"/>
              <w:spacing w:after="0"/>
              <w:rPr>
                <w:sz w:val="20"/>
                <w:szCs w:val="20"/>
                <w:color w:val="auto"/>
              </w:rPr>
            </w:pPr>
            <w:r>
              <w:rPr>
                <w:rFonts w:ascii="Arial" w:cs="Arial" w:eastAsia="Arial" w:hAnsi="Arial"/>
                <w:sz w:val="14"/>
                <w:szCs w:val="14"/>
                <w:color w:val="auto"/>
              </w:rPr>
              <w:t>$</w:t>
            </w:r>
          </w:p>
        </w:tc>
        <w:tc>
          <w:tcPr>
            <w:tcW w:w="580" w:type="dxa"/>
            <w:vAlign w:val="bottom"/>
            <w:shd w:val="clear" w:color="auto" w:fill="E8EDF4"/>
          </w:tcPr>
          <w:p>
            <w:pPr>
              <w:jc w:val="right"/>
              <w:spacing w:after="0"/>
              <w:rPr>
                <w:sz w:val="20"/>
                <w:szCs w:val="20"/>
                <w:color w:val="auto"/>
              </w:rPr>
            </w:pPr>
            <w:r>
              <w:rPr>
                <w:rFonts w:ascii="Arial" w:cs="Arial" w:eastAsia="Arial" w:hAnsi="Arial"/>
                <w:sz w:val="14"/>
                <w:szCs w:val="14"/>
                <w:color w:val="auto"/>
              </w:rPr>
              <w:t>45,692</w:t>
            </w:r>
          </w:p>
        </w:tc>
        <w:tc>
          <w:tcPr>
            <w:tcW w:w="140" w:type="dxa"/>
            <w:vAlign w:val="bottom"/>
            <w:shd w:val="clear" w:color="auto" w:fill="E8EDF4"/>
          </w:tcPr>
          <w:p>
            <w:pPr>
              <w:ind w:left="60"/>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E8EDF4"/>
          </w:tcPr>
          <w:p>
            <w:pPr>
              <w:jc w:val="right"/>
              <w:ind w:right="70"/>
              <w:spacing w:after="0"/>
              <w:rPr>
                <w:sz w:val="20"/>
                <w:szCs w:val="20"/>
                <w:color w:val="auto"/>
              </w:rPr>
            </w:pPr>
            <w:r>
              <w:rPr>
                <w:rFonts w:ascii="Arial" w:cs="Arial" w:eastAsia="Arial" w:hAnsi="Arial"/>
                <w:sz w:val="14"/>
                <w:szCs w:val="14"/>
                <w:color w:val="auto"/>
              </w:rPr>
              <w:t>—</w:t>
            </w:r>
          </w:p>
        </w:tc>
        <w:tc>
          <w:tcPr>
            <w:tcW w:w="160" w:type="dxa"/>
            <w:vAlign w:val="bottom"/>
            <w:shd w:val="clear" w:color="auto" w:fill="E8EDF4"/>
          </w:tcPr>
          <w:p>
            <w:pPr>
              <w:ind w:left="60"/>
              <w:spacing w:after="0"/>
              <w:rPr>
                <w:sz w:val="20"/>
                <w:szCs w:val="20"/>
                <w:color w:val="auto"/>
              </w:rPr>
            </w:pPr>
            <w:r>
              <w:rPr>
                <w:rFonts w:ascii="Arial" w:cs="Arial" w:eastAsia="Arial" w:hAnsi="Arial"/>
                <w:sz w:val="14"/>
                <w:szCs w:val="14"/>
                <w:color w:val="auto"/>
              </w:rPr>
              <w:t>$</w:t>
            </w:r>
          </w:p>
        </w:tc>
        <w:tc>
          <w:tcPr>
            <w:tcW w:w="560" w:type="dxa"/>
            <w:vAlign w:val="bottom"/>
            <w:shd w:val="clear" w:color="auto" w:fill="E8EDF4"/>
          </w:tcPr>
          <w:p>
            <w:pPr>
              <w:jc w:val="center"/>
              <w:ind w:left="9"/>
              <w:spacing w:after="0"/>
              <w:rPr>
                <w:sz w:val="20"/>
                <w:szCs w:val="20"/>
                <w:color w:val="auto"/>
              </w:rPr>
            </w:pPr>
            <w:r>
              <w:rPr>
                <w:rFonts w:ascii="Arial" w:cs="Arial" w:eastAsia="Arial" w:hAnsi="Arial"/>
                <w:sz w:val="14"/>
                <w:szCs w:val="14"/>
                <w:color w:val="auto"/>
              </w:rPr>
              <w:t>2,850</w:t>
            </w:r>
          </w:p>
        </w:tc>
        <w:tc>
          <w:tcPr>
            <w:tcW w:w="160" w:type="dxa"/>
            <w:vAlign w:val="bottom"/>
            <w:shd w:val="clear" w:color="auto" w:fill="E8EDF4"/>
          </w:tcPr>
          <w:p>
            <w:pPr>
              <w:ind w:left="80"/>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E8EDF4"/>
          </w:tcPr>
          <w:p>
            <w:pPr>
              <w:jc w:val="center"/>
              <w:ind w:left="49"/>
              <w:spacing w:after="0"/>
              <w:rPr>
                <w:sz w:val="20"/>
                <w:szCs w:val="20"/>
                <w:color w:val="auto"/>
              </w:rPr>
            </w:pPr>
            <w:r>
              <w:rPr>
                <w:rFonts w:ascii="Arial" w:cs="Arial" w:eastAsia="Arial" w:hAnsi="Arial"/>
                <w:sz w:val="14"/>
                <w:szCs w:val="14"/>
                <w:color w:val="auto"/>
              </w:rPr>
              <w:t>2,400</w:t>
            </w:r>
          </w:p>
        </w:tc>
        <w:tc>
          <w:tcPr>
            <w:tcW w:w="160" w:type="dxa"/>
            <w:vAlign w:val="bottom"/>
            <w:shd w:val="clear" w:color="auto" w:fill="E8EDF4"/>
          </w:tcPr>
          <w:p>
            <w:pPr>
              <w:ind w:left="60"/>
              <w:spacing w:after="0"/>
              <w:rPr>
                <w:sz w:val="20"/>
                <w:szCs w:val="20"/>
                <w:color w:val="auto"/>
              </w:rPr>
            </w:pPr>
            <w:r>
              <w:rPr>
                <w:rFonts w:ascii="Arial" w:cs="Arial" w:eastAsia="Arial" w:hAnsi="Arial"/>
                <w:sz w:val="14"/>
                <w:szCs w:val="14"/>
                <w:color w:val="auto"/>
              </w:rPr>
              <w:t>$</w:t>
            </w:r>
          </w:p>
        </w:tc>
        <w:tc>
          <w:tcPr>
            <w:tcW w:w="620" w:type="dxa"/>
            <w:vAlign w:val="bottom"/>
            <w:shd w:val="clear" w:color="auto" w:fill="E8EDF4"/>
          </w:tcPr>
          <w:p>
            <w:pPr>
              <w:jc w:val="right"/>
              <w:ind w:right="9"/>
              <w:spacing w:after="0"/>
              <w:rPr>
                <w:sz w:val="20"/>
                <w:szCs w:val="20"/>
                <w:color w:val="auto"/>
              </w:rPr>
            </w:pPr>
            <w:r>
              <w:rPr>
                <w:rFonts w:ascii="Arial" w:cs="Arial" w:eastAsia="Arial" w:hAnsi="Arial"/>
                <w:sz w:val="14"/>
                <w:szCs w:val="14"/>
                <w:color w:val="auto"/>
              </w:rPr>
              <w:t>36,629</w:t>
            </w:r>
          </w:p>
        </w:tc>
        <w:tc>
          <w:tcPr>
            <w:tcW w:w="240" w:type="dxa"/>
            <w:vAlign w:val="bottom"/>
            <w:shd w:val="clear" w:color="auto" w:fill="E8EDF4"/>
          </w:tcPr>
          <w:p>
            <w:pPr>
              <w:ind w:left="60"/>
              <w:spacing w:after="0"/>
              <w:rPr>
                <w:sz w:val="20"/>
                <w:szCs w:val="20"/>
                <w:color w:val="auto"/>
              </w:rPr>
            </w:pPr>
            <w:r>
              <w:rPr>
                <w:rFonts w:ascii="Arial" w:cs="Arial" w:eastAsia="Arial" w:hAnsi="Arial"/>
                <w:sz w:val="14"/>
                <w:szCs w:val="14"/>
                <w:color w:val="auto"/>
              </w:rPr>
              <w:t>$</w:t>
            </w:r>
          </w:p>
        </w:tc>
        <w:tc>
          <w:tcPr>
            <w:tcW w:w="620" w:type="dxa"/>
            <w:vAlign w:val="bottom"/>
            <w:shd w:val="clear" w:color="auto" w:fill="E8EDF4"/>
          </w:tcPr>
          <w:p>
            <w:pPr>
              <w:ind w:left="320"/>
              <w:spacing w:after="0"/>
              <w:rPr>
                <w:sz w:val="20"/>
                <w:szCs w:val="20"/>
                <w:color w:val="auto"/>
              </w:rPr>
            </w:pPr>
            <w:r>
              <w:rPr>
                <w:rFonts w:ascii="Arial" w:cs="Arial" w:eastAsia="Arial" w:hAnsi="Arial"/>
                <w:sz w:val="14"/>
                <w:szCs w:val="14"/>
                <w:color w:val="auto"/>
              </w:rPr>
              <w:t>—</w:t>
            </w:r>
          </w:p>
        </w:tc>
        <w:tc>
          <w:tcPr>
            <w:tcW w:w="160" w:type="dxa"/>
            <w:vAlign w:val="bottom"/>
            <w:shd w:val="clear" w:color="auto" w:fill="E8EDF4"/>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E8EDF4"/>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shd w:val="clear" w:color="auto" w:fill="E8EDF4"/>
          </w:tcPr>
          <w:p>
            <w:pPr>
              <w:ind w:left="80"/>
              <w:spacing w:after="0"/>
              <w:rPr>
                <w:sz w:val="20"/>
                <w:szCs w:val="20"/>
                <w:color w:val="auto"/>
              </w:rPr>
            </w:pPr>
            <w:r>
              <w:rPr>
                <w:rFonts w:ascii="Arial" w:cs="Arial" w:eastAsia="Arial" w:hAnsi="Arial"/>
                <w:sz w:val="14"/>
                <w:szCs w:val="14"/>
                <w:color w:val="auto"/>
              </w:rPr>
              <w:t>$</w:t>
            </w:r>
          </w:p>
        </w:tc>
        <w:tc>
          <w:tcPr>
            <w:tcW w:w="480" w:type="dxa"/>
            <w:vAlign w:val="bottom"/>
            <w:shd w:val="clear" w:color="auto" w:fill="E8EDF4"/>
          </w:tcPr>
          <w:p>
            <w:pPr>
              <w:jc w:val="center"/>
              <w:spacing w:after="0"/>
              <w:rPr>
                <w:sz w:val="20"/>
                <w:szCs w:val="20"/>
                <w:color w:val="auto"/>
              </w:rPr>
            </w:pPr>
            <w:r>
              <w:rPr>
                <w:rFonts w:ascii="Arial" w:cs="Arial" w:eastAsia="Arial" w:hAnsi="Arial"/>
                <w:sz w:val="14"/>
                <w:szCs w:val="14"/>
                <w:color w:val="auto"/>
              </w:rPr>
              <w:t>5,037</w:t>
            </w:r>
          </w:p>
        </w:tc>
        <w:tc>
          <w:tcPr>
            <w:tcW w:w="200" w:type="dxa"/>
            <w:vAlign w:val="bottom"/>
            <w:shd w:val="clear" w:color="auto" w:fill="E8EDF4"/>
          </w:tcPr>
          <w:p>
            <w:pPr>
              <w:ind w:left="60"/>
              <w:spacing w:after="0"/>
              <w:rPr>
                <w:sz w:val="20"/>
                <w:szCs w:val="20"/>
                <w:color w:val="auto"/>
              </w:rPr>
            </w:pPr>
            <w:r>
              <w:rPr>
                <w:rFonts w:ascii="Arial" w:cs="Arial" w:eastAsia="Arial" w:hAnsi="Arial"/>
                <w:sz w:val="14"/>
                <w:szCs w:val="14"/>
                <w:color w:val="auto"/>
              </w:rPr>
              <w:t>$</w:t>
            </w:r>
          </w:p>
        </w:tc>
        <w:tc>
          <w:tcPr>
            <w:tcW w:w="560" w:type="dxa"/>
            <w:vAlign w:val="bottom"/>
            <w:shd w:val="clear" w:color="auto" w:fill="E8EDF4"/>
          </w:tcPr>
          <w:p>
            <w:pPr>
              <w:ind w:left="280"/>
              <w:spacing w:after="0"/>
              <w:rPr>
                <w:sz w:val="20"/>
                <w:szCs w:val="20"/>
                <w:color w:val="auto"/>
              </w:rPr>
            </w:pPr>
            <w:r>
              <w:rPr>
                <w:rFonts w:ascii="Arial" w:cs="Arial" w:eastAsia="Arial" w:hAnsi="Arial"/>
                <w:sz w:val="14"/>
                <w:szCs w:val="14"/>
                <w:color w:val="auto"/>
              </w:rPr>
              <w:t>—</w:t>
            </w:r>
          </w:p>
        </w:tc>
        <w:tc>
          <w:tcPr>
            <w:tcW w:w="200" w:type="dxa"/>
            <w:vAlign w:val="bottom"/>
            <w:shd w:val="clear" w:color="auto" w:fill="E8EDF4"/>
          </w:tcPr>
          <w:p>
            <w:pPr>
              <w:ind w:left="80"/>
              <w:spacing w:after="0"/>
              <w:rPr>
                <w:sz w:val="20"/>
                <w:szCs w:val="20"/>
                <w:color w:val="auto"/>
              </w:rPr>
            </w:pPr>
            <w:r>
              <w:rPr>
                <w:rFonts w:ascii="Arial" w:cs="Arial" w:eastAsia="Arial" w:hAnsi="Arial"/>
                <w:sz w:val="14"/>
                <w:szCs w:val="14"/>
                <w:color w:val="auto"/>
              </w:rPr>
              <w:t>$</w:t>
            </w:r>
          </w:p>
        </w:tc>
        <w:tc>
          <w:tcPr>
            <w:tcW w:w="540" w:type="dxa"/>
            <w:vAlign w:val="bottom"/>
            <w:shd w:val="clear" w:color="auto" w:fill="E8EDF4"/>
          </w:tcPr>
          <w:p>
            <w:pPr>
              <w:ind w:left="260"/>
              <w:spacing w:after="0"/>
              <w:rPr>
                <w:sz w:val="20"/>
                <w:szCs w:val="20"/>
                <w:color w:val="auto"/>
              </w:rPr>
            </w:pPr>
            <w:r>
              <w:rPr>
                <w:rFonts w:ascii="Arial" w:cs="Arial" w:eastAsia="Arial" w:hAnsi="Arial"/>
                <w:sz w:val="14"/>
                <w:szCs w:val="14"/>
                <w:color w:val="auto"/>
              </w:rPr>
              <w:t>—</w:t>
            </w:r>
          </w:p>
        </w:tc>
      </w:tr>
      <w:tr>
        <w:trPr>
          <w:trHeight w:val="162"/>
        </w:trPr>
        <w:tc>
          <w:tcPr>
            <w:tcW w:w="2940" w:type="dxa"/>
            <w:vAlign w:val="bottom"/>
            <w:shd w:val="clear" w:color="auto" w:fill="E8EDF4"/>
          </w:tcPr>
          <w:p>
            <w:pPr>
              <w:spacing w:after="0"/>
              <w:rPr>
                <w:sz w:val="14"/>
                <w:szCs w:val="14"/>
                <w:color w:val="auto"/>
              </w:rPr>
            </w:pPr>
          </w:p>
        </w:tc>
        <w:tc>
          <w:tcPr>
            <w:tcW w:w="520" w:type="dxa"/>
            <w:vAlign w:val="bottom"/>
            <w:shd w:val="clear" w:color="auto" w:fill="E8EDF4"/>
          </w:tcPr>
          <w:p>
            <w:pPr>
              <w:jc w:val="center"/>
              <w:spacing w:after="0"/>
              <w:rPr>
                <w:sz w:val="20"/>
                <w:szCs w:val="20"/>
                <w:color w:val="auto"/>
              </w:rPr>
            </w:pPr>
            <w:r>
              <w:rPr>
                <w:rFonts w:ascii="Arial" w:cs="Arial" w:eastAsia="Arial" w:hAnsi="Arial"/>
                <w:sz w:val="14"/>
                <w:szCs w:val="14"/>
                <w:color w:val="auto"/>
              </w:rPr>
              <w:t>2017</w:t>
            </w:r>
          </w:p>
        </w:tc>
        <w:tc>
          <w:tcPr>
            <w:tcW w:w="160" w:type="dxa"/>
            <w:vAlign w:val="bottom"/>
            <w:shd w:val="clear" w:color="auto" w:fill="E8EDF4"/>
          </w:tcPr>
          <w:p>
            <w:pPr>
              <w:ind w:left="60"/>
              <w:spacing w:after="0"/>
              <w:rPr>
                <w:sz w:val="20"/>
                <w:szCs w:val="20"/>
                <w:color w:val="auto"/>
              </w:rPr>
            </w:pPr>
            <w:r>
              <w:rPr>
                <w:rFonts w:ascii="Arial" w:cs="Arial" w:eastAsia="Arial" w:hAnsi="Arial"/>
                <w:sz w:val="14"/>
                <w:szCs w:val="14"/>
                <w:color w:val="auto"/>
              </w:rPr>
              <w:t>$</w:t>
            </w:r>
          </w:p>
        </w:tc>
        <w:tc>
          <w:tcPr>
            <w:tcW w:w="580" w:type="dxa"/>
            <w:vAlign w:val="bottom"/>
            <w:shd w:val="clear" w:color="auto" w:fill="E8EDF4"/>
          </w:tcPr>
          <w:p>
            <w:pPr>
              <w:jc w:val="right"/>
              <w:spacing w:after="0"/>
              <w:rPr>
                <w:sz w:val="20"/>
                <w:szCs w:val="20"/>
                <w:color w:val="auto"/>
              </w:rPr>
            </w:pPr>
            <w:r>
              <w:rPr>
                <w:rFonts w:ascii="Arial" w:cs="Arial" w:eastAsia="Arial" w:hAnsi="Arial"/>
                <w:sz w:val="14"/>
                <w:szCs w:val="14"/>
                <w:color w:val="auto"/>
              </w:rPr>
              <w:t>2,433</w:t>
            </w:r>
          </w:p>
        </w:tc>
        <w:tc>
          <w:tcPr>
            <w:tcW w:w="140" w:type="dxa"/>
            <w:vAlign w:val="bottom"/>
            <w:shd w:val="clear" w:color="auto" w:fill="E8EDF4"/>
          </w:tcPr>
          <w:p>
            <w:pPr>
              <w:ind w:left="60"/>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E8EDF4"/>
          </w:tcPr>
          <w:p>
            <w:pPr>
              <w:jc w:val="right"/>
              <w:ind w:right="70"/>
              <w:spacing w:after="0"/>
              <w:rPr>
                <w:sz w:val="20"/>
                <w:szCs w:val="20"/>
                <w:color w:val="auto"/>
              </w:rPr>
            </w:pPr>
            <w:r>
              <w:rPr>
                <w:rFonts w:ascii="Arial" w:cs="Arial" w:eastAsia="Arial" w:hAnsi="Arial"/>
                <w:sz w:val="14"/>
                <w:szCs w:val="14"/>
                <w:color w:val="auto"/>
              </w:rPr>
              <w:t>—</w:t>
            </w:r>
          </w:p>
        </w:tc>
        <w:tc>
          <w:tcPr>
            <w:tcW w:w="160" w:type="dxa"/>
            <w:vAlign w:val="bottom"/>
            <w:shd w:val="clear" w:color="auto" w:fill="E8EDF4"/>
          </w:tcPr>
          <w:p>
            <w:pPr>
              <w:ind w:left="60"/>
              <w:spacing w:after="0"/>
              <w:rPr>
                <w:sz w:val="20"/>
                <w:szCs w:val="20"/>
                <w:color w:val="auto"/>
              </w:rPr>
            </w:pPr>
            <w:r>
              <w:rPr>
                <w:rFonts w:ascii="Arial" w:cs="Arial" w:eastAsia="Arial" w:hAnsi="Arial"/>
                <w:sz w:val="14"/>
                <w:szCs w:val="14"/>
                <w:color w:val="auto"/>
              </w:rPr>
              <w:t>$</w:t>
            </w:r>
          </w:p>
        </w:tc>
        <w:tc>
          <w:tcPr>
            <w:tcW w:w="560" w:type="dxa"/>
            <w:vAlign w:val="bottom"/>
            <w:shd w:val="clear" w:color="auto" w:fill="E8EDF4"/>
          </w:tcPr>
          <w:p>
            <w:pPr>
              <w:jc w:val="center"/>
              <w:ind w:left="69"/>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E8EDF4"/>
          </w:tcPr>
          <w:p>
            <w:pPr>
              <w:ind w:left="80"/>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E8EDF4"/>
          </w:tcPr>
          <w:p>
            <w:pPr>
              <w:jc w:val="center"/>
              <w:ind w:left="109"/>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E8EDF4"/>
          </w:tcPr>
          <w:p>
            <w:pPr>
              <w:ind w:left="60"/>
              <w:spacing w:after="0"/>
              <w:rPr>
                <w:sz w:val="20"/>
                <w:szCs w:val="20"/>
                <w:color w:val="auto"/>
              </w:rPr>
            </w:pPr>
            <w:r>
              <w:rPr>
                <w:rFonts w:ascii="Arial" w:cs="Arial" w:eastAsia="Arial" w:hAnsi="Arial"/>
                <w:sz w:val="14"/>
                <w:szCs w:val="14"/>
                <w:color w:val="auto"/>
              </w:rPr>
              <w:t>$</w:t>
            </w:r>
          </w:p>
        </w:tc>
        <w:tc>
          <w:tcPr>
            <w:tcW w:w="620" w:type="dxa"/>
            <w:vAlign w:val="bottom"/>
            <w:shd w:val="clear" w:color="auto" w:fill="E8EDF4"/>
          </w:tcPr>
          <w:p>
            <w:pPr>
              <w:jc w:val="right"/>
              <w:ind w:right="9"/>
              <w:spacing w:after="0"/>
              <w:rPr>
                <w:sz w:val="20"/>
                <w:szCs w:val="20"/>
                <w:color w:val="auto"/>
              </w:rPr>
            </w:pPr>
            <w:r>
              <w:rPr>
                <w:rFonts w:ascii="Arial" w:cs="Arial" w:eastAsia="Arial" w:hAnsi="Arial"/>
                <w:sz w:val="14"/>
                <w:szCs w:val="14"/>
                <w:color w:val="auto"/>
              </w:rPr>
              <w:t>63,462</w:t>
            </w:r>
          </w:p>
        </w:tc>
        <w:tc>
          <w:tcPr>
            <w:tcW w:w="240" w:type="dxa"/>
            <w:vAlign w:val="bottom"/>
            <w:shd w:val="clear" w:color="auto" w:fill="E8EDF4"/>
          </w:tcPr>
          <w:p>
            <w:pPr>
              <w:ind w:left="60"/>
              <w:spacing w:after="0"/>
              <w:rPr>
                <w:sz w:val="20"/>
                <w:szCs w:val="20"/>
                <w:color w:val="auto"/>
              </w:rPr>
            </w:pPr>
            <w:r>
              <w:rPr>
                <w:rFonts w:ascii="Arial" w:cs="Arial" w:eastAsia="Arial" w:hAnsi="Arial"/>
                <w:sz w:val="14"/>
                <w:szCs w:val="14"/>
                <w:color w:val="auto"/>
              </w:rPr>
              <w:t>$</w:t>
            </w:r>
          </w:p>
        </w:tc>
        <w:tc>
          <w:tcPr>
            <w:tcW w:w="620" w:type="dxa"/>
            <w:vAlign w:val="bottom"/>
            <w:shd w:val="clear" w:color="auto" w:fill="E8EDF4"/>
          </w:tcPr>
          <w:p>
            <w:pPr>
              <w:ind w:left="320"/>
              <w:spacing w:after="0"/>
              <w:rPr>
                <w:sz w:val="20"/>
                <w:szCs w:val="20"/>
                <w:color w:val="auto"/>
              </w:rPr>
            </w:pPr>
            <w:r>
              <w:rPr>
                <w:rFonts w:ascii="Arial" w:cs="Arial" w:eastAsia="Arial" w:hAnsi="Arial"/>
                <w:sz w:val="14"/>
                <w:szCs w:val="14"/>
                <w:color w:val="auto"/>
              </w:rPr>
              <w:t>—</w:t>
            </w:r>
          </w:p>
        </w:tc>
        <w:tc>
          <w:tcPr>
            <w:tcW w:w="160" w:type="dxa"/>
            <w:vAlign w:val="bottom"/>
            <w:shd w:val="clear" w:color="auto" w:fill="E8EDF4"/>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E8EDF4"/>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shd w:val="clear" w:color="auto" w:fill="E8EDF4"/>
          </w:tcPr>
          <w:p>
            <w:pPr>
              <w:ind w:left="80"/>
              <w:spacing w:after="0"/>
              <w:rPr>
                <w:sz w:val="20"/>
                <w:szCs w:val="20"/>
                <w:color w:val="auto"/>
              </w:rPr>
            </w:pPr>
            <w:r>
              <w:rPr>
                <w:rFonts w:ascii="Arial" w:cs="Arial" w:eastAsia="Arial" w:hAnsi="Arial"/>
                <w:sz w:val="14"/>
                <w:szCs w:val="14"/>
                <w:color w:val="auto"/>
              </w:rPr>
              <w:t>$</w:t>
            </w:r>
          </w:p>
        </w:tc>
        <w:tc>
          <w:tcPr>
            <w:tcW w:w="480" w:type="dxa"/>
            <w:vAlign w:val="bottom"/>
            <w:shd w:val="clear" w:color="auto" w:fill="E8EDF4"/>
          </w:tcPr>
          <w:p>
            <w:pPr>
              <w:jc w:val="center"/>
              <w:spacing w:after="0"/>
              <w:rPr>
                <w:sz w:val="20"/>
                <w:szCs w:val="20"/>
                <w:color w:val="auto"/>
              </w:rPr>
            </w:pPr>
            <w:r>
              <w:rPr>
                <w:rFonts w:ascii="Arial" w:cs="Arial" w:eastAsia="Arial" w:hAnsi="Arial"/>
                <w:sz w:val="14"/>
                <w:szCs w:val="14"/>
                <w:color w:val="auto"/>
              </w:rPr>
              <w:t>—</w:t>
            </w:r>
          </w:p>
        </w:tc>
        <w:tc>
          <w:tcPr>
            <w:tcW w:w="200" w:type="dxa"/>
            <w:vAlign w:val="bottom"/>
            <w:shd w:val="clear" w:color="auto" w:fill="E8EDF4"/>
          </w:tcPr>
          <w:p>
            <w:pPr>
              <w:ind w:left="60"/>
              <w:spacing w:after="0"/>
              <w:rPr>
                <w:sz w:val="20"/>
                <w:szCs w:val="20"/>
                <w:color w:val="auto"/>
              </w:rPr>
            </w:pPr>
            <w:r>
              <w:rPr>
                <w:rFonts w:ascii="Arial" w:cs="Arial" w:eastAsia="Arial" w:hAnsi="Arial"/>
                <w:sz w:val="14"/>
                <w:szCs w:val="14"/>
                <w:color w:val="auto"/>
              </w:rPr>
              <w:t>$</w:t>
            </w:r>
          </w:p>
        </w:tc>
        <w:tc>
          <w:tcPr>
            <w:tcW w:w="560" w:type="dxa"/>
            <w:vAlign w:val="bottom"/>
            <w:shd w:val="clear" w:color="auto" w:fill="E8EDF4"/>
          </w:tcPr>
          <w:p>
            <w:pPr>
              <w:ind w:left="280"/>
              <w:spacing w:after="0"/>
              <w:rPr>
                <w:sz w:val="20"/>
                <w:szCs w:val="20"/>
                <w:color w:val="auto"/>
              </w:rPr>
            </w:pPr>
            <w:r>
              <w:rPr>
                <w:rFonts w:ascii="Arial" w:cs="Arial" w:eastAsia="Arial" w:hAnsi="Arial"/>
                <w:sz w:val="14"/>
                <w:szCs w:val="14"/>
                <w:color w:val="auto"/>
              </w:rPr>
              <w:t>—</w:t>
            </w:r>
          </w:p>
        </w:tc>
        <w:tc>
          <w:tcPr>
            <w:tcW w:w="200" w:type="dxa"/>
            <w:vAlign w:val="bottom"/>
            <w:shd w:val="clear" w:color="auto" w:fill="E8EDF4"/>
          </w:tcPr>
          <w:p>
            <w:pPr>
              <w:ind w:left="80"/>
              <w:spacing w:after="0"/>
              <w:rPr>
                <w:sz w:val="20"/>
                <w:szCs w:val="20"/>
                <w:color w:val="auto"/>
              </w:rPr>
            </w:pPr>
            <w:r>
              <w:rPr>
                <w:rFonts w:ascii="Arial" w:cs="Arial" w:eastAsia="Arial" w:hAnsi="Arial"/>
                <w:sz w:val="14"/>
                <w:szCs w:val="14"/>
                <w:color w:val="auto"/>
              </w:rPr>
              <w:t>$</w:t>
            </w:r>
          </w:p>
        </w:tc>
        <w:tc>
          <w:tcPr>
            <w:tcW w:w="540" w:type="dxa"/>
            <w:vAlign w:val="bottom"/>
            <w:shd w:val="clear" w:color="auto" w:fill="E8EDF4"/>
          </w:tcPr>
          <w:p>
            <w:pPr>
              <w:ind w:left="260"/>
              <w:spacing w:after="0"/>
              <w:rPr>
                <w:sz w:val="20"/>
                <w:szCs w:val="20"/>
                <w:color w:val="auto"/>
              </w:rPr>
            </w:pPr>
            <w:r>
              <w:rPr>
                <w:rFonts w:ascii="Arial" w:cs="Arial" w:eastAsia="Arial" w:hAnsi="Arial"/>
                <w:sz w:val="14"/>
                <w:szCs w:val="14"/>
                <w:color w:val="auto"/>
              </w:rPr>
              <w:t>—</w:t>
            </w:r>
          </w:p>
        </w:tc>
      </w:tr>
      <w:tr>
        <w:trPr>
          <w:trHeight w:val="275"/>
        </w:trPr>
        <w:tc>
          <w:tcPr>
            <w:tcW w:w="2940" w:type="dxa"/>
            <w:vAlign w:val="bottom"/>
          </w:tcPr>
          <w:p>
            <w:pPr>
              <w:ind w:left="20"/>
              <w:spacing w:after="0"/>
              <w:rPr>
                <w:sz w:val="20"/>
                <w:szCs w:val="20"/>
                <w:color w:val="auto"/>
              </w:rPr>
            </w:pPr>
            <w:r>
              <w:rPr>
                <w:rFonts w:ascii="Arial" w:cs="Arial" w:eastAsia="Arial" w:hAnsi="Arial"/>
                <w:sz w:val="14"/>
                <w:szCs w:val="14"/>
                <w:color w:val="auto"/>
              </w:rPr>
              <w:t>Martin Cotter</w:t>
            </w:r>
          </w:p>
        </w:tc>
        <w:tc>
          <w:tcPr>
            <w:tcW w:w="520" w:type="dxa"/>
            <w:vAlign w:val="bottom"/>
          </w:tcPr>
          <w:p>
            <w:pPr>
              <w:jc w:val="center"/>
              <w:spacing w:after="0"/>
              <w:rPr>
                <w:sz w:val="20"/>
                <w:szCs w:val="20"/>
                <w:color w:val="auto"/>
              </w:rPr>
            </w:pPr>
            <w:r>
              <w:rPr>
                <w:rFonts w:ascii="Arial" w:cs="Arial" w:eastAsia="Arial" w:hAnsi="Arial"/>
                <w:sz w:val="14"/>
                <w:szCs w:val="14"/>
                <w:color w:val="auto"/>
              </w:rPr>
              <w:t>2019</w:t>
            </w:r>
          </w:p>
        </w:tc>
        <w:tc>
          <w:tcPr>
            <w:tcW w:w="160" w:type="dxa"/>
            <w:vAlign w:val="bottom"/>
          </w:tcPr>
          <w:p>
            <w:pPr>
              <w:ind w:left="6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36,492</w:t>
            </w:r>
          </w:p>
        </w:tc>
        <w:tc>
          <w:tcPr>
            <w:tcW w:w="140" w:type="dxa"/>
            <w:vAlign w:val="bottom"/>
          </w:tcPr>
          <w:p>
            <w:pPr>
              <w:ind w:left="60"/>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160" w:type="dxa"/>
            <w:vAlign w:val="bottom"/>
          </w:tcPr>
          <w:p>
            <w:pPr>
              <w:ind w:left="60"/>
              <w:spacing w:after="0"/>
              <w:rPr>
                <w:sz w:val="20"/>
                <w:szCs w:val="20"/>
                <w:color w:val="auto"/>
              </w:rPr>
            </w:pPr>
            <w:r>
              <w:rPr>
                <w:rFonts w:ascii="Arial" w:cs="Arial" w:eastAsia="Arial" w:hAnsi="Arial"/>
                <w:sz w:val="14"/>
                <w:szCs w:val="14"/>
                <w:color w:val="auto"/>
              </w:rPr>
              <w:t>$</w:t>
            </w:r>
          </w:p>
        </w:tc>
        <w:tc>
          <w:tcPr>
            <w:tcW w:w="560" w:type="dxa"/>
            <w:vAlign w:val="bottom"/>
          </w:tcPr>
          <w:p>
            <w:pPr>
              <w:jc w:val="center"/>
              <w:ind w:left="69"/>
              <w:spacing w:after="0"/>
              <w:rPr>
                <w:sz w:val="20"/>
                <w:szCs w:val="20"/>
                <w:color w:val="auto"/>
              </w:rPr>
            </w:pPr>
            <w:r>
              <w:rPr>
                <w:rFonts w:ascii="Arial" w:cs="Arial" w:eastAsia="Arial" w:hAnsi="Arial"/>
                <w:sz w:val="14"/>
                <w:szCs w:val="14"/>
                <w:color w:val="auto"/>
                <w:w w:val="99"/>
              </w:rPr>
              <w:t>—</w:t>
            </w:r>
          </w:p>
        </w:tc>
        <w:tc>
          <w:tcPr>
            <w:tcW w:w="160" w:type="dxa"/>
            <w:vAlign w:val="bottom"/>
          </w:tcPr>
          <w:p>
            <w:pPr>
              <w:ind w:left="80"/>
              <w:spacing w:after="0"/>
              <w:rPr>
                <w:sz w:val="20"/>
                <w:szCs w:val="20"/>
                <w:color w:val="auto"/>
              </w:rPr>
            </w:pPr>
            <w:r>
              <w:rPr>
                <w:rFonts w:ascii="Arial" w:cs="Arial" w:eastAsia="Arial" w:hAnsi="Arial"/>
                <w:sz w:val="14"/>
                <w:szCs w:val="14"/>
                <w:color w:val="auto"/>
                <w:w w:val="76"/>
              </w:rPr>
              <w:t>$</w:t>
            </w:r>
          </w:p>
        </w:tc>
        <w:tc>
          <w:tcPr>
            <w:tcW w:w="640" w:type="dxa"/>
            <w:vAlign w:val="bottom"/>
          </w:tcPr>
          <w:p>
            <w:pPr>
              <w:jc w:val="center"/>
              <w:ind w:left="109"/>
              <w:spacing w:after="0"/>
              <w:rPr>
                <w:sz w:val="20"/>
                <w:szCs w:val="20"/>
                <w:color w:val="auto"/>
              </w:rPr>
            </w:pPr>
            <w:r>
              <w:rPr>
                <w:rFonts w:ascii="Arial" w:cs="Arial" w:eastAsia="Arial" w:hAnsi="Arial"/>
                <w:sz w:val="14"/>
                <w:szCs w:val="14"/>
                <w:color w:val="auto"/>
                <w:w w:val="99"/>
              </w:rPr>
              <w:t>—</w:t>
            </w:r>
          </w:p>
        </w:tc>
        <w:tc>
          <w:tcPr>
            <w:tcW w:w="160" w:type="dxa"/>
            <w:vAlign w:val="bottom"/>
          </w:tcPr>
          <w:p>
            <w:pPr>
              <w:ind w:left="6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240" w:type="dxa"/>
            <w:vAlign w:val="bottom"/>
          </w:tcPr>
          <w:p>
            <w:pPr>
              <w:ind w:left="60"/>
              <w:spacing w:after="0"/>
              <w:rPr>
                <w:sz w:val="20"/>
                <w:szCs w:val="20"/>
                <w:color w:val="auto"/>
              </w:rPr>
            </w:pPr>
            <w:r>
              <w:rPr>
                <w:rFonts w:ascii="Arial" w:cs="Arial" w:eastAsia="Arial" w:hAnsi="Arial"/>
                <w:sz w:val="14"/>
                <w:szCs w:val="14"/>
                <w:color w:val="auto"/>
              </w:rPr>
              <w:t>$</w:t>
            </w:r>
          </w:p>
        </w:tc>
        <w:tc>
          <w:tcPr>
            <w:tcW w:w="620" w:type="dxa"/>
            <w:vAlign w:val="bottom"/>
          </w:tcPr>
          <w:p>
            <w:pPr>
              <w:ind w:left="120"/>
              <w:spacing w:after="0"/>
              <w:rPr>
                <w:sz w:val="20"/>
                <w:szCs w:val="20"/>
                <w:color w:val="auto"/>
              </w:rPr>
            </w:pPr>
            <w:r>
              <w:rPr>
                <w:rFonts w:ascii="Arial" w:cs="Arial" w:eastAsia="Arial" w:hAnsi="Arial"/>
                <w:sz w:val="14"/>
                <w:szCs w:val="14"/>
                <w:color w:val="auto"/>
              </w:rPr>
              <w:t>66,606</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tcPr>
          <w:p>
            <w:pPr>
              <w:ind w:left="80"/>
              <w:spacing w:after="0"/>
              <w:rPr>
                <w:sz w:val="20"/>
                <w:szCs w:val="20"/>
                <w:color w:val="auto"/>
              </w:rPr>
            </w:pPr>
            <w:r>
              <w:rPr>
                <w:rFonts w:ascii="Arial" w:cs="Arial" w:eastAsia="Arial" w:hAnsi="Arial"/>
                <w:sz w:val="14"/>
                <w:szCs w:val="14"/>
                <w:color w:val="auto"/>
              </w:rPr>
              <w:t>$</w:t>
            </w:r>
          </w:p>
        </w:tc>
        <w:tc>
          <w:tcPr>
            <w:tcW w:w="480" w:type="dxa"/>
            <w:vAlign w:val="bottom"/>
          </w:tcPr>
          <w:p>
            <w:pPr>
              <w:jc w:val="center"/>
              <w:spacing w:after="0"/>
              <w:rPr>
                <w:sz w:val="20"/>
                <w:szCs w:val="20"/>
                <w:color w:val="auto"/>
              </w:rPr>
            </w:pPr>
            <w:r>
              <w:rPr>
                <w:rFonts w:ascii="Arial" w:cs="Arial" w:eastAsia="Arial" w:hAnsi="Arial"/>
                <w:sz w:val="14"/>
                <w:szCs w:val="14"/>
                <w:color w:val="auto"/>
              </w:rPr>
              <w:t>—</w:t>
            </w:r>
          </w:p>
        </w:tc>
        <w:tc>
          <w:tcPr>
            <w:tcW w:w="200" w:type="dxa"/>
            <w:vAlign w:val="bottom"/>
          </w:tcPr>
          <w:p>
            <w:pPr>
              <w:ind w:left="60"/>
              <w:spacing w:after="0"/>
              <w:rPr>
                <w:sz w:val="20"/>
                <w:szCs w:val="20"/>
                <w:color w:val="auto"/>
              </w:rPr>
            </w:pPr>
            <w:r>
              <w:rPr>
                <w:rFonts w:ascii="Arial" w:cs="Arial" w:eastAsia="Arial" w:hAnsi="Arial"/>
                <w:sz w:val="14"/>
                <w:szCs w:val="14"/>
                <w:color w:val="auto"/>
              </w:rPr>
              <w:t>$</w:t>
            </w:r>
          </w:p>
        </w:tc>
        <w:tc>
          <w:tcPr>
            <w:tcW w:w="560" w:type="dxa"/>
            <w:vAlign w:val="bottom"/>
          </w:tcPr>
          <w:p>
            <w:pPr>
              <w:ind w:left="280"/>
              <w:spacing w:after="0"/>
              <w:rPr>
                <w:sz w:val="20"/>
                <w:szCs w:val="20"/>
                <w:color w:val="auto"/>
              </w:rPr>
            </w:pPr>
            <w:r>
              <w:rPr>
                <w:rFonts w:ascii="Arial" w:cs="Arial" w:eastAsia="Arial" w:hAnsi="Arial"/>
                <w:sz w:val="14"/>
                <w:szCs w:val="14"/>
                <w:color w:val="auto"/>
              </w:rPr>
              <w:t>—</w:t>
            </w:r>
          </w:p>
        </w:tc>
        <w:tc>
          <w:tcPr>
            <w:tcW w:w="200" w:type="dxa"/>
            <w:vAlign w:val="bottom"/>
          </w:tcPr>
          <w:p>
            <w:pPr>
              <w:ind w:left="80"/>
              <w:spacing w:after="0"/>
              <w:rPr>
                <w:sz w:val="20"/>
                <w:szCs w:val="20"/>
                <w:color w:val="auto"/>
              </w:rPr>
            </w:pPr>
            <w:r>
              <w:rPr>
                <w:rFonts w:ascii="Arial" w:cs="Arial" w:eastAsia="Arial" w:hAnsi="Arial"/>
                <w:sz w:val="14"/>
                <w:szCs w:val="14"/>
                <w:color w:val="auto"/>
              </w:rPr>
              <w:t>$</w:t>
            </w:r>
          </w:p>
        </w:tc>
        <w:tc>
          <w:tcPr>
            <w:tcW w:w="540" w:type="dxa"/>
            <w:vAlign w:val="bottom"/>
          </w:tcPr>
          <w:p>
            <w:pPr>
              <w:ind w:left="260"/>
              <w:spacing w:after="0"/>
              <w:rPr>
                <w:sz w:val="20"/>
                <w:szCs w:val="20"/>
                <w:color w:val="auto"/>
              </w:rPr>
            </w:pPr>
            <w:r>
              <w:rPr>
                <w:rFonts w:ascii="Arial" w:cs="Arial" w:eastAsia="Arial" w:hAnsi="Arial"/>
                <w:sz w:val="14"/>
                <w:szCs w:val="14"/>
                <w:color w:val="auto"/>
              </w:rPr>
              <w:t>—</w:t>
            </w:r>
          </w:p>
        </w:tc>
      </w:tr>
      <w:tr>
        <w:trPr>
          <w:trHeight w:val="157"/>
        </w:trPr>
        <w:tc>
          <w:tcPr>
            <w:tcW w:w="2940" w:type="dxa"/>
            <w:vAlign w:val="bottom"/>
          </w:tcPr>
          <w:p>
            <w:pPr>
              <w:spacing w:after="0"/>
              <w:rPr>
                <w:sz w:val="13"/>
                <w:szCs w:val="13"/>
                <w:color w:val="auto"/>
              </w:rPr>
            </w:pPr>
          </w:p>
        </w:tc>
        <w:tc>
          <w:tcPr>
            <w:tcW w:w="520" w:type="dxa"/>
            <w:vAlign w:val="bottom"/>
          </w:tcPr>
          <w:p>
            <w:pPr>
              <w:jc w:val="center"/>
              <w:spacing w:after="0" w:line="157" w:lineRule="exact"/>
              <w:rPr>
                <w:sz w:val="20"/>
                <w:szCs w:val="20"/>
                <w:color w:val="auto"/>
              </w:rPr>
            </w:pPr>
            <w:r>
              <w:rPr>
                <w:rFonts w:ascii="Arial" w:cs="Arial" w:eastAsia="Arial" w:hAnsi="Arial"/>
                <w:sz w:val="14"/>
                <w:szCs w:val="14"/>
                <w:color w:val="auto"/>
              </w:rPr>
              <w:t>2018</w:t>
            </w:r>
          </w:p>
        </w:tc>
        <w:tc>
          <w:tcPr>
            <w:tcW w:w="160" w:type="dxa"/>
            <w:vAlign w:val="bottom"/>
          </w:tcPr>
          <w:p>
            <w:pPr>
              <w:ind w:left="60"/>
              <w:spacing w:after="0" w:line="157"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7" w:lineRule="exact"/>
              <w:rPr>
                <w:sz w:val="20"/>
                <w:szCs w:val="20"/>
                <w:color w:val="auto"/>
              </w:rPr>
            </w:pPr>
            <w:r>
              <w:rPr>
                <w:rFonts w:ascii="Arial" w:cs="Arial" w:eastAsia="Arial" w:hAnsi="Arial"/>
                <w:sz w:val="14"/>
                <w:szCs w:val="14"/>
                <w:color w:val="auto"/>
              </w:rPr>
              <w:t>35,654</w:t>
            </w:r>
          </w:p>
        </w:tc>
        <w:tc>
          <w:tcPr>
            <w:tcW w:w="140" w:type="dxa"/>
            <w:vAlign w:val="bottom"/>
          </w:tcPr>
          <w:p>
            <w:pPr>
              <w:ind w:left="60"/>
              <w:spacing w:after="0" w:line="157"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ind w:right="70"/>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ind w:left="60"/>
              <w:spacing w:after="0" w:line="157" w:lineRule="exact"/>
              <w:rPr>
                <w:sz w:val="20"/>
                <w:szCs w:val="20"/>
                <w:color w:val="auto"/>
              </w:rPr>
            </w:pPr>
            <w:r>
              <w:rPr>
                <w:rFonts w:ascii="Arial" w:cs="Arial" w:eastAsia="Arial" w:hAnsi="Arial"/>
                <w:sz w:val="14"/>
                <w:szCs w:val="14"/>
                <w:color w:val="auto"/>
              </w:rPr>
              <w:t>$</w:t>
            </w:r>
          </w:p>
        </w:tc>
        <w:tc>
          <w:tcPr>
            <w:tcW w:w="560" w:type="dxa"/>
            <w:vAlign w:val="bottom"/>
          </w:tcPr>
          <w:p>
            <w:pPr>
              <w:jc w:val="center"/>
              <w:ind w:left="9"/>
              <w:spacing w:after="0" w:line="157" w:lineRule="exact"/>
              <w:rPr>
                <w:sz w:val="20"/>
                <w:szCs w:val="20"/>
                <w:color w:val="auto"/>
              </w:rPr>
            </w:pPr>
            <w:r>
              <w:rPr>
                <w:rFonts w:ascii="Arial" w:cs="Arial" w:eastAsia="Arial" w:hAnsi="Arial"/>
                <w:sz w:val="14"/>
                <w:szCs w:val="14"/>
                <w:color w:val="auto"/>
              </w:rPr>
              <w:t>2,950</w:t>
            </w:r>
          </w:p>
        </w:tc>
        <w:tc>
          <w:tcPr>
            <w:tcW w:w="160" w:type="dxa"/>
            <w:vAlign w:val="bottom"/>
          </w:tcPr>
          <w:p>
            <w:pPr>
              <w:ind w:left="80"/>
              <w:spacing w:after="0" w:line="157" w:lineRule="exact"/>
              <w:rPr>
                <w:sz w:val="20"/>
                <w:szCs w:val="20"/>
                <w:color w:val="auto"/>
              </w:rPr>
            </w:pPr>
            <w:r>
              <w:rPr>
                <w:rFonts w:ascii="Arial" w:cs="Arial" w:eastAsia="Arial" w:hAnsi="Arial"/>
                <w:sz w:val="14"/>
                <w:szCs w:val="14"/>
                <w:color w:val="auto"/>
                <w:w w:val="76"/>
              </w:rPr>
              <w:t>$</w:t>
            </w:r>
          </w:p>
        </w:tc>
        <w:tc>
          <w:tcPr>
            <w:tcW w:w="640" w:type="dxa"/>
            <w:vAlign w:val="bottom"/>
          </w:tcPr>
          <w:p>
            <w:pPr>
              <w:jc w:val="center"/>
              <w:ind w:left="109"/>
              <w:spacing w:after="0" w:line="157" w:lineRule="exact"/>
              <w:rPr>
                <w:sz w:val="20"/>
                <w:szCs w:val="20"/>
                <w:color w:val="auto"/>
              </w:rPr>
            </w:pPr>
            <w:r>
              <w:rPr>
                <w:rFonts w:ascii="Arial" w:cs="Arial" w:eastAsia="Arial" w:hAnsi="Arial"/>
                <w:sz w:val="14"/>
                <w:szCs w:val="14"/>
                <w:color w:val="auto"/>
                <w:w w:val="99"/>
              </w:rPr>
              <w:t>—</w:t>
            </w:r>
          </w:p>
        </w:tc>
        <w:tc>
          <w:tcPr>
            <w:tcW w:w="160" w:type="dxa"/>
            <w:vAlign w:val="bottom"/>
          </w:tcPr>
          <w:p>
            <w:pPr>
              <w:ind w:left="60"/>
              <w:spacing w:after="0" w:line="157"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89"/>
              <w:spacing w:after="0" w:line="157" w:lineRule="exact"/>
              <w:rPr>
                <w:sz w:val="20"/>
                <w:szCs w:val="20"/>
                <w:color w:val="auto"/>
              </w:rPr>
            </w:pPr>
            <w:r>
              <w:rPr>
                <w:rFonts w:ascii="Arial" w:cs="Arial" w:eastAsia="Arial" w:hAnsi="Arial"/>
                <w:sz w:val="14"/>
                <w:szCs w:val="14"/>
                <w:color w:val="auto"/>
              </w:rPr>
              <w:t>—</w:t>
            </w:r>
          </w:p>
        </w:tc>
        <w:tc>
          <w:tcPr>
            <w:tcW w:w="240" w:type="dxa"/>
            <w:vAlign w:val="bottom"/>
          </w:tcPr>
          <w:p>
            <w:pPr>
              <w:ind w:left="60"/>
              <w:spacing w:after="0" w:line="157" w:lineRule="exact"/>
              <w:rPr>
                <w:sz w:val="20"/>
                <w:szCs w:val="20"/>
                <w:color w:val="auto"/>
              </w:rPr>
            </w:pPr>
            <w:r>
              <w:rPr>
                <w:rFonts w:ascii="Arial" w:cs="Arial" w:eastAsia="Arial" w:hAnsi="Arial"/>
                <w:sz w:val="14"/>
                <w:szCs w:val="14"/>
                <w:color w:val="auto"/>
              </w:rPr>
              <w:t>$</w:t>
            </w:r>
          </w:p>
        </w:tc>
        <w:tc>
          <w:tcPr>
            <w:tcW w:w="620" w:type="dxa"/>
            <w:vAlign w:val="bottom"/>
          </w:tcPr>
          <w:p>
            <w:pPr>
              <w:ind w:left="120"/>
              <w:spacing w:after="0" w:line="157" w:lineRule="exact"/>
              <w:rPr>
                <w:sz w:val="20"/>
                <w:szCs w:val="20"/>
                <w:color w:val="auto"/>
              </w:rPr>
            </w:pPr>
            <w:r>
              <w:rPr>
                <w:rFonts w:ascii="Arial" w:cs="Arial" w:eastAsia="Arial" w:hAnsi="Arial"/>
                <w:sz w:val="14"/>
                <w:szCs w:val="14"/>
                <w:color w:val="auto"/>
              </w:rPr>
              <w:t>70,023</w:t>
            </w:r>
          </w:p>
        </w:tc>
        <w:tc>
          <w:tcPr>
            <w:tcW w:w="1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69"/>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ind w:left="80"/>
              <w:spacing w:after="0" w:line="157" w:lineRule="exact"/>
              <w:rPr>
                <w:sz w:val="20"/>
                <w:szCs w:val="20"/>
                <w:color w:val="auto"/>
              </w:rPr>
            </w:pPr>
            <w:r>
              <w:rPr>
                <w:rFonts w:ascii="Arial" w:cs="Arial" w:eastAsia="Arial" w:hAnsi="Arial"/>
                <w:sz w:val="14"/>
                <w:szCs w:val="14"/>
                <w:color w:val="auto"/>
              </w:rPr>
              <w:t>$</w:t>
            </w:r>
          </w:p>
        </w:tc>
        <w:tc>
          <w:tcPr>
            <w:tcW w:w="480" w:type="dxa"/>
            <w:vAlign w:val="bottom"/>
          </w:tcPr>
          <w:p>
            <w:pPr>
              <w:jc w:val="center"/>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ind w:left="60"/>
              <w:spacing w:after="0" w:line="157" w:lineRule="exact"/>
              <w:rPr>
                <w:sz w:val="20"/>
                <w:szCs w:val="20"/>
                <w:color w:val="auto"/>
              </w:rPr>
            </w:pPr>
            <w:r>
              <w:rPr>
                <w:rFonts w:ascii="Arial" w:cs="Arial" w:eastAsia="Arial" w:hAnsi="Arial"/>
                <w:sz w:val="14"/>
                <w:szCs w:val="14"/>
                <w:color w:val="auto"/>
              </w:rPr>
              <w:t>$</w:t>
            </w:r>
          </w:p>
        </w:tc>
        <w:tc>
          <w:tcPr>
            <w:tcW w:w="560" w:type="dxa"/>
            <w:vAlign w:val="bottom"/>
          </w:tcPr>
          <w:p>
            <w:pPr>
              <w:ind w:left="280"/>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ind w:left="80"/>
              <w:spacing w:after="0" w:line="157" w:lineRule="exact"/>
              <w:rPr>
                <w:sz w:val="20"/>
                <w:szCs w:val="20"/>
                <w:color w:val="auto"/>
              </w:rPr>
            </w:pPr>
            <w:r>
              <w:rPr>
                <w:rFonts w:ascii="Arial" w:cs="Arial" w:eastAsia="Arial" w:hAnsi="Arial"/>
                <w:sz w:val="14"/>
                <w:szCs w:val="14"/>
                <w:color w:val="auto"/>
              </w:rPr>
              <w:t>$</w:t>
            </w:r>
          </w:p>
        </w:tc>
        <w:tc>
          <w:tcPr>
            <w:tcW w:w="540" w:type="dxa"/>
            <w:vAlign w:val="bottom"/>
          </w:tcPr>
          <w:p>
            <w:pPr>
              <w:ind w:left="260"/>
              <w:spacing w:after="0" w:line="157" w:lineRule="exact"/>
              <w:rPr>
                <w:sz w:val="20"/>
                <w:szCs w:val="20"/>
                <w:color w:val="auto"/>
              </w:rPr>
            </w:pPr>
            <w:r>
              <w:rPr>
                <w:rFonts w:ascii="Arial" w:cs="Arial" w:eastAsia="Arial" w:hAnsi="Arial"/>
                <w:sz w:val="14"/>
                <w:szCs w:val="14"/>
                <w:color w:val="auto"/>
              </w:rPr>
              <w:t>—</w:t>
            </w:r>
          </w:p>
        </w:tc>
      </w:tr>
      <w:tr>
        <w:trPr>
          <w:trHeight w:val="270"/>
        </w:trPr>
        <w:tc>
          <w:tcPr>
            <w:tcW w:w="2940" w:type="dxa"/>
            <w:vAlign w:val="bottom"/>
            <w:shd w:val="clear" w:color="auto" w:fill="E8EDF4"/>
          </w:tcPr>
          <w:p>
            <w:pPr>
              <w:ind w:left="20"/>
              <w:spacing w:after="0"/>
              <w:rPr>
                <w:sz w:val="20"/>
                <w:szCs w:val="20"/>
                <w:color w:val="auto"/>
              </w:rPr>
            </w:pPr>
            <w:r>
              <w:rPr>
                <w:rFonts w:ascii="Arial" w:cs="Arial" w:eastAsia="Arial" w:hAnsi="Arial"/>
                <w:sz w:val="14"/>
                <w:szCs w:val="14"/>
                <w:color w:val="auto"/>
              </w:rPr>
              <w:t>John Hassett</w:t>
            </w:r>
          </w:p>
        </w:tc>
        <w:tc>
          <w:tcPr>
            <w:tcW w:w="520" w:type="dxa"/>
            <w:vAlign w:val="bottom"/>
            <w:shd w:val="clear" w:color="auto" w:fill="E8EDF4"/>
          </w:tcPr>
          <w:p>
            <w:pPr>
              <w:jc w:val="center"/>
              <w:spacing w:after="0"/>
              <w:rPr>
                <w:sz w:val="20"/>
                <w:szCs w:val="20"/>
                <w:color w:val="auto"/>
              </w:rPr>
            </w:pPr>
            <w:r>
              <w:rPr>
                <w:rFonts w:ascii="Arial" w:cs="Arial" w:eastAsia="Arial" w:hAnsi="Arial"/>
                <w:sz w:val="14"/>
                <w:szCs w:val="14"/>
                <w:color w:val="auto"/>
              </w:rPr>
              <w:t>2019</w:t>
            </w:r>
          </w:p>
        </w:tc>
        <w:tc>
          <w:tcPr>
            <w:tcW w:w="160" w:type="dxa"/>
            <w:vAlign w:val="bottom"/>
            <w:shd w:val="clear" w:color="auto" w:fill="E8EDF4"/>
          </w:tcPr>
          <w:p>
            <w:pPr>
              <w:ind w:left="60"/>
              <w:spacing w:after="0"/>
              <w:rPr>
                <w:sz w:val="20"/>
                <w:szCs w:val="20"/>
                <w:color w:val="auto"/>
              </w:rPr>
            </w:pPr>
            <w:r>
              <w:rPr>
                <w:rFonts w:ascii="Arial" w:cs="Arial" w:eastAsia="Arial" w:hAnsi="Arial"/>
                <w:sz w:val="14"/>
                <w:szCs w:val="14"/>
                <w:color w:val="auto"/>
              </w:rPr>
              <w:t>$</w:t>
            </w:r>
          </w:p>
        </w:tc>
        <w:tc>
          <w:tcPr>
            <w:tcW w:w="580" w:type="dxa"/>
            <w:vAlign w:val="bottom"/>
            <w:shd w:val="clear" w:color="auto" w:fill="E8EDF4"/>
          </w:tcPr>
          <w:p>
            <w:pPr>
              <w:jc w:val="right"/>
              <w:spacing w:after="0"/>
              <w:rPr>
                <w:sz w:val="20"/>
                <w:szCs w:val="20"/>
                <w:color w:val="auto"/>
              </w:rPr>
            </w:pPr>
            <w:r>
              <w:rPr>
                <w:rFonts w:ascii="Arial" w:cs="Arial" w:eastAsia="Arial" w:hAnsi="Arial"/>
                <w:sz w:val="14"/>
                <w:szCs w:val="14"/>
                <w:color w:val="auto"/>
              </w:rPr>
              <w:t>37,692</w:t>
            </w:r>
          </w:p>
        </w:tc>
        <w:tc>
          <w:tcPr>
            <w:tcW w:w="140" w:type="dxa"/>
            <w:vAlign w:val="bottom"/>
            <w:shd w:val="clear" w:color="auto" w:fill="E8EDF4"/>
          </w:tcPr>
          <w:p>
            <w:pPr>
              <w:ind w:left="60"/>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E8EDF4"/>
          </w:tcPr>
          <w:p>
            <w:pPr>
              <w:jc w:val="right"/>
              <w:ind w:right="70"/>
              <w:spacing w:after="0"/>
              <w:rPr>
                <w:sz w:val="20"/>
                <w:szCs w:val="20"/>
                <w:color w:val="auto"/>
              </w:rPr>
            </w:pPr>
            <w:r>
              <w:rPr>
                <w:rFonts w:ascii="Arial" w:cs="Arial" w:eastAsia="Arial" w:hAnsi="Arial"/>
                <w:sz w:val="14"/>
                <w:szCs w:val="14"/>
                <w:color w:val="auto"/>
              </w:rPr>
              <w:t>—</w:t>
            </w:r>
          </w:p>
        </w:tc>
        <w:tc>
          <w:tcPr>
            <w:tcW w:w="160" w:type="dxa"/>
            <w:vAlign w:val="bottom"/>
            <w:shd w:val="clear" w:color="auto" w:fill="E8EDF4"/>
          </w:tcPr>
          <w:p>
            <w:pPr>
              <w:ind w:left="60"/>
              <w:spacing w:after="0"/>
              <w:rPr>
                <w:sz w:val="20"/>
                <w:szCs w:val="20"/>
                <w:color w:val="auto"/>
              </w:rPr>
            </w:pPr>
            <w:r>
              <w:rPr>
                <w:rFonts w:ascii="Arial" w:cs="Arial" w:eastAsia="Arial" w:hAnsi="Arial"/>
                <w:sz w:val="14"/>
                <w:szCs w:val="14"/>
                <w:color w:val="auto"/>
              </w:rPr>
              <w:t>$</w:t>
            </w:r>
          </w:p>
        </w:tc>
        <w:tc>
          <w:tcPr>
            <w:tcW w:w="560" w:type="dxa"/>
            <w:vAlign w:val="bottom"/>
            <w:shd w:val="clear" w:color="auto" w:fill="E8EDF4"/>
          </w:tcPr>
          <w:p>
            <w:pPr>
              <w:jc w:val="center"/>
              <w:ind w:left="9"/>
              <w:spacing w:after="0"/>
              <w:rPr>
                <w:sz w:val="20"/>
                <w:szCs w:val="20"/>
                <w:color w:val="auto"/>
              </w:rPr>
            </w:pPr>
            <w:r>
              <w:rPr>
                <w:rFonts w:ascii="Arial" w:cs="Arial" w:eastAsia="Arial" w:hAnsi="Arial"/>
                <w:sz w:val="14"/>
                <w:szCs w:val="14"/>
                <w:color w:val="auto"/>
              </w:rPr>
              <w:t>4,507</w:t>
            </w:r>
          </w:p>
        </w:tc>
        <w:tc>
          <w:tcPr>
            <w:tcW w:w="160" w:type="dxa"/>
            <w:vAlign w:val="bottom"/>
            <w:shd w:val="clear" w:color="auto" w:fill="E8EDF4"/>
          </w:tcPr>
          <w:p>
            <w:pPr>
              <w:ind w:left="80"/>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E8EDF4"/>
          </w:tcPr>
          <w:p>
            <w:pPr>
              <w:jc w:val="center"/>
              <w:ind w:left="49"/>
              <w:spacing w:after="0"/>
              <w:rPr>
                <w:sz w:val="20"/>
                <w:szCs w:val="20"/>
                <w:color w:val="auto"/>
              </w:rPr>
            </w:pPr>
            <w:r>
              <w:rPr>
                <w:rFonts w:ascii="Arial" w:cs="Arial" w:eastAsia="Arial" w:hAnsi="Arial"/>
                <w:sz w:val="14"/>
                <w:szCs w:val="14"/>
                <w:color w:val="auto"/>
              </w:rPr>
              <w:t>1,200</w:t>
            </w:r>
          </w:p>
        </w:tc>
        <w:tc>
          <w:tcPr>
            <w:tcW w:w="160" w:type="dxa"/>
            <w:vAlign w:val="bottom"/>
            <w:shd w:val="clear" w:color="auto" w:fill="E8EDF4"/>
          </w:tcPr>
          <w:p>
            <w:pPr>
              <w:ind w:left="60"/>
              <w:spacing w:after="0"/>
              <w:rPr>
                <w:sz w:val="20"/>
                <w:szCs w:val="20"/>
                <w:color w:val="auto"/>
              </w:rPr>
            </w:pPr>
            <w:r>
              <w:rPr>
                <w:rFonts w:ascii="Arial" w:cs="Arial" w:eastAsia="Arial" w:hAnsi="Arial"/>
                <w:sz w:val="14"/>
                <w:szCs w:val="14"/>
                <w:color w:val="auto"/>
              </w:rPr>
              <w:t>$</w:t>
            </w:r>
          </w:p>
        </w:tc>
        <w:tc>
          <w:tcPr>
            <w:tcW w:w="620" w:type="dxa"/>
            <w:vAlign w:val="bottom"/>
            <w:shd w:val="clear" w:color="auto" w:fill="E8EDF4"/>
          </w:tcPr>
          <w:p>
            <w:pPr>
              <w:jc w:val="right"/>
              <w:ind w:right="89"/>
              <w:spacing w:after="0"/>
              <w:rPr>
                <w:sz w:val="20"/>
                <w:szCs w:val="20"/>
                <w:color w:val="auto"/>
              </w:rPr>
            </w:pPr>
            <w:r>
              <w:rPr>
                <w:rFonts w:ascii="Arial" w:cs="Arial" w:eastAsia="Arial" w:hAnsi="Arial"/>
                <w:sz w:val="14"/>
                <w:szCs w:val="14"/>
                <w:color w:val="auto"/>
              </w:rPr>
              <w:t>—</w:t>
            </w:r>
          </w:p>
        </w:tc>
        <w:tc>
          <w:tcPr>
            <w:tcW w:w="240" w:type="dxa"/>
            <w:vAlign w:val="bottom"/>
            <w:shd w:val="clear" w:color="auto" w:fill="E8EDF4"/>
          </w:tcPr>
          <w:p>
            <w:pPr>
              <w:ind w:left="60"/>
              <w:spacing w:after="0"/>
              <w:rPr>
                <w:sz w:val="20"/>
                <w:szCs w:val="20"/>
                <w:color w:val="auto"/>
              </w:rPr>
            </w:pPr>
            <w:r>
              <w:rPr>
                <w:rFonts w:ascii="Arial" w:cs="Arial" w:eastAsia="Arial" w:hAnsi="Arial"/>
                <w:sz w:val="14"/>
                <w:szCs w:val="14"/>
                <w:color w:val="auto"/>
              </w:rPr>
              <w:t>$</w:t>
            </w:r>
          </w:p>
        </w:tc>
        <w:tc>
          <w:tcPr>
            <w:tcW w:w="620" w:type="dxa"/>
            <w:vAlign w:val="bottom"/>
            <w:shd w:val="clear" w:color="auto" w:fill="E8EDF4"/>
          </w:tcPr>
          <w:p>
            <w:pPr>
              <w:ind w:left="320"/>
              <w:spacing w:after="0"/>
              <w:rPr>
                <w:sz w:val="20"/>
                <w:szCs w:val="20"/>
                <w:color w:val="auto"/>
              </w:rPr>
            </w:pPr>
            <w:r>
              <w:rPr>
                <w:rFonts w:ascii="Arial" w:cs="Arial" w:eastAsia="Arial" w:hAnsi="Arial"/>
                <w:sz w:val="14"/>
                <w:szCs w:val="14"/>
                <w:color w:val="auto"/>
              </w:rPr>
              <w:t>—</w:t>
            </w:r>
          </w:p>
        </w:tc>
        <w:tc>
          <w:tcPr>
            <w:tcW w:w="160" w:type="dxa"/>
            <w:vAlign w:val="bottom"/>
            <w:shd w:val="clear" w:color="auto" w:fill="E8EDF4"/>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E8EDF4"/>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shd w:val="clear" w:color="auto" w:fill="E8EDF4"/>
          </w:tcPr>
          <w:p>
            <w:pPr>
              <w:ind w:left="80"/>
              <w:spacing w:after="0"/>
              <w:rPr>
                <w:sz w:val="20"/>
                <w:szCs w:val="20"/>
                <w:color w:val="auto"/>
              </w:rPr>
            </w:pPr>
            <w:r>
              <w:rPr>
                <w:rFonts w:ascii="Arial" w:cs="Arial" w:eastAsia="Arial" w:hAnsi="Arial"/>
                <w:sz w:val="14"/>
                <w:szCs w:val="14"/>
                <w:color w:val="auto"/>
              </w:rPr>
              <w:t>$</w:t>
            </w:r>
          </w:p>
        </w:tc>
        <w:tc>
          <w:tcPr>
            <w:tcW w:w="480" w:type="dxa"/>
            <w:vAlign w:val="bottom"/>
            <w:shd w:val="clear" w:color="auto" w:fill="E8EDF4"/>
          </w:tcPr>
          <w:p>
            <w:pPr>
              <w:jc w:val="center"/>
              <w:spacing w:after="0"/>
              <w:rPr>
                <w:sz w:val="20"/>
                <w:szCs w:val="20"/>
                <w:color w:val="auto"/>
              </w:rPr>
            </w:pPr>
            <w:r>
              <w:rPr>
                <w:rFonts w:ascii="Arial" w:cs="Arial" w:eastAsia="Arial" w:hAnsi="Arial"/>
                <w:sz w:val="14"/>
                <w:szCs w:val="14"/>
                <w:color w:val="auto"/>
              </w:rPr>
              <w:t>2,500</w:t>
            </w:r>
          </w:p>
        </w:tc>
        <w:tc>
          <w:tcPr>
            <w:tcW w:w="200" w:type="dxa"/>
            <w:vAlign w:val="bottom"/>
            <w:shd w:val="clear" w:color="auto" w:fill="E8EDF4"/>
          </w:tcPr>
          <w:p>
            <w:pPr>
              <w:ind w:left="60"/>
              <w:spacing w:after="0"/>
              <w:rPr>
                <w:sz w:val="20"/>
                <w:szCs w:val="20"/>
                <w:color w:val="auto"/>
              </w:rPr>
            </w:pPr>
            <w:r>
              <w:rPr>
                <w:rFonts w:ascii="Arial" w:cs="Arial" w:eastAsia="Arial" w:hAnsi="Arial"/>
                <w:sz w:val="14"/>
                <w:szCs w:val="14"/>
                <w:color w:val="auto"/>
              </w:rPr>
              <w:t>$</w:t>
            </w:r>
          </w:p>
        </w:tc>
        <w:tc>
          <w:tcPr>
            <w:tcW w:w="560" w:type="dxa"/>
            <w:vAlign w:val="bottom"/>
            <w:shd w:val="clear" w:color="auto" w:fill="E8EDF4"/>
          </w:tcPr>
          <w:p>
            <w:pPr>
              <w:ind w:left="280"/>
              <w:spacing w:after="0"/>
              <w:rPr>
                <w:sz w:val="20"/>
                <w:szCs w:val="20"/>
                <w:color w:val="auto"/>
              </w:rPr>
            </w:pPr>
            <w:r>
              <w:rPr>
                <w:rFonts w:ascii="Arial" w:cs="Arial" w:eastAsia="Arial" w:hAnsi="Arial"/>
                <w:sz w:val="14"/>
                <w:szCs w:val="14"/>
                <w:color w:val="auto"/>
              </w:rPr>
              <w:t>—</w:t>
            </w:r>
          </w:p>
        </w:tc>
        <w:tc>
          <w:tcPr>
            <w:tcW w:w="200" w:type="dxa"/>
            <w:vAlign w:val="bottom"/>
            <w:shd w:val="clear" w:color="auto" w:fill="E8EDF4"/>
          </w:tcPr>
          <w:p>
            <w:pPr>
              <w:ind w:left="80"/>
              <w:spacing w:after="0"/>
              <w:rPr>
                <w:sz w:val="20"/>
                <w:szCs w:val="20"/>
                <w:color w:val="auto"/>
              </w:rPr>
            </w:pPr>
            <w:r>
              <w:rPr>
                <w:rFonts w:ascii="Arial" w:cs="Arial" w:eastAsia="Arial" w:hAnsi="Arial"/>
                <w:sz w:val="14"/>
                <w:szCs w:val="14"/>
                <w:color w:val="auto"/>
              </w:rPr>
              <w:t>$</w:t>
            </w:r>
          </w:p>
        </w:tc>
        <w:tc>
          <w:tcPr>
            <w:tcW w:w="540" w:type="dxa"/>
            <w:vAlign w:val="bottom"/>
            <w:shd w:val="clear" w:color="auto" w:fill="E8EDF4"/>
          </w:tcPr>
          <w:p>
            <w:pPr>
              <w:ind w:left="260"/>
              <w:spacing w:after="0"/>
              <w:rPr>
                <w:sz w:val="20"/>
                <w:szCs w:val="20"/>
                <w:color w:val="auto"/>
              </w:rPr>
            </w:pPr>
            <w:r>
              <w:rPr>
                <w:rFonts w:ascii="Arial" w:cs="Arial" w:eastAsia="Arial" w:hAnsi="Arial"/>
                <w:sz w:val="14"/>
                <w:szCs w:val="14"/>
                <w:color w:val="auto"/>
              </w:rPr>
              <w:t>—</w:t>
            </w:r>
          </w:p>
        </w:tc>
      </w:tr>
      <w:tr>
        <w:trPr>
          <w:trHeight w:val="162"/>
        </w:trPr>
        <w:tc>
          <w:tcPr>
            <w:tcW w:w="2940" w:type="dxa"/>
            <w:vAlign w:val="bottom"/>
            <w:shd w:val="clear" w:color="auto" w:fill="E8EDF4"/>
          </w:tcPr>
          <w:p>
            <w:pPr>
              <w:spacing w:after="0"/>
              <w:rPr>
                <w:sz w:val="14"/>
                <w:szCs w:val="14"/>
                <w:color w:val="auto"/>
              </w:rPr>
            </w:pPr>
          </w:p>
        </w:tc>
        <w:tc>
          <w:tcPr>
            <w:tcW w:w="520" w:type="dxa"/>
            <w:vAlign w:val="bottom"/>
            <w:shd w:val="clear" w:color="auto" w:fill="E8EDF4"/>
          </w:tcPr>
          <w:p>
            <w:pPr>
              <w:jc w:val="center"/>
              <w:spacing w:after="0"/>
              <w:rPr>
                <w:sz w:val="20"/>
                <w:szCs w:val="20"/>
                <w:color w:val="auto"/>
              </w:rPr>
            </w:pPr>
            <w:r>
              <w:rPr>
                <w:rFonts w:ascii="Arial" w:cs="Arial" w:eastAsia="Arial" w:hAnsi="Arial"/>
                <w:sz w:val="14"/>
                <w:szCs w:val="14"/>
                <w:color w:val="auto"/>
              </w:rPr>
              <w:t>2018</w:t>
            </w:r>
          </w:p>
        </w:tc>
        <w:tc>
          <w:tcPr>
            <w:tcW w:w="160" w:type="dxa"/>
            <w:vAlign w:val="bottom"/>
            <w:shd w:val="clear" w:color="auto" w:fill="E8EDF4"/>
          </w:tcPr>
          <w:p>
            <w:pPr>
              <w:ind w:left="60"/>
              <w:spacing w:after="0"/>
              <w:rPr>
                <w:sz w:val="20"/>
                <w:szCs w:val="20"/>
                <w:color w:val="auto"/>
              </w:rPr>
            </w:pPr>
            <w:r>
              <w:rPr>
                <w:rFonts w:ascii="Arial" w:cs="Arial" w:eastAsia="Arial" w:hAnsi="Arial"/>
                <w:sz w:val="14"/>
                <w:szCs w:val="14"/>
                <w:color w:val="auto"/>
              </w:rPr>
              <w:t>$</w:t>
            </w:r>
          </w:p>
        </w:tc>
        <w:tc>
          <w:tcPr>
            <w:tcW w:w="580" w:type="dxa"/>
            <w:vAlign w:val="bottom"/>
            <w:shd w:val="clear" w:color="auto" w:fill="E8EDF4"/>
          </w:tcPr>
          <w:p>
            <w:pPr>
              <w:jc w:val="right"/>
              <w:spacing w:after="0"/>
              <w:rPr>
                <w:sz w:val="20"/>
                <w:szCs w:val="20"/>
                <w:color w:val="auto"/>
              </w:rPr>
            </w:pPr>
            <w:r>
              <w:rPr>
                <w:rFonts w:ascii="Arial" w:cs="Arial" w:eastAsia="Arial" w:hAnsi="Arial"/>
                <w:sz w:val="14"/>
                <w:szCs w:val="14"/>
                <w:color w:val="auto"/>
              </w:rPr>
              <w:t>37,554</w:t>
            </w:r>
          </w:p>
        </w:tc>
        <w:tc>
          <w:tcPr>
            <w:tcW w:w="140" w:type="dxa"/>
            <w:vAlign w:val="bottom"/>
            <w:shd w:val="clear" w:color="auto" w:fill="E8EDF4"/>
          </w:tcPr>
          <w:p>
            <w:pPr>
              <w:ind w:left="60"/>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E8EDF4"/>
          </w:tcPr>
          <w:p>
            <w:pPr>
              <w:jc w:val="right"/>
              <w:spacing w:after="0"/>
              <w:rPr>
                <w:sz w:val="20"/>
                <w:szCs w:val="20"/>
                <w:color w:val="auto"/>
              </w:rPr>
            </w:pPr>
            <w:r>
              <w:rPr>
                <w:rFonts w:ascii="Arial" w:cs="Arial" w:eastAsia="Arial" w:hAnsi="Arial"/>
                <w:sz w:val="14"/>
                <w:szCs w:val="14"/>
                <w:color w:val="auto"/>
              </w:rPr>
              <w:t>6,610</w:t>
            </w:r>
          </w:p>
        </w:tc>
        <w:tc>
          <w:tcPr>
            <w:tcW w:w="160" w:type="dxa"/>
            <w:vAlign w:val="bottom"/>
            <w:shd w:val="clear" w:color="auto" w:fill="E8EDF4"/>
          </w:tcPr>
          <w:p>
            <w:pPr>
              <w:ind w:left="60"/>
              <w:spacing w:after="0"/>
              <w:rPr>
                <w:sz w:val="20"/>
                <w:szCs w:val="20"/>
                <w:color w:val="auto"/>
              </w:rPr>
            </w:pPr>
            <w:r>
              <w:rPr>
                <w:rFonts w:ascii="Arial" w:cs="Arial" w:eastAsia="Arial" w:hAnsi="Arial"/>
                <w:sz w:val="14"/>
                <w:szCs w:val="14"/>
                <w:color w:val="auto"/>
              </w:rPr>
              <w:t>$</w:t>
            </w:r>
          </w:p>
        </w:tc>
        <w:tc>
          <w:tcPr>
            <w:tcW w:w="560" w:type="dxa"/>
            <w:vAlign w:val="bottom"/>
            <w:shd w:val="clear" w:color="auto" w:fill="E8EDF4"/>
          </w:tcPr>
          <w:p>
            <w:pPr>
              <w:jc w:val="center"/>
              <w:ind w:left="9"/>
              <w:spacing w:after="0"/>
              <w:rPr>
                <w:sz w:val="20"/>
                <w:szCs w:val="20"/>
                <w:color w:val="auto"/>
              </w:rPr>
            </w:pPr>
            <w:r>
              <w:rPr>
                <w:rFonts w:ascii="Arial" w:cs="Arial" w:eastAsia="Arial" w:hAnsi="Arial"/>
                <w:sz w:val="14"/>
                <w:szCs w:val="14"/>
                <w:color w:val="auto"/>
              </w:rPr>
              <w:t>4,304</w:t>
            </w:r>
          </w:p>
        </w:tc>
        <w:tc>
          <w:tcPr>
            <w:tcW w:w="160" w:type="dxa"/>
            <w:vAlign w:val="bottom"/>
            <w:shd w:val="clear" w:color="auto" w:fill="E8EDF4"/>
          </w:tcPr>
          <w:p>
            <w:pPr>
              <w:ind w:left="80"/>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E8EDF4"/>
          </w:tcPr>
          <w:p>
            <w:pPr>
              <w:jc w:val="center"/>
              <w:ind w:left="49"/>
              <w:spacing w:after="0"/>
              <w:rPr>
                <w:sz w:val="20"/>
                <w:szCs w:val="20"/>
                <w:color w:val="auto"/>
              </w:rPr>
            </w:pPr>
            <w:r>
              <w:rPr>
                <w:rFonts w:ascii="Arial" w:cs="Arial" w:eastAsia="Arial" w:hAnsi="Arial"/>
                <w:sz w:val="14"/>
                <w:szCs w:val="14"/>
                <w:color w:val="auto"/>
              </w:rPr>
              <w:t>1,200</w:t>
            </w:r>
          </w:p>
        </w:tc>
        <w:tc>
          <w:tcPr>
            <w:tcW w:w="160" w:type="dxa"/>
            <w:vAlign w:val="bottom"/>
            <w:shd w:val="clear" w:color="auto" w:fill="E8EDF4"/>
          </w:tcPr>
          <w:p>
            <w:pPr>
              <w:ind w:left="60"/>
              <w:spacing w:after="0"/>
              <w:rPr>
                <w:sz w:val="20"/>
                <w:szCs w:val="20"/>
                <w:color w:val="auto"/>
              </w:rPr>
            </w:pPr>
            <w:r>
              <w:rPr>
                <w:rFonts w:ascii="Arial" w:cs="Arial" w:eastAsia="Arial" w:hAnsi="Arial"/>
                <w:sz w:val="14"/>
                <w:szCs w:val="14"/>
                <w:color w:val="auto"/>
              </w:rPr>
              <w:t>$</w:t>
            </w:r>
          </w:p>
        </w:tc>
        <w:tc>
          <w:tcPr>
            <w:tcW w:w="620" w:type="dxa"/>
            <w:vAlign w:val="bottom"/>
            <w:shd w:val="clear" w:color="auto" w:fill="E8EDF4"/>
          </w:tcPr>
          <w:p>
            <w:pPr>
              <w:jc w:val="right"/>
              <w:ind w:right="89"/>
              <w:spacing w:after="0"/>
              <w:rPr>
                <w:sz w:val="20"/>
                <w:szCs w:val="20"/>
                <w:color w:val="auto"/>
              </w:rPr>
            </w:pPr>
            <w:r>
              <w:rPr>
                <w:rFonts w:ascii="Arial" w:cs="Arial" w:eastAsia="Arial" w:hAnsi="Arial"/>
                <w:sz w:val="14"/>
                <w:szCs w:val="14"/>
                <w:color w:val="auto"/>
              </w:rPr>
              <w:t>—</w:t>
            </w:r>
          </w:p>
        </w:tc>
        <w:tc>
          <w:tcPr>
            <w:tcW w:w="240" w:type="dxa"/>
            <w:vAlign w:val="bottom"/>
            <w:shd w:val="clear" w:color="auto" w:fill="E8EDF4"/>
          </w:tcPr>
          <w:p>
            <w:pPr>
              <w:ind w:left="60"/>
              <w:spacing w:after="0"/>
              <w:rPr>
                <w:sz w:val="20"/>
                <w:szCs w:val="20"/>
                <w:color w:val="auto"/>
              </w:rPr>
            </w:pPr>
            <w:r>
              <w:rPr>
                <w:rFonts w:ascii="Arial" w:cs="Arial" w:eastAsia="Arial" w:hAnsi="Arial"/>
                <w:sz w:val="14"/>
                <w:szCs w:val="14"/>
                <w:color w:val="auto"/>
              </w:rPr>
              <w:t>$</w:t>
            </w:r>
          </w:p>
        </w:tc>
        <w:tc>
          <w:tcPr>
            <w:tcW w:w="620" w:type="dxa"/>
            <w:vAlign w:val="bottom"/>
            <w:shd w:val="clear" w:color="auto" w:fill="E8EDF4"/>
          </w:tcPr>
          <w:p>
            <w:pPr>
              <w:ind w:left="320"/>
              <w:spacing w:after="0"/>
              <w:rPr>
                <w:sz w:val="20"/>
                <w:szCs w:val="20"/>
                <w:color w:val="auto"/>
              </w:rPr>
            </w:pPr>
            <w:r>
              <w:rPr>
                <w:rFonts w:ascii="Arial" w:cs="Arial" w:eastAsia="Arial" w:hAnsi="Arial"/>
                <w:sz w:val="14"/>
                <w:szCs w:val="14"/>
                <w:color w:val="auto"/>
              </w:rPr>
              <w:t>—</w:t>
            </w:r>
          </w:p>
        </w:tc>
        <w:tc>
          <w:tcPr>
            <w:tcW w:w="160" w:type="dxa"/>
            <w:vAlign w:val="bottom"/>
            <w:shd w:val="clear" w:color="auto" w:fill="E8EDF4"/>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E8EDF4"/>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shd w:val="clear" w:color="auto" w:fill="E8EDF4"/>
          </w:tcPr>
          <w:p>
            <w:pPr>
              <w:ind w:left="80"/>
              <w:spacing w:after="0"/>
              <w:rPr>
                <w:sz w:val="20"/>
                <w:szCs w:val="20"/>
                <w:color w:val="auto"/>
              </w:rPr>
            </w:pPr>
            <w:r>
              <w:rPr>
                <w:rFonts w:ascii="Arial" w:cs="Arial" w:eastAsia="Arial" w:hAnsi="Arial"/>
                <w:sz w:val="14"/>
                <w:szCs w:val="14"/>
                <w:color w:val="auto"/>
              </w:rPr>
              <w:t>$</w:t>
            </w:r>
          </w:p>
        </w:tc>
        <w:tc>
          <w:tcPr>
            <w:tcW w:w="480" w:type="dxa"/>
            <w:vAlign w:val="bottom"/>
            <w:shd w:val="clear" w:color="auto" w:fill="E8EDF4"/>
          </w:tcPr>
          <w:p>
            <w:pPr>
              <w:jc w:val="center"/>
              <w:spacing w:after="0"/>
              <w:rPr>
                <w:sz w:val="20"/>
                <w:szCs w:val="20"/>
                <w:color w:val="auto"/>
              </w:rPr>
            </w:pPr>
            <w:r>
              <w:rPr>
                <w:rFonts w:ascii="Arial" w:cs="Arial" w:eastAsia="Arial" w:hAnsi="Arial"/>
                <w:sz w:val="14"/>
                <w:szCs w:val="14"/>
                <w:color w:val="auto"/>
              </w:rPr>
              <w:t>—</w:t>
            </w:r>
          </w:p>
        </w:tc>
        <w:tc>
          <w:tcPr>
            <w:tcW w:w="200" w:type="dxa"/>
            <w:vAlign w:val="bottom"/>
            <w:shd w:val="clear" w:color="auto" w:fill="E8EDF4"/>
          </w:tcPr>
          <w:p>
            <w:pPr>
              <w:ind w:left="60"/>
              <w:spacing w:after="0"/>
              <w:rPr>
                <w:sz w:val="20"/>
                <w:szCs w:val="20"/>
                <w:color w:val="auto"/>
              </w:rPr>
            </w:pPr>
            <w:r>
              <w:rPr>
                <w:rFonts w:ascii="Arial" w:cs="Arial" w:eastAsia="Arial" w:hAnsi="Arial"/>
                <w:sz w:val="14"/>
                <w:szCs w:val="14"/>
                <w:color w:val="auto"/>
              </w:rPr>
              <w:t>$</w:t>
            </w:r>
          </w:p>
        </w:tc>
        <w:tc>
          <w:tcPr>
            <w:tcW w:w="560" w:type="dxa"/>
            <w:vAlign w:val="bottom"/>
            <w:shd w:val="clear" w:color="auto" w:fill="E8EDF4"/>
          </w:tcPr>
          <w:p>
            <w:pPr>
              <w:ind w:left="280"/>
              <w:spacing w:after="0"/>
              <w:rPr>
                <w:sz w:val="20"/>
                <w:szCs w:val="20"/>
                <w:color w:val="auto"/>
              </w:rPr>
            </w:pPr>
            <w:r>
              <w:rPr>
                <w:rFonts w:ascii="Arial" w:cs="Arial" w:eastAsia="Arial" w:hAnsi="Arial"/>
                <w:sz w:val="14"/>
                <w:szCs w:val="14"/>
                <w:color w:val="auto"/>
              </w:rPr>
              <w:t>—</w:t>
            </w:r>
          </w:p>
        </w:tc>
        <w:tc>
          <w:tcPr>
            <w:tcW w:w="200" w:type="dxa"/>
            <w:vAlign w:val="bottom"/>
            <w:shd w:val="clear" w:color="auto" w:fill="E8EDF4"/>
          </w:tcPr>
          <w:p>
            <w:pPr>
              <w:ind w:left="80"/>
              <w:spacing w:after="0"/>
              <w:rPr>
                <w:sz w:val="20"/>
                <w:szCs w:val="20"/>
                <w:color w:val="auto"/>
              </w:rPr>
            </w:pPr>
            <w:r>
              <w:rPr>
                <w:rFonts w:ascii="Arial" w:cs="Arial" w:eastAsia="Arial" w:hAnsi="Arial"/>
                <w:sz w:val="14"/>
                <w:szCs w:val="14"/>
                <w:color w:val="auto"/>
              </w:rPr>
              <w:t>$</w:t>
            </w:r>
          </w:p>
        </w:tc>
        <w:tc>
          <w:tcPr>
            <w:tcW w:w="540" w:type="dxa"/>
            <w:vAlign w:val="bottom"/>
            <w:shd w:val="clear" w:color="auto" w:fill="E8EDF4"/>
          </w:tcPr>
          <w:p>
            <w:pPr>
              <w:ind w:left="260"/>
              <w:spacing w:after="0"/>
              <w:rPr>
                <w:sz w:val="20"/>
                <w:szCs w:val="20"/>
                <w:color w:val="auto"/>
              </w:rPr>
            </w:pPr>
            <w:r>
              <w:rPr>
                <w:rFonts w:ascii="Arial" w:cs="Arial" w:eastAsia="Arial" w:hAnsi="Arial"/>
                <w:sz w:val="14"/>
                <w:szCs w:val="14"/>
                <w:color w:val="auto"/>
              </w:rPr>
              <w:t>—</w:t>
            </w:r>
          </w:p>
        </w:tc>
      </w:tr>
      <w:tr>
        <w:trPr>
          <w:trHeight w:val="162"/>
        </w:trPr>
        <w:tc>
          <w:tcPr>
            <w:tcW w:w="2940" w:type="dxa"/>
            <w:vAlign w:val="bottom"/>
            <w:shd w:val="clear" w:color="auto" w:fill="E8EDF4"/>
          </w:tcPr>
          <w:p>
            <w:pPr>
              <w:spacing w:after="0"/>
              <w:rPr>
                <w:sz w:val="14"/>
                <w:szCs w:val="14"/>
                <w:color w:val="auto"/>
              </w:rPr>
            </w:pPr>
          </w:p>
        </w:tc>
        <w:tc>
          <w:tcPr>
            <w:tcW w:w="520" w:type="dxa"/>
            <w:vAlign w:val="bottom"/>
            <w:shd w:val="clear" w:color="auto" w:fill="E8EDF4"/>
          </w:tcPr>
          <w:p>
            <w:pPr>
              <w:jc w:val="center"/>
              <w:spacing w:after="0"/>
              <w:rPr>
                <w:sz w:val="20"/>
                <w:szCs w:val="20"/>
                <w:color w:val="auto"/>
              </w:rPr>
            </w:pPr>
            <w:r>
              <w:rPr>
                <w:rFonts w:ascii="Arial" w:cs="Arial" w:eastAsia="Arial" w:hAnsi="Arial"/>
                <w:sz w:val="14"/>
                <w:szCs w:val="14"/>
                <w:color w:val="auto"/>
              </w:rPr>
              <w:t>2017</w:t>
            </w:r>
          </w:p>
        </w:tc>
        <w:tc>
          <w:tcPr>
            <w:tcW w:w="160" w:type="dxa"/>
            <w:vAlign w:val="bottom"/>
            <w:shd w:val="clear" w:color="auto" w:fill="E8EDF4"/>
          </w:tcPr>
          <w:p>
            <w:pPr>
              <w:ind w:left="60"/>
              <w:spacing w:after="0"/>
              <w:rPr>
                <w:sz w:val="20"/>
                <w:szCs w:val="20"/>
                <w:color w:val="auto"/>
              </w:rPr>
            </w:pPr>
            <w:r>
              <w:rPr>
                <w:rFonts w:ascii="Arial" w:cs="Arial" w:eastAsia="Arial" w:hAnsi="Arial"/>
                <w:sz w:val="14"/>
                <w:szCs w:val="14"/>
                <w:color w:val="auto"/>
              </w:rPr>
              <w:t>$</w:t>
            </w:r>
          </w:p>
        </w:tc>
        <w:tc>
          <w:tcPr>
            <w:tcW w:w="580" w:type="dxa"/>
            <w:vAlign w:val="bottom"/>
            <w:shd w:val="clear" w:color="auto" w:fill="E8EDF4"/>
          </w:tcPr>
          <w:p>
            <w:pPr>
              <w:jc w:val="right"/>
              <w:spacing w:after="0"/>
              <w:rPr>
                <w:sz w:val="20"/>
                <w:szCs w:val="20"/>
                <w:color w:val="auto"/>
              </w:rPr>
            </w:pPr>
            <w:r>
              <w:rPr>
                <w:rFonts w:ascii="Arial" w:cs="Arial" w:eastAsia="Arial" w:hAnsi="Arial"/>
                <w:sz w:val="14"/>
                <w:szCs w:val="14"/>
                <w:color w:val="auto"/>
              </w:rPr>
              <w:t>33,846</w:t>
            </w:r>
          </w:p>
        </w:tc>
        <w:tc>
          <w:tcPr>
            <w:tcW w:w="140" w:type="dxa"/>
            <w:vAlign w:val="bottom"/>
            <w:shd w:val="clear" w:color="auto" w:fill="E8EDF4"/>
          </w:tcPr>
          <w:p>
            <w:pPr>
              <w:ind w:left="60"/>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E8EDF4"/>
          </w:tcPr>
          <w:p>
            <w:pPr>
              <w:jc w:val="right"/>
              <w:spacing w:after="0"/>
              <w:rPr>
                <w:sz w:val="20"/>
                <w:szCs w:val="20"/>
                <w:color w:val="auto"/>
              </w:rPr>
            </w:pPr>
            <w:r>
              <w:rPr>
                <w:rFonts w:ascii="Arial" w:cs="Arial" w:eastAsia="Arial" w:hAnsi="Arial"/>
                <w:sz w:val="14"/>
                <w:szCs w:val="14"/>
                <w:color w:val="auto"/>
              </w:rPr>
              <w:t>740</w:t>
            </w:r>
          </w:p>
        </w:tc>
        <w:tc>
          <w:tcPr>
            <w:tcW w:w="160" w:type="dxa"/>
            <w:vAlign w:val="bottom"/>
            <w:shd w:val="clear" w:color="auto" w:fill="E8EDF4"/>
          </w:tcPr>
          <w:p>
            <w:pPr>
              <w:ind w:left="60"/>
              <w:spacing w:after="0"/>
              <w:rPr>
                <w:sz w:val="20"/>
                <w:szCs w:val="20"/>
                <w:color w:val="auto"/>
              </w:rPr>
            </w:pPr>
            <w:r>
              <w:rPr>
                <w:rFonts w:ascii="Arial" w:cs="Arial" w:eastAsia="Arial" w:hAnsi="Arial"/>
                <w:sz w:val="14"/>
                <w:szCs w:val="14"/>
                <w:color w:val="auto"/>
              </w:rPr>
              <w:t>$</w:t>
            </w:r>
          </w:p>
        </w:tc>
        <w:tc>
          <w:tcPr>
            <w:tcW w:w="560" w:type="dxa"/>
            <w:vAlign w:val="bottom"/>
            <w:shd w:val="clear" w:color="auto" w:fill="E8EDF4"/>
          </w:tcPr>
          <w:p>
            <w:pPr>
              <w:jc w:val="center"/>
              <w:ind w:left="9"/>
              <w:spacing w:after="0"/>
              <w:rPr>
                <w:sz w:val="20"/>
                <w:szCs w:val="20"/>
                <w:color w:val="auto"/>
              </w:rPr>
            </w:pPr>
            <w:r>
              <w:rPr>
                <w:rFonts w:ascii="Arial" w:cs="Arial" w:eastAsia="Arial" w:hAnsi="Arial"/>
                <w:sz w:val="14"/>
                <w:szCs w:val="14"/>
                <w:color w:val="auto"/>
              </w:rPr>
              <w:t>4,162</w:t>
            </w:r>
          </w:p>
        </w:tc>
        <w:tc>
          <w:tcPr>
            <w:tcW w:w="160" w:type="dxa"/>
            <w:vAlign w:val="bottom"/>
            <w:shd w:val="clear" w:color="auto" w:fill="E8EDF4"/>
          </w:tcPr>
          <w:p>
            <w:pPr>
              <w:ind w:left="80"/>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E8EDF4"/>
          </w:tcPr>
          <w:p>
            <w:pPr>
              <w:jc w:val="center"/>
              <w:ind w:left="49"/>
              <w:spacing w:after="0"/>
              <w:rPr>
                <w:sz w:val="20"/>
                <w:szCs w:val="20"/>
                <w:color w:val="auto"/>
              </w:rPr>
            </w:pPr>
            <w:r>
              <w:rPr>
                <w:rFonts w:ascii="Arial" w:cs="Arial" w:eastAsia="Arial" w:hAnsi="Arial"/>
                <w:sz w:val="14"/>
                <w:szCs w:val="14"/>
                <w:color w:val="auto"/>
              </w:rPr>
              <w:t>1,200</w:t>
            </w:r>
          </w:p>
        </w:tc>
        <w:tc>
          <w:tcPr>
            <w:tcW w:w="160" w:type="dxa"/>
            <w:vAlign w:val="bottom"/>
            <w:shd w:val="clear" w:color="auto" w:fill="E8EDF4"/>
          </w:tcPr>
          <w:p>
            <w:pPr>
              <w:ind w:left="60"/>
              <w:spacing w:after="0"/>
              <w:rPr>
                <w:sz w:val="20"/>
                <w:szCs w:val="20"/>
                <w:color w:val="auto"/>
              </w:rPr>
            </w:pPr>
            <w:r>
              <w:rPr>
                <w:rFonts w:ascii="Arial" w:cs="Arial" w:eastAsia="Arial" w:hAnsi="Arial"/>
                <w:sz w:val="14"/>
                <w:szCs w:val="14"/>
                <w:color w:val="auto"/>
              </w:rPr>
              <w:t>$</w:t>
            </w:r>
          </w:p>
        </w:tc>
        <w:tc>
          <w:tcPr>
            <w:tcW w:w="620" w:type="dxa"/>
            <w:vAlign w:val="bottom"/>
            <w:shd w:val="clear" w:color="auto" w:fill="E8EDF4"/>
          </w:tcPr>
          <w:p>
            <w:pPr>
              <w:jc w:val="right"/>
              <w:ind w:right="89"/>
              <w:spacing w:after="0"/>
              <w:rPr>
                <w:sz w:val="20"/>
                <w:szCs w:val="20"/>
                <w:color w:val="auto"/>
              </w:rPr>
            </w:pPr>
            <w:r>
              <w:rPr>
                <w:rFonts w:ascii="Arial" w:cs="Arial" w:eastAsia="Arial" w:hAnsi="Arial"/>
                <w:sz w:val="14"/>
                <w:szCs w:val="14"/>
                <w:color w:val="auto"/>
              </w:rPr>
              <w:t>—</w:t>
            </w:r>
          </w:p>
        </w:tc>
        <w:tc>
          <w:tcPr>
            <w:tcW w:w="240" w:type="dxa"/>
            <w:vAlign w:val="bottom"/>
            <w:shd w:val="clear" w:color="auto" w:fill="E8EDF4"/>
          </w:tcPr>
          <w:p>
            <w:pPr>
              <w:ind w:left="60"/>
              <w:spacing w:after="0"/>
              <w:rPr>
                <w:sz w:val="20"/>
                <w:szCs w:val="20"/>
                <w:color w:val="auto"/>
              </w:rPr>
            </w:pPr>
            <w:r>
              <w:rPr>
                <w:rFonts w:ascii="Arial" w:cs="Arial" w:eastAsia="Arial" w:hAnsi="Arial"/>
                <w:sz w:val="14"/>
                <w:szCs w:val="14"/>
                <w:color w:val="auto"/>
              </w:rPr>
              <w:t>$</w:t>
            </w:r>
          </w:p>
        </w:tc>
        <w:tc>
          <w:tcPr>
            <w:tcW w:w="620" w:type="dxa"/>
            <w:vAlign w:val="bottom"/>
            <w:shd w:val="clear" w:color="auto" w:fill="E8EDF4"/>
          </w:tcPr>
          <w:p>
            <w:pPr>
              <w:ind w:left="320"/>
              <w:spacing w:after="0"/>
              <w:rPr>
                <w:sz w:val="20"/>
                <w:szCs w:val="20"/>
                <w:color w:val="auto"/>
              </w:rPr>
            </w:pPr>
            <w:r>
              <w:rPr>
                <w:rFonts w:ascii="Arial" w:cs="Arial" w:eastAsia="Arial" w:hAnsi="Arial"/>
                <w:sz w:val="14"/>
                <w:szCs w:val="14"/>
                <w:color w:val="auto"/>
              </w:rPr>
              <w:t>—</w:t>
            </w:r>
          </w:p>
        </w:tc>
        <w:tc>
          <w:tcPr>
            <w:tcW w:w="160" w:type="dxa"/>
            <w:vAlign w:val="bottom"/>
            <w:shd w:val="clear" w:color="auto" w:fill="E8EDF4"/>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E8EDF4"/>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shd w:val="clear" w:color="auto" w:fill="E8EDF4"/>
          </w:tcPr>
          <w:p>
            <w:pPr>
              <w:ind w:left="80"/>
              <w:spacing w:after="0"/>
              <w:rPr>
                <w:sz w:val="20"/>
                <w:szCs w:val="20"/>
                <w:color w:val="auto"/>
              </w:rPr>
            </w:pPr>
            <w:r>
              <w:rPr>
                <w:rFonts w:ascii="Arial" w:cs="Arial" w:eastAsia="Arial" w:hAnsi="Arial"/>
                <w:sz w:val="14"/>
                <w:szCs w:val="14"/>
                <w:color w:val="auto"/>
              </w:rPr>
              <w:t>$</w:t>
            </w:r>
          </w:p>
        </w:tc>
        <w:tc>
          <w:tcPr>
            <w:tcW w:w="480" w:type="dxa"/>
            <w:vAlign w:val="bottom"/>
            <w:shd w:val="clear" w:color="auto" w:fill="E8EDF4"/>
          </w:tcPr>
          <w:p>
            <w:pPr>
              <w:jc w:val="center"/>
              <w:spacing w:after="0"/>
              <w:rPr>
                <w:sz w:val="20"/>
                <w:szCs w:val="20"/>
                <w:color w:val="auto"/>
              </w:rPr>
            </w:pPr>
            <w:r>
              <w:rPr>
                <w:rFonts w:ascii="Arial" w:cs="Arial" w:eastAsia="Arial" w:hAnsi="Arial"/>
                <w:sz w:val="14"/>
                <w:szCs w:val="14"/>
                <w:color w:val="auto"/>
              </w:rPr>
              <w:t>—</w:t>
            </w:r>
          </w:p>
        </w:tc>
        <w:tc>
          <w:tcPr>
            <w:tcW w:w="200" w:type="dxa"/>
            <w:vAlign w:val="bottom"/>
            <w:shd w:val="clear" w:color="auto" w:fill="E8EDF4"/>
          </w:tcPr>
          <w:p>
            <w:pPr>
              <w:ind w:left="60"/>
              <w:spacing w:after="0"/>
              <w:rPr>
                <w:sz w:val="20"/>
                <w:szCs w:val="20"/>
                <w:color w:val="auto"/>
              </w:rPr>
            </w:pPr>
            <w:r>
              <w:rPr>
                <w:rFonts w:ascii="Arial" w:cs="Arial" w:eastAsia="Arial" w:hAnsi="Arial"/>
                <w:sz w:val="14"/>
                <w:szCs w:val="14"/>
                <w:color w:val="auto"/>
              </w:rPr>
              <w:t>$</w:t>
            </w:r>
          </w:p>
        </w:tc>
        <w:tc>
          <w:tcPr>
            <w:tcW w:w="560" w:type="dxa"/>
            <w:vAlign w:val="bottom"/>
            <w:shd w:val="clear" w:color="auto" w:fill="E8EDF4"/>
          </w:tcPr>
          <w:p>
            <w:pPr>
              <w:ind w:left="280"/>
              <w:spacing w:after="0"/>
              <w:rPr>
                <w:sz w:val="20"/>
                <w:szCs w:val="20"/>
                <w:color w:val="auto"/>
              </w:rPr>
            </w:pPr>
            <w:r>
              <w:rPr>
                <w:rFonts w:ascii="Arial" w:cs="Arial" w:eastAsia="Arial" w:hAnsi="Arial"/>
                <w:sz w:val="14"/>
                <w:szCs w:val="14"/>
                <w:color w:val="auto"/>
              </w:rPr>
              <w:t>—</w:t>
            </w:r>
          </w:p>
        </w:tc>
        <w:tc>
          <w:tcPr>
            <w:tcW w:w="200" w:type="dxa"/>
            <w:vAlign w:val="bottom"/>
            <w:shd w:val="clear" w:color="auto" w:fill="E8EDF4"/>
          </w:tcPr>
          <w:p>
            <w:pPr>
              <w:ind w:left="80"/>
              <w:spacing w:after="0"/>
              <w:rPr>
                <w:sz w:val="20"/>
                <w:szCs w:val="20"/>
                <w:color w:val="auto"/>
              </w:rPr>
            </w:pPr>
            <w:r>
              <w:rPr>
                <w:rFonts w:ascii="Arial" w:cs="Arial" w:eastAsia="Arial" w:hAnsi="Arial"/>
                <w:sz w:val="14"/>
                <w:szCs w:val="14"/>
                <w:color w:val="auto"/>
              </w:rPr>
              <w:t>$</w:t>
            </w:r>
          </w:p>
        </w:tc>
        <w:tc>
          <w:tcPr>
            <w:tcW w:w="540" w:type="dxa"/>
            <w:vAlign w:val="bottom"/>
            <w:shd w:val="clear" w:color="auto" w:fill="E8EDF4"/>
          </w:tcPr>
          <w:p>
            <w:pPr>
              <w:ind w:left="260"/>
              <w:spacing w:after="0"/>
              <w:rPr>
                <w:sz w:val="20"/>
                <w:szCs w:val="20"/>
                <w:color w:val="auto"/>
              </w:rPr>
            </w:pPr>
            <w:r>
              <w:rPr>
                <w:rFonts w:ascii="Arial" w:cs="Arial" w:eastAsia="Arial" w:hAnsi="Arial"/>
                <w:sz w:val="14"/>
                <w:szCs w:val="14"/>
                <w:color w:val="auto"/>
              </w:rPr>
              <w:t>—</w:t>
            </w:r>
          </w:p>
        </w:tc>
      </w:tr>
      <w:tr>
        <w:trPr>
          <w:trHeight w:val="275"/>
        </w:trPr>
        <w:tc>
          <w:tcPr>
            <w:tcW w:w="2940" w:type="dxa"/>
            <w:vAlign w:val="bottom"/>
          </w:tcPr>
          <w:p>
            <w:pPr>
              <w:ind w:left="20"/>
              <w:spacing w:after="0"/>
              <w:rPr>
                <w:sz w:val="20"/>
                <w:szCs w:val="20"/>
                <w:color w:val="auto"/>
              </w:rPr>
            </w:pPr>
            <w:r>
              <w:rPr>
                <w:rFonts w:ascii="Arial" w:cs="Arial" w:eastAsia="Arial" w:hAnsi="Arial"/>
                <w:sz w:val="14"/>
                <w:szCs w:val="14"/>
                <w:color w:val="auto"/>
              </w:rPr>
              <w:t>Steve Pietkiewicz</w:t>
            </w:r>
          </w:p>
        </w:tc>
        <w:tc>
          <w:tcPr>
            <w:tcW w:w="520" w:type="dxa"/>
            <w:vAlign w:val="bottom"/>
          </w:tcPr>
          <w:p>
            <w:pPr>
              <w:jc w:val="center"/>
              <w:spacing w:after="0"/>
              <w:rPr>
                <w:sz w:val="20"/>
                <w:szCs w:val="20"/>
                <w:color w:val="auto"/>
              </w:rPr>
            </w:pPr>
            <w:r>
              <w:rPr>
                <w:rFonts w:ascii="Arial" w:cs="Arial" w:eastAsia="Arial" w:hAnsi="Arial"/>
                <w:sz w:val="14"/>
                <w:szCs w:val="14"/>
                <w:color w:val="auto"/>
              </w:rPr>
              <w:t>2019</w:t>
            </w:r>
          </w:p>
        </w:tc>
        <w:tc>
          <w:tcPr>
            <w:tcW w:w="160" w:type="dxa"/>
            <w:vAlign w:val="bottom"/>
          </w:tcPr>
          <w:p>
            <w:pPr>
              <w:ind w:left="6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29,539</w:t>
            </w:r>
          </w:p>
        </w:tc>
        <w:tc>
          <w:tcPr>
            <w:tcW w:w="140" w:type="dxa"/>
            <w:vAlign w:val="bottom"/>
          </w:tcPr>
          <w:p>
            <w:pPr>
              <w:ind w:left="60"/>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160" w:type="dxa"/>
            <w:vAlign w:val="bottom"/>
          </w:tcPr>
          <w:p>
            <w:pPr>
              <w:ind w:left="60"/>
              <w:spacing w:after="0"/>
              <w:rPr>
                <w:sz w:val="20"/>
                <w:szCs w:val="20"/>
                <w:color w:val="auto"/>
              </w:rPr>
            </w:pPr>
            <w:r>
              <w:rPr>
                <w:rFonts w:ascii="Arial" w:cs="Arial" w:eastAsia="Arial" w:hAnsi="Arial"/>
                <w:sz w:val="14"/>
                <w:szCs w:val="14"/>
                <w:color w:val="auto"/>
              </w:rPr>
              <w:t>$</w:t>
            </w:r>
          </w:p>
        </w:tc>
        <w:tc>
          <w:tcPr>
            <w:tcW w:w="560" w:type="dxa"/>
            <w:vAlign w:val="bottom"/>
          </w:tcPr>
          <w:p>
            <w:pPr>
              <w:jc w:val="center"/>
              <w:ind w:left="69"/>
              <w:spacing w:after="0"/>
              <w:rPr>
                <w:sz w:val="20"/>
                <w:szCs w:val="20"/>
                <w:color w:val="auto"/>
              </w:rPr>
            </w:pPr>
            <w:r>
              <w:rPr>
                <w:rFonts w:ascii="Arial" w:cs="Arial" w:eastAsia="Arial" w:hAnsi="Arial"/>
                <w:sz w:val="14"/>
                <w:szCs w:val="14"/>
                <w:color w:val="auto"/>
                <w:w w:val="99"/>
              </w:rPr>
              <w:t>—</w:t>
            </w:r>
          </w:p>
        </w:tc>
        <w:tc>
          <w:tcPr>
            <w:tcW w:w="160" w:type="dxa"/>
            <w:vAlign w:val="bottom"/>
          </w:tcPr>
          <w:p>
            <w:pPr>
              <w:ind w:left="80"/>
              <w:spacing w:after="0"/>
              <w:rPr>
                <w:sz w:val="20"/>
                <w:szCs w:val="20"/>
                <w:color w:val="auto"/>
              </w:rPr>
            </w:pPr>
            <w:r>
              <w:rPr>
                <w:rFonts w:ascii="Arial" w:cs="Arial" w:eastAsia="Arial" w:hAnsi="Arial"/>
                <w:sz w:val="14"/>
                <w:szCs w:val="14"/>
                <w:color w:val="auto"/>
                <w:w w:val="76"/>
              </w:rPr>
              <w:t>$</w:t>
            </w:r>
          </w:p>
        </w:tc>
        <w:tc>
          <w:tcPr>
            <w:tcW w:w="640" w:type="dxa"/>
            <w:vAlign w:val="bottom"/>
          </w:tcPr>
          <w:p>
            <w:pPr>
              <w:jc w:val="center"/>
              <w:ind w:left="49"/>
              <w:spacing w:after="0"/>
              <w:rPr>
                <w:sz w:val="20"/>
                <w:szCs w:val="20"/>
                <w:color w:val="auto"/>
              </w:rPr>
            </w:pPr>
            <w:r>
              <w:rPr>
                <w:rFonts w:ascii="Arial" w:cs="Arial" w:eastAsia="Arial" w:hAnsi="Arial"/>
                <w:sz w:val="14"/>
                <w:szCs w:val="14"/>
                <w:color w:val="auto"/>
              </w:rPr>
              <w:t>1,200</w:t>
            </w:r>
          </w:p>
        </w:tc>
        <w:tc>
          <w:tcPr>
            <w:tcW w:w="160" w:type="dxa"/>
            <w:vAlign w:val="bottom"/>
          </w:tcPr>
          <w:p>
            <w:pPr>
              <w:ind w:left="6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240" w:type="dxa"/>
            <w:vAlign w:val="bottom"/>
          </w:tcPr>
          <w:p>
            <w:pPr>
              <w:ind w:left="60"/>
              <w:spacing w:after="0"/>
              <w:rPr>
                <w:sz w:val="20"/>
                <w:szCs w:val="20"/>
                <w:color w:val="auto"/>
              </w:rPr>
            </w:pPr>
            <w:r>
              <w:rPr>
                <w:rFonts w:ascii="Arial" w:cs="Arial" w:eastAsia="Arial" w:hAnsi="Arial"/>
                <w:sz w:val="14"/>
                <w:szCs w:val="14"/>
                <w:color w:val="auto"/>
              </w:rPr>
              <w:t>$</w:t>
            </w:r>
          </w:p>
        </w:tc>
        <w:tc>
          <w:tcPr>
            <w:tcW w:w="620" w:type="dxa"/>
            <w:vAlign w:val="bottom"/>
          </w:tcPr>
          <w:p>
            <w:pPr>
              <w:ind w:left="3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98"/>
              </w:rPr>
              <w:t>194,950</w:t>
            </w:r>
          </w:p>
        </w:tc>
        <w:tc>
          <w:tcPr>
            <w:tcW w:w="200" w:type="dxa"/>
            <w:vAlign w:val="bottom"/>
          </w:tcPr>
          <w:p>
            <w:pPr>
              <w:ind w:left="80"/>
              <w:spacing w:after="0"/>
              <w:rPr>
                <w:sz w:val="20"/>
                <w:szCs w:val="20"/>
                <w:color w:val="auto"/>
              </w:rPr>
            </w:pPr>
            <w:r>
              <w:rPr>
                <w:rFonts w:ascii="Arial" w:cs="Arial" w:eastAsia="Arial" w:hAnsi="Arial"/>
                <w:sz w:val="14"/>
                <w:szCs w:val="14"/>
                <w:color w:val="auto"/>
              </w:rPr>
              <w:t>$</w:t>
            </w:r>
          </w:p>
        </w:tc>
        <w:tc>
          <w:tcPr>
            <w:tcW w:w="480" w:type="dxa"/>
            <w:vAlign w:val="bottom"/>
          </w:tcPr>
          <w:p>
            <w:pPr>
              <w:jc w:val="center"/>
              <w:spacing w:after="0"/>
              <w:rPr>
                <w:sz w:val="20"/>
                <w:szCs w:val="20"/>
                <w:color w:val="auto"/>
              </w:rPr>
            </w:pPr>
            <w:r>
              <w:rPr>
                <w:rFonts w:ascii="Arial" w:cs="Arial" w:eastAsia="Arial" w:hAnsi="Arial"/>
                <w:sz w:val="14"/>
                <w:szCs w:val="14"/>
                <w:color w:val="auto"/>
              </w:rPr>
              <w:t>—</w:t>
            </w:r>
          </w:p>
        </w:tc>
        <w:tc>
          <w:tcPr>
            <w:tcW w:w="200" w:type="dxa"/>
            <w:vAlign w:val="bottom"/>
          </w:tcPr>
          <w:p>
            <w:pPr>
              <w:ind w:left="60"/>
              <w:spacing w:after="0"/>
              <w:rPr>
                <w:sz w:val="20"/>
                <w:szCs w:val="20"/>
                <w:color w:val="auto"/>
              </w:rPr>
            </w:pPr>
            <w:r>
              <w:rPr>
                <w:rFonts w:ascii="Arial" w:cs="Arial" w:eastAsia="Arial" w:hAnsi="Arial"/>
                <w:sz w:val="14"/>
                <w:szCs w:val="14"/>
                <w:color w:val="auto"/>
              </w:rPr>
              <w:t>$</w:t>
            </w:r>
          </w:p>
        </w:tc>
        <w:tc>
          <w:tcPr>
            <w:tcW w:w="560" w:type="dxa"/>
            <w:vAlign w:val="bottom"/>
          </w:tcPr>
          <w:p>
            <w:pPr>
              <w:ind w:left="60"/>
              <w:spacing w:after="0"/>
              <w:rPr>
                <w:sz w:val="20"/>
                <w:szCs w:val="20"/>
                <w:color w:val="auto"/>
              </w:rPr>
            </w:pPr>
            <w:r>
              <w:rPr>
                <w:rFonts w:ascii="Arial" w:cs="Arial" w:eastAsia="Arial" w:hAnsi="Arial"/>
                <w:sz w:val="14"/>
                <w:szCs w:val="14"/>
                <w:color w:val="auto"/>
              </w:rPr>
              <w:t>66,695</w:t>
            </w:r>
          </w:p>
        </w:tc>
        <w:tc>
          <w:tcPr>
            <w:tcW w:w="200" w:type="dxa"/>
            <w:vAlign w:val="bottom"/>
          </w:tcPr>
          <w:p>
            <w:pPr>
              <w:ind w:left="80"/>
              <w:spacing w:after="0"/>
              <w:rPr>
                <w:sz w:val="20"/>
                <w:szCs w:val="20"/>
                <w:color w:val="auto"/>
              </w:rPr>
            </w:pPr>
            <w:r>
              <w:rPr>
                <w:rFonts w:ascii="Arial" w:cs="Arial" w:eastAsia="Arial" w:hAnsi="Arial"/>
                <w:sz w:val="14"/>
                <w:szCs w:val="14"/>
                <w:color w:val="auto"/>
              </w:rPr>
              <w:t>$</w:t>
            </w:r>
          </w:p>
        </w:tc>
        <w:tc>
          <w:tcPr>
            <w:tcW w:w="540" w:type="dxa"/>
            <w:vAlign w:val="bottom"/>
          </w:tcPr>
          <w:p>
            <w:pPr>
              <w:ind w:left="40"/>
              <w:spacing w:after="0"/>
              <w:rPr>
                <w:sz w:val="20"/>
                <w:szCs w:val="20"/>
                <w:color w:val="auto"/>
              </w:rPr>
            </w:pPr>
            <w:r>
              <w:rPr>
                <w:rFonts w:ascii="Arial" w:cs="Arial" w:eastAsia="Arial" w:hAnsi="Arial"/>
                <w:sz w:val="14"/>
                <w:szCs w:val="14"/>
                <w:color w:val="auto"/>
              </w:rPr>
              <w:t>39,356</w:t>
            </w:r>
          </w:p>
        </w:tc>
      </w:tr>
      <w:tr>
        <w:trPr>
          <w:trHeight w:val="162"/>
        </w:trPr>
        <w:tc>
          <w:tcPr>
            <w:tcW w:w="294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color w:val="auto"/>
              </w:rPr>
              <w:t>2018</w:t>
            </w:r>
          </w:p>
        </w:tc>
        <w:tc>
          <w:tcPr>
            <w:tcW w:w="160" w:type="dxa"/>
            <w:vAlign w:val="bottom"/>
          </w:tcPr>
          <w:p>
            <w:pPr>
              <w:ind w:left="6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9,351</w:t>
            </w:r>
          </w:p>
        </w:tc>
        <w:tc>
          <w:tcPr>
            <w:tcW w:w="140" w:type="dxa"/>
            <w:vAlign w:val="bottom"/>
          </w:tcPr>
          <w:p>
            <w:pPr>
              <w:ind w:left="60"/>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160" w:type="dxa"/>
            <w:vAlign w:val="bottom"/>
          </w:tcPr>
          <w:p>
            <w:pPr>
              <w:ind w:left="60"/>
              <w:spacing w:after="0"/>
              <w:rPr>
                <w:sz w:val="20"/>
                <w:szCs w:val="20"/>
                <w:color w:val="auto"/>
              </w:rPr>
            </w:pPr>
            <w:r>
              <w:rPr>
                <w:rFonts w:ascii="Arial" w:cs="Arial" w:eastAsia="Arial" w:hAnsi="Arial"/>
                <w:sz w:val="14"/>
                <w:szCs w:val="14"/>
                <w:color w:val="auto"/>
              </w:rPr>
              <w:t>$</w:t>
            </w:r>
          </w:p>
        </w:tc>
        <w:tc>
          <w:tcPr>
            <w:tcW w:w="560" w:type="dxa"/>
            <w:vAlign w:val="bottom"/>
          </w:tcPr>
          <w:p>
            <w:pPr>
              <w:jc w:val="center"/>
              <w:ind w:left="69"/>
              <w:spacing w:after="0"/>
              <w:rPr>
                <w:sz w:val="20"/>
                <w:szCs w:val="20"/>
                <w:color w:val="auto"/>
              </w:rPr>
            </w:pPr>
            <w:r>
              <w:rPr>
                <w:rFonts w:ascii="Arial" w:cs="Arial" w:eastAsia="Arial" w:hAnsi="Arial"/>
                <w:sz w:val="14"/>
                <w:szCs w:val="14"/>
                <w:color w:val="auto"/>
                <w:w w:val="99"/>
              </w:rPr>
              <w:t>—</w:t>
            </w:r>
          </w:p>
        </w:tc>
        <w:tc>
          <w:tcPr>
            <w:tcW w:w="160" w:type="dxa"/>
            <w:vAlign w:val="bottom"/>
          </w:tcPr>
          <w:p>
            <w:pPr>
              <w:ind w:left="80"/>
              <w:spacing w:after="0"/>
              <w:rPr>
                <w:sz w:val="20"/>
                <w:szCs w:val="20"/>
                <w:color w:val="auto"/>
              </w:rPr>
            </w:pPr>
            <w:r>
              <w:rPr>
                <w:rFonts w:ascii="Arial" w:cs="Arial" w:eastAsia="Arial" w:hAnsi="Arial"/>
                <w:sz w:val="14"/>
                <w:szCs w:val="14"/>
                <w:color w:val="auto"/>
                <w:w w:val="76"/>
              </w:rPr>
              <w:t>$</w:t>
            </w:r>
          </w:p>
        </w:tc>
        <w:tc>
          <w:tcPr>
            <w:tcW w:w="640" w:type="dxa"/>
            <w:vAlign w:val="bottom"/>
          </w:tcPr>
          <w:p>
            <w:pPr>
              <w:jc w:val="center"/>
              <w:ind w:left="109"/>
              <w:spacing w:after="0"/>
              <w:rPr>
                <w:sz w:val="20"/>
                <w:szCs w:val="20"/>
                <w:color w:val="auto"/>
              </w:rPr>
            </w:pPr>
            <w:r>
              <w:rPr>
                <w:rFonts w:ascii="Arial" w:cs="Arial" w:eastAsia="Arial" w:hAnsi="Arial"/>
                <w:sz w:val="14"/>
                <w:szCs w:val="14"/>
                <w:color w:val="auto"/>
                <w:w w:val="99"/>
              </w:rPr>
              <w:t>—</w:t>
            </w:r>
          </w:p>
        </w:tc>
        <w:tc>
          <w:tcPr>
            <w:tcW w:w="160" w:type="dxa"/>
            <w:vAlign w:val="bottom"/>
          </w:tcPr>
          <w:p>
            <w:pPr>
              <w:ind w:left="6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240" w:type="dxa"/>
            <w:vAlign w:val="bottom"/>
          </w:tcPr>
          <w:p>
            <w:pPr>
              <w:ind w:left="60"/>
              <w:spacing w:after="0"/>
              <w:rPr>
                <w:sz w:val="20"/>
                <w:szCs w:val="20"/>
                <w:color w:val="auto"/>
              </w:rPr>
            </w:pPr>
            <w:r>
              <w:rPr>
                <w:rFonts w:ascii="Arial" w:cs="Arial" w:eastAsia="Arial" w:hAnsi="Arial"/>
                <w:sz w:val="14"/>
                <w:szCs w:val="14"/>
                <w:color w:val="auto"/>
              </w:rPr>
              <w:t>$</w:t>
            </w:r>
          </w:p>
        </w:tc>
        <w:tc>
          <w:tcPr>
            <w:tcW w:w="620" w:type="dxa"/>
            <w:vAlign w:val="bottom"/>
          </w:tcPr>
          <w:p>
            <w:pPr>
              <w:ind w:left="3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98"/>
              </w:rPr>
              <w:t>194,950</w:t>
            </w:r>
          </w:p>
        </w:tc>
        <w:tc>
          <w:tcPr>
            <w:tcW w:w="200" w:type="dxa"/>
            <w:vAlign w:val="bottom"/>
          </w:tcPr>
          <w:p>
            <w:pPr>
              <w:ind w:left="80"/>
              <w:spacing w:after="0"/>
              <w:rPr>
                <w:sz w:val="20"/>
                <w:szCs w:val="20"/>
                <w:color w:val="auto"/>
              </w:rPr>
            </w:pPr>
            <w:r>
              <w:rPr>
                <w:rFonts w:ascii="Arial" w:cs="Arial" w:eastAsia="Arial" w:hAnsi="Arial"/>
                <w:sz w:val="14"/>
                <w:szCs w:val="14"/>
                <w:color w:val="auto"/>
              </w:rPr>
              <w:t>$</w:t>
            </w:r>
          </w:p>
        </w:tc>
        <w:tc>
          <w:tcPr>
            <w:tcW w:w="480" w:type="dxa"/>
            <w:vAlign w:val="bottom"/>
          </w:tcPr>
          <w:p>
            <w:pPr>
              <w:jc w:val="center"/>
              <w:spacing w:after="0"/>
              <w:rPr>
                <w:sz w:val="20"/>
                <w:szCs w:val="20"/>
                <w:color w:val="auto"/>
              </w:rPr>
            </w:pPr>
            <w:r>
              <w:rPr>
                <w:rFonts w:ascii="Arial" w:cs="Arial" w:eastAsia="Arial" w:hAnsi="Arial"/>
                <w:sz w:val="14"/>
                <w:szCs w:val="14"/>
                <w:color w:val="auto"/>
              </w:rPr>
              <w:t>—</w:t>
            </w:r>
          </w:p>
        </w:tc>
        <w:tc>
          <w:tcPr>
            <w:tcW w:w="200" w:type="dxa"/>
            <w:vAlign w:val="bottom"/>
          </w:tcPr>
          <w:p>
            <w:pPr>
              <w:ind w:left="60"/>
              <w:spacing w:after="0"/>
              <w:rPr>
                <w:sz w:val="20"/>
                <w:szCs w:val="20"/>
                <w:color w:val="auto"/>
              </w:rPr>
            </w:pPr>
            <w:r>
              <w:rPr>
                <w:rFonts w:ascii="Arial" w:cs="Arial" w:eastAsia="Arial" w:hAnsi="Arial"/>
                <w:sz w:val="14"/>
                <w:szCs w:val="14"/>
                <w:color w:val="auto"/>
              </w:rPr>
              <w:t>$</w:t>
            </w:r>
          </w:p>
        </w:tc>
        <w:tc>
          <w:tcPr>
            <w:tcW w:w="560" w:type="dxa"/>
            <w:vAlign w:val="bottom"/>
          </w:tcPr>
          <w:p>
            <w:pPr>
              <w:ind w:left="280"/>
              <w:spacing w:after="0"/>
              <w:rPr>
                <w:sz w:val="20"/>
                <w:szCs w:val="20"/>
                <w:color w:val="auto"/>
              </w:rPr>
            </w:pPr>
            <w:r>
              <w:rPr>
                <w:rFonts w:ascii="Arial" w:cs="Arial" w:eastAsia="Arial" w:hAnsi="Arial"/>
                <w:sz w:val="14"/>
                <w:szCs w:val="14"/>
                <w:color w:val="auto"/>
              </w:rPr>
              <w:t>—</w:t>
            </w:r>
          </w:p>
        </w:tc>
        <w:tc>
          <w:tcPr>
            <w:tcW w:w="200" w:type="dxa"/>
            <w:vAlign w:val="bottom"/>
          </w:tcPr>
          <w:p>
            <w:pPr>
              <w:ind w:left="80"/>
              <w:spacing w:after="0"/>
              <w:rPr>
                <w:sz w:val="20"/>
                <w:szCs w:val="20"/>
                <w:color w:val="auto"/>
              </w:rPr>
            </w:pPr>
            <w:r>
              <w:rPr>
                <w:rFonts w:ascii="Arial" w:cs="Arial" w:eastAsia="Arial" w:hAnsi="Arial"/>
                <w:sz w:val="14"/>
                <w:szCs w:val="14"/>
                <w:color w:val="auto"/>
              </w:rPr>
              <w:t>$</w:t>
            </w:r>
          </w:p>
        </w:tc>
        <w:tc>
          <w:tcPr>
            <w:tcW w:w="540" w:type="dxa"/>
            <w:vAlign w:val="bottom"/>
          </w:tcPr>
          <w:p>
            <w:pPr>
              <w:ind w:left="40"/>
              <w:spacing w:after="0"/>
              <w:rPr>
                <w:sz w:val="20"/>
                <w:szCs w:val="20"/>
                <w:color w:val="auto"/>
              </w:rPr>
            </w:pPr>
            <w:r>
              <w:rPr>
                <w:rFonts w:ascii="Arial" w:cs="Arial" w:eastAsia="Arial" w:hAnsi="Arial"/>
                <w:sz w:val="14"/>
                <w:szCs w:val="14"/>
                <w:color w:val="auto"/>
              </w:rPr>
              <w:t>38,096</w:t>
            </w:r>
          </w:p>
        </w:tc>
      </w:tr>
      <w:tr>
        <w:trPr>
          <w:trHeight w:val="172"/>
        </w:trPr>
        <w:tc>
          <w:tcPr>
            <w:tcW w:w="294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color w:val="auto"/>
              </w:rPr>
              <w:t>2017</w:t>
            </w:r>
          </w:p>
        </w:tc>
        <w:tc>
          <w:tcPr>
            <w:tcW w:w="160" w:type="dxa"/>
            <w:vAlign w:val="bottom"/>
          </w:tcPr>
          <w:p>
            <w:pPr>
              <w:ind w:left="6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9,508</w:t>
            </w:r>
          </w:p>
        </w:tc>
        <w:tc>
          <w:tcPr>
            <w:tcW w:w="140" w:type="dxa"/>
            <w:vAlign w:val="bottom"/>
          </w:tcPr>
          <w:p>
            <w:pPr>
              <w:ind w:left="60"/>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160" w:type="dxa"/>
            <w:vAlign w:val="bottom"/>
          </w:tcPr>
          <w:p>
            <w:pPr>
              <w:ind w:left="60"/>
              <w:spacing w:after="0"/>
              <w:rPr>
                <w:sz w:val="20"/>
                <w:szCs w:val="20"/>
                <w:color w:val="auto"/>
              </w:rPr>
            </w:pPr>
            <w:r>
              <w:rPr>
                <w:rFonts w:ascii="Arial" w:cs="Arial" w:eastAsia="Arial" w:hAnsi="Arial"/>
                <w:sz w:val="14"/>
                <w:szCs w:val="14"/>
                <w:color w:val="auto"/>
              </w:rPr>
              <w:t>$</w:t>
            </w:r>
          </w:p>
        </w:tc>
        <w:tc>
          <w:tcPr>
            <w:tcW w:w="560" w:type="dxa"/>
            <w:vAlign w:val="bottom"/>
          </w:tcPr>
          <w:p>
            <w:pPr>
              <w:jc w:val="center"/>
              <w:ind w:left="69"/>
              <w:spacing w:after="0"/>
              <w:rPr>
                <w:sz w:val="20"/>
                <w:szCs w:val="20"/>
                <w:color w:val="auto"/>
              </w:rPr>
            </w:pPr>
            <w:r>
              <w:rPr>
                <w:rFonts w:ascii="Arial" w:cs="Arial" w:eastAsia="Arial" w:hAnsi="Arial"/>
                <w:sz w:val="14"/>
                <w:szCs w:val="14"/>
                <w:color w:val="auto"/>
                <w:w w:val="99"/>
              </w:rPr>
              <w:t>—</w:t>
            </w:r>
          </w:p>
        </w:tc>
        <w:tc>
          <w:tcPr>
            <w:tcW w:w="160" w:type="dxa"/>
            <w:vAlign w:val="bottom"/>
          </w:tcPr>
          <w:p>
            <w:pPr>
              <w:ind w:left="80"/>
              <w:spacing w:after="0"/>
              <w:rPr>
                <w:sz w:val="20"/>
                <w:szCs w:val="20"/>
                <w:color w:val="auto"/>
              </w:rPr>
            </w:pPr>
            <w:r>
              <w:rPr>
                <w:rFonts w:ascii="Arial" w:cs="Arial" w:eastAsia="Arial" w:hAnsi="Arial"/>
                <w:sz w:val="14"/>
                <w:szCs w:val="14"/>
                <w:color w:val="auto"/>
                <w:w w:val="76"/>
              </w:rPr>
              <w:t>$</w:t>
            </w:r>
          </w:p>
        </w:tc>
        <w:tc>
          <w:tcPr>
            <w:tcW w:w="640" w:type="dxa"/>
            <w:vAlign w:val="bottom"/>
          </w:tcPr>
          <w:p>
            <w:pPr>
              <w:jc w:val="center"/>
              <w:ind w:left="109"/>
              <w:spacing w:after="0"/>
              <w:rPr>
                <w:sz w:val="20"/>
                <w:szCs w:val="20"/>
                <w:color w:val="auto"/>
              </w:rPr>
            </w:pPr>
            <w:r>
              <w:rPr>
                <w:rFonts w:ascii="Arial" w:cs="Arial" w:eastAsia="Arial" w:hAnsi="Arial"/>
                <w:sz w:val="14"/>
                <w:szCs w:val="14"/>
                <w:color w:val="auto"/>
                <w:w w:val="99"/>
              </w:rPr>
              <w:t>—</w:t>
            </w:r>
          </w:p>
        </w:tc>
        <w:tc>
          <w:tcPr>
            <w:tcW w:w="160" w:type="dxa"/>
            <w:vAlign w:val="bottom"/>
          </w:tcPr>
          <w:p>
            <w:pPr>
              <w:ind w:left="6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240" w:type="dxa"/>
            <w:vAlign w:val="bottom"/>
          </w:tcPr>
          <w:p>
            <w:pPr>
              <w:ind w:left="60"/>
              <w:spacing w:after="0"/>
              <w:rPr>
                <w:sz w:val="20"/>
                <w:szCs w:val="20"/>
                <w:color w:val="auto"/>
              </w:rPr>
            </w:pPr>
            <w:r>
              <w:rPr>
                <w:rFonts w:ascii="Arial" w:cs="Arial" w:eastAsia="Arial" w:hAnsi="Arial"/>
                <w:sz w:val="14"/>
                <w:szCs w:val="14"/>
                <w:color w:val="auto"/>
              </w:rPr>
              <w:t>$</w:t>
            </w:r>
          </w:p>
        </w:tc>
        <w:tc>
          <w:tcPr>
            <w:tcW w:w="620" w:type="dxa"/>
            <w:vAlign w:val="bottom"/>
          </w:tcPr>
          <w:p>
            <w:pPr>
              <w:ind w:left="3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tcPr>
          <w:p>
            <w:pPr>
              <w:ind w:left="80"/>
              <w:spacing w:after="0"/>
              <w:rPr>
                <w:sz w:val="20"/>
                <w:szCs w:val="20"/>
                <w:color w:val="auto"/>
              </w:rPr>
            </w:pPr>
            <w:r>
              <w:rPr>
                <w:rFonts w:ascii="Arial" w:cs="Arial" w:eastAsia="Arial" w:hAnsi="Arial"/>
                <w:sz w:val="14"/>
                <w:szCs w:val="14"/>
                <w:color w:val="auto"/>
              </w:rPr>
              <w:t>$</w:t>
            </w:r>
          </w:p>
        </w:tc>
        <w:tc>
          <w:tcPr>
            <w:tcW w:w="480" w:type="dxa"/>
            <w:vAlign w:val="bottom"/>
          </w:tcPr>
          <w:p>
            <w:pPr>
              <w:jc w:val="center"/>
              <w:spacing w:after="0"/>
              <w:rPr>
                <w:sz w:val="20"/>
                <w:szCs w:val="20"/>
                <w:color w:val="auto"/>
              </w:rPr>
            </w:pPr>
            <w:r>
              <w:rPr>
                <w:rFonts w:ascii="Arial" w:cs="Arial" w:eastAsia="Arial" w:hAnsi="Arial"/>
                <w:sz w:val="14"/>
                <w:szCs w:val="14"/>
                <w:color w:val="auto"/>
              </w:rPr>
              <w:t>—</w:t>
            </w:r>
          </w:p>
        </w:tc>
        <w:tc>
          <w:tcPr>
            <w:tcW w:w="200" w:type="dxa"/>
            <w:vAlign w:val="bottom"/>
          </w:tcPr>
          <w:p>
            <w:pPr>
              <w:ind w:left="60"/>
              <w:spacing w:after="0"/>
              <w:rPr>
                <w:sz w:val="20"/>
                <w:szCs w:val="20"/>
                <w:color w:val="auto"/>
              </w:rPr>
            </w:pPr>
            <w:r>
              <w:rPr>
                <w:rFonts w:ascii="Arial" w:cs="Arial" w:eastAsia="Arial" w:hAnsi="Arial"/>
                <w:sz w:val="14"/>
                <w:szCs w:val="14"/>
                <w:color w:val="auto"/>
              </w:rPr>
              <w:t>$</w:t>
            </w:r>
          </w:p>
        </w:tc>
        <w:tc>
          <w:tcPr>
            <w:tcW w:w="560" w:type="dxa"/>
            <w:vAlign w:val="bottom"/>
          </w:tcPr>
          <w:p>
            <w:pPr>
              <w:ind w:left="280"/>
              <w:spacing w:after="0"/>
              <w:rPr>
                <w:sz w:val="20"/>
                <w:szCs w:val="20"/>
                <w:color w:val="auto"/>
              </w:rPr>
            </w:pPr>
            <w:r>
              <w:rPr>
                <w:rFonts w:ascii="Arial" w:cs="Arial" w:eastAsia="Arial" w:hAnsi="Arial"/>
                <w:sz w:val="14"/>
                <w:szCs w:val="14"/>
                <w:color w:val="auto"/>
              </w:rPr>
              <w:t>—</w:t>
            </w:r>
          </w:p>
        </w:tc>
        <w:tc>
          <w:tcPr>
            <w:tcW w:w="200" w:type="dxa"/>
            <w:vAlign w:val="bottom"/>
          </w:tcPr>
          <w:p>
            <w:pPr>
              <w:ind w:left="80"/>
              <w:spacing w:after="0"/>
              <w:rPr>
                <w:sz w:val="20"/>
                <w:szCs w:val="20"/>
                <w:color w:val="auto"/>
              </w:rPr>
            </w:pPr>
            <w:r>
              <w:rPr>
                <w:rFonts w:ascii="Arial" w:cs="Arial" w:eastAsia="Arial" w:hAnsi="Arial"/>
                <w:sz w:val="14"/>
                <w:szCs w:val="14"/>
                <w:color w:val="auto"/>
              </w:rPr>
              <w:t>$</w:t>
            </w:r>
          </w:p>
        </w:tc>
        <w:tc>
          <w:tcPr>
            <w:tcW w:w="540" w:type="dxa"/>
            <w:vAlign w:val="bottom"/>
          </w:tcPr>
          <w:p>
            <w:pPr>
              <w:ind w:left="40"/>
              <w:spacing w:after="0"/>
              <w:rPr>
                <w:sz w:val="20"/>
                <w:szCs w:val="20"/>
                <w:color w:val="auto"/>
              </w:rPr>
            </w:pPr>
            <w:r>
              <w:rPr>
                <w:rFonts w:ascii="Arial" w:cs="Arial" w:eastAsia="Arial" w:hAnsi="Arial"/>
                <w:sz w:val="14"/>
                <w:szCs w:val="14"/>
                <w:color w:val="auto"/>
              </w:rPr>
              <w:t>31,502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76200</wp:posOffset>
            </wp:positionV>
            <wp:extent cx="76327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3" w:lineRule="exact"/>
        <w:rPr>
          <w:sz w:val="20"/>
          <w:szCs w:val="20"/>
          <w:color w:val="auto"/>
        </w:rPr>
      </w:pPr>
    </w:p>
    <w:p>
      <w:pPr>
        <w:ind w:left="1180" w:right="240" w:hanging="544"/>
        <w:spacing w:after="0"/>
        <w:tabs>
          <w:tab w:leader="none" w:pos="11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Amounts paid to Messrs. Roche, Mahendra-Rajah, Cotter, Hassett and Pietkiewicz consist of the Company contribution into 401(k) and DCP accounts up to the permissible IRS limit and the taxable Company contribution in excess of IRS limits described under “Retirement and Other Employee Benefits” above.</w:t>
      </w:r>
    </w:p>
    <w:p>
      <w:pPr>
        <w:spacing w:after="0" w:line="108" w:lineRule="exact"/>
        <w:rPr>
          <w:rFonts w:ascii="Arial" w:cs="Arial" w:eastAsia="Arial" w:hAnsi="Arial"/>
          <w:sz w:val="18"/>
          <w:szCs w:val="18"/>
          <w:color w:val="auto"/>
        </w:rPr>
      </w:pPr>
    </w:p>
    <w:p>
      <w:pPr>
        <w:ind w:left="1180" w:hanging="544"/>
        <w:spacing w:after="0"/>
        <w:tabs>
          <w:tab w:leader="none" w:pos="11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Paid in connection with our Employee Service Award Program.</w:t>
      </w:r>
    </w:p>
    <w:p>
      <w:pPr>
        <w:spacing w:after="0" w:line="117" w:lineRule="exact"/>
        <w:rPr>
          <w:rFonts w:ascii="Arial" w:cs="Arial" w:eastAsia="Arial" w:hAnsi="Arial"/>
          <w:sz w:val="18"/>
          <w:szCs w:val="18"/>
          <w:color w:val="auto"/>
        </w:rPr>
      </w:pPr>
    </w:p>
    <w:p>
      <w:pPr>
        <w:ind w:left="1180" w:hanging="544"/>
        <w:spacing w:after="0"/>
        <w:tabs>
          <w:tab w:leader="none" w:pos="11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Amounts paid to Mr. Mahendra-Rajah in connection with his relocation from Belgium to the United States.</w:t>
      </w:r>
    </w:p>
    <w:p>
      <w:pPr>
        <w:spacing w:after="0" w:line="117" w:lineRule="exact"/>
        <w:rPr>
          <w:rFonts w:ascii="Arial" w:cs="Arial" w:eastAsia="Arial" w:hAnsi="Arial"/>
          <w:sz w:val="18"/>
          <w:szCs w:val="18"/>
          <w:color w:val="auto"/>
        </w:rPr>
      </w:pPr>
    </w:p>
    <w:p>
      <w:pPr>
        <w:ind w:left="1180" w:hanging="544"/>
        <w:spacing w:after="0"/>
        <w:tabs>
          <w:tab w:leader="none" w:pos="11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Amounts relate to reimbursement of costs and tax equalization payments associated with an expatriate assignment.</w:t>
      </w:r>
    </w:p>
    <w:p>
      <w:pPr>
        <w:spacing w:after="0" w:line="117" w:lineRule="exact"/>
        <w:rPr>
          <w:rFonts w:ascii="Arial" w:cs="Arial" w:eastAsia="Arial" w:hAnsi="Arial"/>
          <w:sz w:val="18"/>
          <w:szCs w:val="18"/>
          <w:color w:val="auto"/>
        </w:rPr>
      </w:pPr>
    </w:p>
    <w:p>
      <w:pPr>
        <w:ind w:left="1180" w:right="40" w:hanging="544"/>
        <w:spacing w:after="0" w:line="246" w:lineRule="auto"/>
        <w:tabs>
          <w:tab w:leader="none" w:pos="11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Represents payout of accrued unused paid time off and sabbatical pay as part of the integration of the U.S. Benefits programs for eligible legacy Linear U.S. employees effective January 1, 2019.</w:t>
      </w:r>
    </w:p>
    <w:p>
      <w:pPr>
        <w:spacing w:after="0" w:line="102" w:lineRule="exact"/>
        <w:rPr>
          <w:rFonts w:ascii="Arial" w:cs="Arial" w:eastAsia="Arial" w:hAnsi="Arial"/>
          <w:sz w:val="18"/>
          <w:szCs w:val="18"/>
          <w:color w:val="auto"/>
        </w:rPr>
      </w:pPr>
    </w:p>
    <w:p>
      <w:pPr>
        <w:ind w:left="1180" w:right="540" w:hanging="544"/>
        <w:spacing w:after="0" w:line="246" w:lineRule="auto"/>
        <w:tabs>
          <w:tab w:leader="none" w:pos="11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Represents dividends paid on unvested restricted stock awards assumed as part of the Company’s acquisition of Linear Technology.</w:t>
      </w:r>
    </w:p>
    <w:p>
      <w:pPr>
        <w:spacing w:after="0" w:line="129" w:lineRule="exact"/>
        <w:rPr>
          <w:sz w:val="20"/>
          <w:szCs w:val="20"/>
          <w:color w:val="auto"/>
        </w:rPr>
      </w:pPr>
    </w:p>
    <w:p>
      <w:pPr>
        <w:ind w:left="9320"/>
        <w:spacing w:after="0"/>
        <w:tabs>
          <w:tab w:leader="none" w:pos="11000" w:val="left"/>
        </w:tabs>
        <w:rPr>
          <w:sz w:val="20"/>
          <w:szCs w:val="20"/>
          <w:color w:val="auto"/>
        </w:rPr>
      </w:pPr>
      <w:r>
        <w:rPr>
          <w:rFonts w:ascii="Arial" w:cs="Arial" w:eastAsia="Arial" w:hAnsi="Arial"/>
          <w:sz w:val="14"/>
          <w:szCs w:val="14"/>
          <w:b w:val="1"/>
          <w:bCs w:val="1"/>
          <w:color w:val="052B82"/>
        </w:rPr>
        <w:t>2020 Proxy Statement</w:t>
      </w:r>
      <w:r>
        <w:rPr>
          <w:sz w:val="20"/>
          <w:szCs w:val="20"/>
          <w:color w:val="auto"/>
        </w:rPr>
        <w:tab/>
      </w:r>
      <w:r>
        <w:rPr>
          <w:rFonts w:ascii="Arial" w:cs="Arial" w:eastAsia="Arial" w:hAnsi="Arial"/>
          <w:sz w:val="17"/>
          <w:szCs w:val="17"/>
          <w:color w:val="999999"/>
        </w:rPr>
        <w:t>57</w:t>
      </w:r>
    </w:p>
    <w:p>
      <w:pPr>
        <w:sectPr>
          <w:pgSz w:w="11900" w:h="16838" w:orient="portrait"/>
          <w:cols w:equalWidth="0" w:num="1">
            <w:col w:w="11240"/>
          </w:cols>
          <w:pgMar w:left="240" w:top="459" w:right="41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2649855" cy="1371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52B82"/>
        </w:rPr>
        <w:t>GRANTS OF PLAN-BASED AWARDS IN FISCAL 2019</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information on plan-based awards granted in fiscal 2019 to our NEOs:</w:t>
      </w:r>
    </w:p>
    <w:p>
      <w:pPr>
        <w:spacing w:after="0" w:line="203" w:lineRule="exact"/>
        <w:rPr>
          <w:sz w:val="20"/>
          <w:szCs w:val="20"/>
          <w:color w:val="auto"/>
        </w:rPr>
      </w:pPr>
    </w:p>
    <w:tbl>
      <w:tblPr>
        <w:tblLayout w:type="fixed"/>
        <w:tblInd w:w="220" w:type="dxa"/>
        <w:tblCellMar>
          <w:top w:w="0" w:type="dxa"/>
          <w:left w:w="0" w:type="dxa"/>
          <w:bottom w:w="0" w:type="dxa"/>
          <w:right w:w="0" w:type="dxa"/>
        </w:tblCellMar>
      </w:tblPr>
      <w:tr>
        <w:trPr>
          <w:trHeight w:val="149"/>
        </w:trPr>
        <w:tc>
          <w:tcPr>
            <w:tcW w:w="1580" w:type="dxa"/>
            <w:vAlign w:val="bottom"/>
            <w:shd w:val="clear" w:color="auto" w:fill="052B82"/>
          </w:tcPr>
          <w:p>
            <w:pPr>
              <w:spacing w:after="0"/>
              <w:rPr>
                <w:sz w:val="13"/>
                <w:szCs w:val="13"/>
                <w:color w:val="auto"/>
              </w:rPr>
            </w:pPr>
          </w:p>
        </w:tc>
        <w:tc>
          <w:tcPr>
            <w:tcW w:w="1000" w:type="dxa"/>
            <w:vAlign w:val="bottom"/>
            <w:shd w:val="clear" w:color="auto" w:fill="052B82"/>
          </w:tcPr>
          <w:p>
            <w:pPr>
              <w:spacing w:after="0"/>
              <w:rPr>
                <w:sz w:val="13"/>
                <w:szCs w:val="13"/>
                <w:color w:val="auto"/>
              </w:rPr>
            </w:pPr>
          </w:p>
        </w:tc>
        <w:tc>
          <w:tcPr>
            <w:tcW w:w="720" w:type="dxa"/>
            <w:vAlign w:val="bottom"/>
            <w:shd w:val="clear" w:color="auto" w:fill="052B82"/>
          </w:tcPr>
          <w:p>
            <w:pPr>
              <w:spacing w:after="0"/>
              <w:rPr>
                <w:sz w:val="13"/>
                <w:szCs w:val="13"/>
                <w:color w:val="auto"/>
              </w:rPr>
            </w:pPr>
          </w:p>
        </w:tc>
        <w:tc>
          <w:tcPr>
            <w:tcW w:w="880" w:type="dxa"/>
            <w:vAlign w:val="bottom"/>
            <w:shd w:val="clear" w:color="auto" w:fill="052B82"/>
          </w:tcPr>
          <w:p>
            <w:pPr>
              <w:spacing w:after="0"/>
              <w:rPr>
                <w:sz w:val="13"/>
                <w:szCs w:val="13"/>
                <w:color w:val="auto"/>
              </w:rPr>
            </w:pPr>
          </w:p>
        </w:tc>
        <w:tc>
          <w:tcPr>
            <w:tcW w:w="840" w:type="dxa"/>
            <w:vAlign w:val="bottom"/>
            <w:shd w:val="clear" w:color="auto" w:fill="052B82"/>
          </w:tcPr>
          <w:p>
            <w:pPr>
              <w:spacing w:after="0"/>
              <w:rPr>
                <w:sz w:val="13"/>
                <w:szCs w:val="13"/>
                <w:color w:val="auto"/>
              </w:rPr>
            </w:pPr>
          </w:p>
        </w:tc>
        <w:tc>
          <w:tcPr>
            <w:tcW w:w="2180" w:type="dxa"/>
            <w:vAlign w:val="bottom"/>
            <w:gridSpan w:val="3"/>
            <w:vMerge w:val="restart"/>
            <w:shd w:val="clear" w:color="auto" w:fill="052B82"/>
          </w:tcPr>
          <w:p>
            <w:pPr>
              <w:jc w:val="center"/>
              <w:spacing w:after="0"/>
              <w:rPr>
                <w:sz w:val="20"/>
                <w:szCs w:val="20"/>
                <w:color w:val="auto"/>
              </w:rPr>
            </w:pPr>
            <w:r>
              <w:rPr>
                <w:rFonts w:ascii="Arial" w:cs="Arial" w:eastAsia="Arial" w:hAnsi="Arial"/>
                <w:sz w:val="13"/>
                <w:szCs w:val="13"/>
                <w:b w:val="1"/>
                <w:bCs w:val="1"/>
                <w:color w:val="FFFFFF"/>
                <w:w w:val="96"/>
              </w:rPr>
              <w:t>Estimated Future</w:t>
            </w:r>
          </w:p>
        </w:tc>
        <w:tc>
          <w:tcPr>
            <w:tcW w:w="1100" w:type="dxa"/>
            <w:vAlign w:val="bottom"/>
            <w:shd w:val="clear" w:color="auto" w:fill="052B82"/>
          </w:tcPr>
          <w:p>
            <w:pPr>
              <w:spacing w:after="0"/>
              <w:rPr>
                <w:sz w:val="13"/>
                <w:szCs w:val="13"/>
                <w:color w:val="auto"/>
              </w:rPr>
            </w:pPr>
          </w:p>
        </w:tc>
        <w:tc>
          <w:tcPr>
            <w:tcW w:w="1100" w:type="dxa"/>
            <w:vAlign w:val="bottom"/>
            <w:shd w:val="clear" w:color="auto" w:fill="052B82"/>
          </w:tcPr>
          <w:p>
            <w:pPr>
              <w:spacing w:after="0"/>
              <w:rPr>
                <w:sz w:val="13"/>
                <w:szCs w:val="13"/>
                <w:color w:val="auto"/>
              </w:rPr>
            </w:pPr>
          </w:p>
        </w:tc>
        <w:tc>
          <w:tcPr>
            <w:tcW w:w="680" w:type="dxa"/>
            <w:vAlign w:val="bottom"/>
            <w:shd w:val="clear" w:color="auto" w:fill="052B82"/>
          </w:tcPr>
          <w:p>
            <w:pPr>
              <w:jc w:val="center"/>
              <w:spacing w:after="0"/>
              <w:rPr>
                <w:sz w:val="20"/>
                <w:szCs w:val="20"/>
                <w:color w:val="auto"/>
              </w:rPr>
            </w:pPr>
            <w:r>
              <w:rPr>
                <w:rFonts w:ascii="Arial" w:cs="Arial" w:eastAsia="Arial" w:hAnsi="Arial"/>
                <w:sz w:val="13"/>
                <w:szCs w:val="13"/>
                <w:b w:val="1"/>
                <w:bCs w:val="1"/>
                <w:color w:val="FFFFFF"/>
                <w:w w:val="97"/>
              </w:rPr>
              <w:t>Exercise</w:t>
            </w:r>
          </w:p>
        </w:tc>
        <w:tc>
          <w:tcPr>
            <w:tcW w:w="940" w:type="dxa"/>
            <w:vAlign w:val="bottom"/>
            <w:shd w:val="clear" w:color="auto" w:fill="052B82"/>
          </w:tcPr>
          <w:p>
            <w:pPr>
              <w:jc w:val="center"/>
              <w:ind w:right="130"/>
              <w:spacing w:after="0"/>
              <w:rPr>
                <w:sz w:val="20"/>
                <w:szCs w:val="20"/>
                <w:color w:val="auto"/>
              </w:rPr>
            </w:pPr>
            <w:r>
              <w:rPr>
                <w:rFonts w:ascii="Arial" w:cs="Arial" w:eastAsia="Arial" w:hAnsi="Arial"/>
                <w:sz w:val="13"/>
                <w:szCs w:val="13"/>
                <w:b w:val="1"/>
                <w:bCs w:val="1"/>
                <w:color w:val="FFFFFF"/>
                <w:w w:val="97"/>
              </w:rPr>
              <w:t>Grant</w:t>
            </w:r>
          </w:p>
        </w:tc>
        <w:tc>
          <w:tcPr>
            <w:tcW w:w="0" w:type="dxa"/>
            <w:vAlign w:val="bottom"/>
          </w:tcPr>
          <w:p>
            <w:pPr>
              <w:spacing w:after="0"/>
              <w:rPr>
                <w:sz w:val="1"/>
                <w:szCs w:val="1"/>
                <w:color w:val="auto"/>
              </w:rPr>
            </w:pPr>
          </w:p>
        </w:tc>
      </w:tr>
      <w:tr>
        <w:trPr>
          <w:trHeight w:val="95"/>
        </w:trPr>
        <w:tc>
          <w:tcPr>
            <w:tcW w:w="1580" w:type="dxa"/>
            <w:vAlign w:val="bottom"/>
            <w:shd w:val="clear" w:color="auto" w:fill="052B82"/>
          </w:tcPr>
          <w:p>
            <w:pPr>
              <w:spacing w:after="0"/>
              <w:rPr>
                <w:sz w:val="8"/>
                <w:szCs w:val="8"/>
                <w:color w:val="auto"/>
              </w:rPr>
            </w:pPr>
          </w:p>
        </w:tc>
        <w:tc>
          <w:tcPr>
            <w:tcW w:w="1000" w:type="dxa"/>
            <w:vAlign w:val="bottom"/>
            <w:shd w:val="clear" w:color="auto" w:fill="052B82"/>
          </w:tcPr>
          <w:p>
            <w:pPr>
              <w:spacing w:after="0"/>
              <w:rPr>
                <w:sz w:val="8"/>
                <w:szCs w:val="8"/>
                <w:color w:val="auto"/>
              </w:rPr>
            </w:pPr>
          </w:p>
        </w:tc>
        <w:tc>
          <w:tcPr>
            <w:tcW w:w="2440" w:type="dxa"/>
            <w:vAlign w:val="bottom"/>
            <w:gridSpan w:val="3"/>
            <w:vMerge w:val="restart"/>
            <w:shd w:val="clear" w:color="auto" w:fill="052B82"/>
          </w:tcPr>
          <w:p>
            <w:pPr>
              <w:jc w:val="center"/>
              <w:ind w:right="9"/>
              <w:spacing w:after="0"/>
              <w:rPr>
                <w:sz w:val="20"/>
                <w:szCs w:val="20"/>
                <w:color w:val="auto"/>
              </w:rPr>
            </w:pPr>
            <w:r>
              <w:rPr>
                <w:rFonts w:ascii="Arial" w:cs="Arial" w:eastAsia="Arial" w:hAnsi="Arial"/>
                <w:sz w:val="14"/>
                <w:szCs w:val="14"/>
                <w:b w:val="1"/>
                <w:bCs w:val="1"/>
                <w:color w:val="FFFFFF"/>
              </w:rPr>
              <w:t>Estimated Possible</w:t>
            </w:r>
          </w:p>
        </w:tc>
        <w:tc>
          <w:tcPr>
            <w:tcW w:w="2180" w:type="dxa"/>
            <w:vAlign w:val="bottom"/>
            <w:gridSpan w:val="3"/>
            <w:vMerge w:val="continue"/>
            <w:shd w:val="clear" w:color="auto" w:fill="052B82"/>
          </w:tcPr>
          <w:p>
            <w:pPr>
              <w:spacing w:after="0"/>
              <w:rPr>
                <w:sz w:val="8"/>
                <w:szCs w:val="8"/>
                <w:color w:val="auto"/>
              </w:rPr>
            </w:pPr>
          </w:p>
        </w:tc>
        <w:tc>
          <w:tcPr>
            <w:tcW w:w="1100" w:type="dxa"/>
            <w:vAlign w:val="bottom"/>
            <w:vMerge w:val="restart"/>
            <w:shd w:val="clear" w:color="auto" w:fill="052B82"/>
          </w:tcPr>
          <w:p>
            <w:pPr>
              <w:jc w:val="center"/>
              <w:spacing w:after="0"/>
              <w:rPr>
                <w:sz w:val="20"/>
                <w:szCs w:val="20"/>
                <w:color w:val="auto"/>
              </w:rPr>
            </w:pPr>
            <w:r>
              <w:rPr>
                <w:rFonts w:ascii="Arial" w:cs="Arial" w:eastAsia="Arial" w:hAnsi="Arial"/>
                <w:sz w:val="13"/>
                <w:szCs w:val="13"/>
                <w:b w:val="1"/>
                <w:bCs w:val="1"/>
                <w:color w:val="FFFFFF"/>
                <w:w w:val="98"/>
              </w:rPr>
              <w:t>All Other</w:t>
            </w:r>
          </w:p>
        </w:tc>
        <w:tc>
          <w:tcPr>
            <w:tcW w:w="1100" w:type="dxa"/>
            <w:vAlign w:val="bottom"/>
            <w:vMerge w:val="restart"/>
            <w:shd w:val="clear" w:color="auto" w:fill="052B82"/>
          </w:tcPr>
          <w:p>
            <w:pPr>
              <w:jc w:val="center"/>
              <w:spacing w:after="0"/>
              <w:rPr>
                <w:sz w:val="20"/>
                <w:szCs w:val="20"/>
                <w:color w:val="auto"/>
              </w:rPr>
            </w:pPr>
            <w:r>
              <w:rPr>
                <w:rFonts w:ascii="Arial" w:cs="Arial" w:eastAsia="Arial" w:hAnsi="Arial"/>
                <w:sz w:val="13"/>
                <w:szCs w:val="13"/>
                <w:b w:val="1"/>
                <w:bCs w:val="1"/>
                <w:color w:val="FFFFFF"/>
                <w:w w:val="98"/>
              </w:rPr>
              <w:t>All Other</w:t>
            </w:r>
          </w:p>
        </w:tc>
        <w:tc>
          <w:tcPr>
            <w:tcW w:w="680" w:type="dxa"/>
            <w:vAlign w:val="bottom"/>
            <w:vMerge w:val="restart"/>
            <w:shd w:val="clear" w:color="auto" w:fill="052B82"/>
          </w:tcPr>
          <w:p>
            <w:pPr>
              <w:jc w:val="center"/>
              <w:spacing w:after="0"/>
              <w:rPr>
                <w:sz w:val="20"/>
                <w:szCs w:val="20"/>
                <w:color w:val="auto"/>
              </w:rPr>
            </w:pPr>
            <w:r>
              <w:rPr>
                <w:rFonts w:ascii="Arial" w:cs="Arial" w:eastAsia="Arial" w:hAnsi="Arial"/>
                <w:sz w:val="13"/>
                <w:szCs w:val="13"/>
                <w:b w:val="1"/>
                <w:bCs w:val="1"/>
                <w:color w:val="FFFFFF"/>
                <w:w w:val="96"/>
              </w:rPr>
              <w:t>Price of</w:t>
            </w:r>
          </w:p>
        </w:tc>
        <w:tc>
          <w:tcPr>
            <w:tcW w:w="940" w:type="dxa"/>
            <w:vAlign w:val="bottom"/>
            <w:vMerge w:val="restart"/>
            <w:shd w:val="clear" w:color="auto" w:fill="052B82"/>
          </w:tcPr>
          <w:p>
            <w:pPr>
              <w:jc w:val="center"/>
              <w:ind w:right="130"/>
              <w:spacing w:after="0"/>
              <w:rPr>
                <w:sz w:val="20"/>
                <w:szCs w:val="20"/>
                <w:color w:val="auto"/>
              </w:rPr>
            </w:pPr>
            <w:r>
              <w:rPr>
                <w:rFonts w:ascii="Arial" w:cs="Arial" w:eastAsia="Arial" w:hAnsi="Arial"/>
                <w:sz w:val="13"/>
                <w:szCs w:val="13"/>
                <w:b w:val="1"/>
                <w:bCs w:val="1"/>
                <w:color w:val="FFFFFF"/>
                <w:w w:val="96"/>
              </w:rPr>
              <w:t>Date Fair</w:t>
            </w:r>
          </w:p>
        </w:tc>
        <w:tc>
          <w:tcPr>
            <w:tcW w:w="0" w:type="dxa"/>
            <w:vAlign w:val="bottom"/>
          </w:tcPr>
          <w:p>
            <w:pPr>
              <w:spacing w:after="0"/>
              <w:rPr>
                <w:sz w:val="1"/>
                <w:szCs w:val="1"/>
                <w:color w:val="auto"/>
              </w:rPr>
            </w:pPr>
          </w:p>
        </w:tc>
      </w:tr>
      <w:tr>
        <w:trPr>
          <w:trHeight w:val="90"/>
        </w:trPr>
        <w:tc>
          <w:tcPr>
            <w:tcW w:w="1580" w:type="dxa"/>
            <w:vAlign w:val="bottom"/>
            <w:shd w:val="clear" w:color="auto" w:fill="052B82"/>
          </w:tcPr>
          <w:p>
            <w:pPr>
              <w:spacing w:after="0"/>
              <w:rPr>
                <w:sz w:val="7"/>
                <w:szCs w:val="7"/>
                <w:color w:val="auto"/>
              </w:rPr>
            </w:pPr>
          </w:p>
        </w:tc>
        <w:tc>
          <w:tcPr>
            <w:tcW w:w="1000" w:type="dxa"/>
            <w:vAlign w:val="bottom"/>
            <w:shd w:val="clear" w:color="auto" w:fill="052B82"/>
          </w:tcPr>
          <w:p>
            <w:pPr>
              <w:spacing w:after="0"/>
              <w:rPr>
                <w:sz w:val="7"/>
                <w:szCs w:val="7"/>
                <w:color w:val="auto"/>
              </w:rPr>
            </w:pPr>
          </w:p>
        </w:tc>
        <w:tc>
          <w:tcPr>
            <w:tcW w:w="2440" w:type="dxa"/>
            <w:vAlign w:val="bottom"/>
            <w:gridSpan w:val="3"/>
            <w:vMerge w:val="continue"/>
            <w:shd w:val="clear" w:color="auto" w:fill="052B82"/>
          </w:tcPr>
          <w:p>
            <w:pPr>
              <w:spacing w:after="0"/>
              <w:rPr>
                <w:sz w:val="7"/>
                <w:szCs w:val="7"/>
                <w:color w:val="auto"/>
              </w:rPr>
            </w:pPr>
          </w:p>
        </w:tc>
        <w:tc>
          <w:tcPr>
            <w:tcW w:w="2180" w:type="dxa"/>
            <w:vAlign w:val="bottom"/>
            <w:gridSpan w:val="3"/>
            <w:vMerge w:val="restart"/>
            <w:shd w:val="clear" w:color="auto" w:fill="052B82"/>
          </w:tcPr>
          <w:p>
            <w:pPr>
              <w:jc w:val="center"/>
              <w:spacing w:after="0"/>
              <w:rPr>
                <w:sz w:val="20"/>
                <w:szCs w:val="20"/>
                <w:color w:val="auto"/>
              </w:rPr>
            </w:pPr>
            <w:r>
              <w:rPr>
                <w:rFonts w:ascii="Arial" w:cs="Arial" w:eastAsia="Arial" w:hAnsi="Arial"/>
                <w:sz w:val="13"/>
                <w:szCs w:val="13"/>
                <w:b w:val="1"/>
                <w:bCs w:val="1"/>
                <w:color w:val="FFFFFF"/>
                <w:w w:val="98"/>
              </w:rPr>
              <w:t>Payouts Under</w:t>
            </w:r>
          </w:p>
        </w:tc>
        <w:tc>
          <w:tcPr>
            <w:tcW w:w="1100" w:type="dxa"/>
            <w:vAlign w:val="bottom"/>
            <w:vMerge w:val="continue"/>
            <w:shd w:val="clear" w:color="auto" w:fill="052B82"/>
          </w:tcPr>
          <w:p>
            <w:pPr>
              <w:spacing w:after="0"/>
              <w:rPr>
                <w:sz w:val="7"/>
                <w:szCs w:val="7"/>
                <w:color w:val="auto"/>
              </w:rPr>
            </w:pPr>
          </w:p>
        </w:tc>
        <w:tc>
          <w:tcPr>
            <w:tcW w:w="1100" w:type="dxa"/>
            <w:vAlign w:val="bottom"/>
            <w:vMerge w:val="continue"/>
            <w:shd w:val="clear" w:color="auto" w:fill="052B82"/>
          </w:tcPr>
          <w:p>
            <w:pPr>
              <w:spacing w:after="0"/>
              <w:rPr>
                <w:sz w:val="7"/>
                <w:szCs w:val="7"/>
                <w:color w:val="auto"/>
              </w:rPr>
            </w:pPr>
          </w:p>
        </w:tc>
        <w:tc>
          <w:tcPr>
            <w:tcW w:w="680" w:type="dxa"/>
            <w:vAlign w:val="bottom"/>
            <w:vMerge w:val="continue"/>
            <w:shd w:val="clear" w:color="auto" w:fill="052B82"/>
          </w:tcPr>
          <w:p>
            <w:pPr>
              <w:spacing w:after="0"/>
              <w:rPr>
                <w:sz w:val="7"/>
                <w:szCs w:val="7"/>
                <w:color w:val="auto"/>
              </w:rPr>
            </w:pPr>
          </w:p>
        </w:tc>
        <w:tc>
          <w:tcPr>
            <w:tcW w:w="940" w:type="dxa"/>
            <w:vAlign w:val="bottom"/>
            <w:vMerge w:val="continue"/>
            <w:shd w:val="clear" w:color="auto" w:fill="052B82"/>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580" w:type="dxa"/>
            <w:vAlign w:val="bottom"/>
            <w:shd w:val="clear" w:color="auto" w:fill="052B82"/>
          </w:tcPr>
          <w:p>
            <w:pPr>
              <w:spacing w:after="0"/>
              <w:rPr>
                <w:sz w:val="7"/>
                <w:szCs w:val="7"/>
                <w:color w:val="auto"/>
              </w:rPr>
            </w:pPr>
          </w:p>
        </w:tc>
        <w:tc>
          <w:tcPr>
            <w:tcW w:w="1000" w:type="dxa"/>
            <w:vAlign w:val="bottom"/>
            <w:shd w:val="clear" w:color="auto" w:fill="052B82"/>
          </w:tcPr>
          <w:p>
            <w:pPr>
              <w:spacing w:after="0"/>
              <w:rPr>
                <w:sz w:val="7"/>
                <w:szCs w:val="7"/>
                <w:color w:val="auto"/>
              </w:rPr>
            </w:pPr>
          </w:p>
        </w:tc>
        <w:tc>
          <w:tcPr>
            <w:tcW w:w="2440" w:type="dxa"/>
            <w:vAlign w:val="bottom"/>
            <w:gridSpan w:val="3"/>
            <w:vMerge w:val="restart"/>
            <w:shd w:val="clear" w:color="auto" w:fill="052B82"/>
          </w:tcPr>
          <w:p>
            <w:pPr>
              <w:jc w:val="center"/>
              <w:ind w:right="29"/>
              <w:spacing w:after="0"/>
              <w:rPr>
                <w:sz w:val="20"/>
                <w:szCs w:val="20"/>
                <w:color w:val="auto"/>
              </w:rPr>
            </w:pPr>
            <w:r>
              <w:rPr>
                <w:rFonts w:ascii="Arial" w:cs="Arial" w:eastAsia="Arial" w:hAnsi="Arial"/>
                <w:sz w:val="14"/>
                <w:szCs w:val="14"/>
                <w:b w:val="1"/>
                <w:bCs w:val="1"/>
                <w:color w:val="FFFFFF"/>
              </w:rPr>
              <w:t>Payouts Under Non-Equity</w:t>
            </w:r>
          </w:p>
        </w:tc>
        <w:tc>
          <w:tcPr>
            <w:tcW w:w="2180" w:type="dxa"/>
            <w:vAlign w:val="bottom"/>
            <w:gridSpan w:val="3"/>
            <w:vMerge w:val="continue"/>
            <w:shd w:val="clear" w:color="auto" w:fill="052B82"/>
          </w:tcPr>
          <w:p>
            <w:pPr>
              <w:spacing w:after="0"/>
              <w:rPr>
                <w:sz w:val="7"/>
                <w:szCs w:val="7"/>
                <w:color w:val="auto"/>
              </w:rPr>
            </w:pPr>
          </w:p>
        </w:tc>
        <w:tc>
          <w:tcPr>
            <w:tcW w:w="1100" w:type="dxa"/>
            <w:vAlign w:val="bottom"/>
            <w:shd w:val="clear" w:color="auto" w:fill="052B82"/>
          </w:tcPr>
          <w:p>
            <w:pPr>
              <w:jc w:val="center"/>
              <w:spacing w:after="0" w:line="81" w:lineRule="exact"/>
              <w:rPr>
                <w:sz w:val="20"/>
                <w:szCs w:val="20"/>
                <w:color w:val="auto"/>
              </w:rPr>
            </w:pPr>
            <w:r>
              <w:rPr>
                <w:rFonts w:ascii="Arial" w:cs="Arial" w:eastAsia="Arial" w:hAnsi="Arial"/>
                <w:sz w:val="9"/>
                <w:szCs w:val="9"/>
                <w:b w:val="1"/>
                <w:bCs w:val="1"/>
                <w:color w:val="FFFFFF"/>
              </w:rPr>
              <w:t>Stock Awards:</w:t>
            </w:r>
          </w:p>
        </w:tc>
        <w:tc>
          <w:tcPr>
            <w:tcW w:w="1100" w:type="dxa"/>
            <w:vAlign w:val="bottom"/>
            <w:shd w:val="clear" w:color="auto" w:fill="052B82"/>
          </w:tcPr>
          <w:p>
            <w:pPr>
              <w:jc w:val="center"/>
              <w:spacing w:after="0" w:line="81" w:lineRule="exact"/>
              <w:rPr>
                <w:sz w:val="20"/>
                <w:szCs w:val="20"/>
                <w:color w:val="auto"/>
              </w:rPr>
            </w:pPr>
            <w:r>
              <w:rPr>
                <w:rFonts w:ascii="Arial" w:cs="Arial" w:eastAsia="Arial" w:hAnsi="Arial"/>
                <w:sz w:val="9"/>
                <w:szCs w:val="9"/>
                <w:b w:val="1"/>
                <w:bCs w:val="1"/>
                <w:color w:val="FFFFFF"/>
              </w:rPr>
              <w:t>Option Awards:</w:t>
            </w:r>
          </w:p>
        </w:tc>
        <w:tc>
          <w:tcPr>
            <w:tcW w:w="680" w:type="dxa"/>
            <w:vAlign w:val="bottom"/>
            <w:shd w:val="clear" w:color="auto" w:fill="052B82"/>
          </w:tcPr>
          <w:p>
            <w:pPr>
              <w:ind w:left="160"/>
              <w:spacing w:after="0" w:line="81" w:lineRule="exact"/>
              <w:rPr>
                <w:sz w:val="20"/>
                <w:szCs w:val="20"/>
                <w:color w:val="auto"/>
              </w:rPr>
            </w:pPr>
            <w:r>
              <w:rPr>
                <w:rFonts w:ascii="Arial" w:cs="Arial" w:eastAsia="Arial" w:hAnsi="Arial"/>
                <w:sz w:val="9"/>
                <w:szCs w:val="9"/>
                <w:b w:val="1"/>
                <w:bCs w:val="1"/>
                <w:color w:val="FFFFFF"/>
              </w:rPr>
              <w:t>Option</w:t>
            </w:r>
          </w:p>
        </w:tc>
        <w:tc>
          <w:tcPr>
            <w:tcW w:w="940" w:type="dxa"/>
            <w:vAlign w:val="bottom"/>
            <w:shd w:val="clear" w:color="auto" w:fill="052B82"/>
          </w:tcPr>
          <w:p>
            <w:pPr>
              <w:jc w:val="center"/>
              <w:ind w:right="150"/>
              <w:spacing w:after="0" w:line="81" w:lineRule="exact"/>
              <w:rPr>
                <w:sz w:val="20"/>
                <w:szCs w:val="20"/>
                <w:color w:val="auto"/>
              </w:rPr>
            </w:pPr>
            <w:r>
              <w:rPr>
                <w:rFonts w:ascii="Arial" w:cs="Arial" w:eastAsia="Arial" w:hAnsi="Arial"/>
                <w:sz w:val="9"/>
                <w:szCs w:val="9"/>
                <w:b w:val="1"/>
                <w:bCs w:val="1"/>
                <w:color w:val="FFFFFF"/>
              </w:rPr>
              <w:t>Value of</w:t>
            </w:r>
          </w:p>
        </w:tc>
        <w:tc>
          <w:tcPr>
            <w:tcW w:w="0" w:type="dxa"/>
            <w:vAlign w:val="bottom"/>
          </w:tcPr>
          <w:p>
            <w:pPr>
              <w:spacing w:after="0"/>
              <w:rPr>
                <w:sz w:val="1"/>
                <w:szCs w:val="1"/>
                <w:color w:val="auto"/>
              </w:rPr>
            </w:pPr>
          </w:p>
        </w:tc>
      </w:tr>
      <w:tr>
        <w:trPr>
          <w:trHeight w:val="135"/>
        </w:trPr>
        <w:tc>
          <w:tcPr>
            <w:tcW w:w="1580" w:type="dxa"/>
            <w:vAlign w:val="bottom"/>
            <w:shd w:val="clear" w:color="auto" w:fill="052B82"/>
          </w:tcPr>
          <w:p>
            <w:pPr>
              <w:spacing w:after="0"/>
              <w:rPr>
                <w:sz w:val="11"/>
                <w:szCs w:val="11"/>
                <w:color w:val="auto"/>
              </w:rPr>
            </w:pPr>
          </w:p>
        </w:tc>
        <w:tc>
          <w:tcPr>
            <w:tcW w:w="1000" w:type="dxa"/>
            <w:vAlign w:val="bottom"/>
            <w:shd w:val="clear" w:color="auto" w:fill="052B82"/>
          </w:tcPr>
          <w:p>
            <w:pPr>
              <w:spacing w:after="0"/>
              <w:rPr>
                <w:sz w:val="11"/>
                <w:szCs w:val="11"/>
                <w:color w:val="auto"/>
              </w:rPr>
            </w:pPr>
          </w:p>
        </w:tc>
        <w:tc>
          <w:tcPr>
            <w:tcW w:w="2440" w:type="dxa"/>
            <w:vAlign w:val="bottom"/>
            <w:gridSpan w:val="3"/>
            <w:vMerge w:val="continue"/>
            <w:shd w:val="clear" w:color="auto" w:fill="052B82"/>
          </w:tcPr>
          <w:p>
            <w:pPr>
              <w:spacing w:after="0"/>
              <w:rPr>
                <w:sz w:val="11"/>
                <w:szCs w:val="11"/>
                <w:color w:val="auto"/>
              </w:rPr>
            </w:pPr>
          </w:p>
        </w:tc>
        <w:tc>
          <w:tcPr>
            <w:tcW w:w="2180" w:type="dxa"/>
            <w:vAlign w:val="bottom"/>
            <w:gridSpan w:val="3"/>
            <w:shd w:val="clear" w:color="auto" w:fill="052B82"/>
          </w:tcPr>
          <w:p>
            <w:pPr>
              <w:jc w:val="center"/>
              <w:spacing w:after="0" w:line="135" w:lineRule="exact"/>
              <w:rPr>
                <w:sz w:val="20"/>
                <w:szCs w:val="20"/>
                <w:color w:val="auto"/>
              </w:rPr>
            </w:pPr>
            <w:r>
              <w:rPr>
                <w:rFonts w:ascii="Arial" w:cs="Arial" w:eastAsia="Arial" w:hAnsi="Arial"/>
                <w:sz w:val="13"/>
                <w:szCs w:val="13"/>
                <w:b w:val="1"/>
                <w:bCs w:val="1"/>
                <w:color w:val="FFFFFF"/>
                <w:w w:val="98"/>
              </w:rPr>
              <w:t>Equity Incentive</w:t>
            </w:r>
          </w:p>
        </w:tc>
        <w:tc>
          <w:tcPr>
            <w:tcW w:w="1100" w:type="dxa"/>
            <w:vAlign w:val="bottom"/>
            <w:shd w:val="clear" w:color="auto" w:fill="052B82"/>
          </w:tcPr>
          <w:p>
            <w:pPr>
              <w:jc w:val="center"/>
              <w:spacing w:after="0" w:line="135" w:lineRule="exact"/>
              <w:rPr>
                <w:sz w:val="20"/>
                <w:szCs w:val="20"/>
                <w:color w:val="auto"/>
              </w:rPr>
            </w:pPr>
            <w:r>
              <w:rPr>
                <w:rFonts w:ascii="Arial" w:cs="Arial" w:eastAsia="Arial" w:hAnsi="Arial"/>
                <w:sz w:val="13"/>
                <w:szCs w:val="13"/>
                <w:b w:val="1"/>
                <w:bCs w:val="1"/>
                <w:color w:val="FFFFFF"/>
                <w:w w:val="95"/>
              </w:rPr>
              <w:t>Number of</w:t>
            </w:r>
          </w:p>
        </w:tc>
        <w:tc>
          <w:tcPr>
            <w:tcW w:w="1100" w:type="dxa"/>
            <w:vAlign w:val="bottom"/>
            <w:shd w:val="clear" w:color="auto" w:fill="052B82"/>
          </w:tcPr>
          <w:p>
            <w:pPr>
              <w:jc w:val="center"/>
              <w:spacing w:after="0" w:line="135" w:lineRule="exact"/>
              <w:rPr>
                <w:sz w:val="20"/>
                <w:szCs w:val="20"/>
                <w:color w:val="auto"/>
              </w:rPr>
            </w:pPr>
            <w:r>
              <w:rPr>
                <w:rFonts w:ascii="Arial" w:cs="Arial" w:eastAsia="Arial" w:hAnsi="Arial"/>
                <w:sz w:val="13"/>
                <w:szCs w:val="13"/>
                <w:b w:val="1"/>
                <w:bCs w:val="1"/>
                <w:color w:val="FFFFFF"/>
                <w:w w:val="95"/>
              </w:rPr>
              <w:t>Number of</w:t>
            </w:r>
          </w:p>
        </w:tc>
        <w:tc>
          <w:tcPr>
            <w:tcW w:w="680" w:type="dxa"/>
            <w:vAlign w:val="bottom"/>
            <w:shd w:val="clear" w:color="auto" w:fill="052B82"/>
          </w:tcPr>
          <w:p>
            <w:pPr>
              <w:ind w:left="120"/>
              <w:spacing w:after="0" w:line="135" w:lineRule="exact"/>
              <w:rPr>
                <w:sz w:val="20"/>
                <w:szCs w:val="20"/>
                <w:color w:val="auto"/>
              </w:rPr>
            </w:pPr>
            <w:r>
              <w:rPr>
                <w:rFonts w:ascii="Arial" w:cs="Arial" w:eastAsia="Arial" w:hAnsi="Arial"/>
                <w:sz w:val="13"/>
                <w:szCs w:val="13"/>
                <w:b w:val="1"/>
                <w:bCs w:val="1"/>
                <w:color w:val="FFFFFF"/>
              </w:rPr>
              <w:t>Awards</w:t>
            </w:r>
          </w:p>
        </w:tc>
        <w:tc>
          <w:tcPr>
            <w:tcW w:w="940" w:type="dxa"/>
            <w:vAlign w:val="bottom"/>
            <w:shd w:val="clear" w:color="auto" w:fill="052B82"/>
          </w:tcPr>
          <w:p>
            <w:pPr>
              <w:jc w:val="center"/>
              <w:ind w:right="150"/>
              <w:spacing w:after="0" w:line="135" w:lineRule="exact"/>
              <w:rPr>
                <w:sz w:val="20"/>
                <w:szCs w:val="20"/>
                <w:color w:val="auto"/>
              </w:rPr>
            </w:pPr>
            <w:r>
              <w:rPr>
                <w:rFonts w:ascii="Arial" w:cs="Arial" w:eastAsia="Arial" w:hAnsi="Arial"/>
                <w:sz w:val="13"/>
                <w:szCs w:val="13"/>
                <w:b w:val="1"/>
                <w:bCs w:val="1"/>
                <w:color w:val="FFFFFF"/>
                <w:w w:val="96"/>
              </w:rPr>
              <w:t>Stock and</w:t>
            </w:r>
          </w:p>
        </w:tc>
        <w:tc>
          <w:tcPr>
            <w:tcW w:w="0" w:type="dxa"/>
            <w:vAlign w:val="bottom"/>
          </w:tcPr>
          <w:p>
            <w:pPr>
              <w:spacing w:after="0"/>
              <w:rPr>
                <w:sz w:val="1"/>
                <w:szCs w:val="1"/>
                <w:color w:val="auto"/>
              </w:rPr>
            </w:pPr>
          </w:p>
        </w:tc>
      </w:tr>
      <w:tr>
        <w:trPr>
          <w:trHeight w:val="140"/>
        </w:trPr>
        <w:tc>
          <w:tcPr>
            <w:tcW w:w="1580" w:type="dxa"/>
            <w:vAlign w:val="bottom"/>
            <w:shd w:val="clear" w:color="auto" w:fill="052B82"/>
          </w:tcPr>
          <w:p>
            <w:pPr>
              <w:spacing w:after="0"/>
              <w:rPr>
                <w:sz w:val="12"/>
                <w:szCs w:val="12"/>
                <w:color w:val="auto"/>
              </w:rPr>
            </w:pPr>
          </w:p>
        </w:tc>
        <w:tc>
          <w:tcPr>
            <w:tcW w:w="1000" w:type="dxa"/>
            <w:vAlign w:val="bottom"/>
            <w:shd w:val="clear" w:color="auto" w:fill="052B82"/>
          </w:tcPr>
          <w:p>
            <w:pPr>
              <w:spacing w:after="0"/>
              <w:rPr>
                <w:sz w:val="12"/>
                <w:szCs w:val="12"/>
                <w:color w:val="auto"/>
              </w:rPr>
            </w:pPr>
          </w:p>
        </w:tc>
        <w:tc>
          <w:tcPr>
            <w:tcW w:w="2440" w:type="dxa"/>
            <w:vAlign w:val="bottom"/>
            <w:gridSpan w:val="3"/>
            <w:shd w:val="clear" w:color="auto" w:fill="052B82"/>
          </w:tcPr>
          <w:p>
            <w:pPr>
              <w:jc w:val="center"/>
              <w:ind w:right="29"/>
              <w:spacing w:after="0" w:line="140" w:lineRule="exact"/>
              <w:rPr>
                <w:sz w:val="20"/>
                <w:szCs w:val="20"/>
                <w:color w:val="auto"/>
              </w:rPr>
            </w:pPr>
            <w:r>
              <w:rPr>
                <w:rFonts w:ascii="Arial" w:cs="Arial" w:eastAsia="Arial" w:hAnsi="Arial"/>
                <w:sz w:val="14"/>
                <w:szCs w:val="14"/>
                <w:b w:val="1"/>
                <w:bCs w:val="1"/>
                <w:color w:val="FFFFFF"/>
              </w:rPr>
              <w:t>Incentive Plan Awards (1)</w:t>
            </w:r>
          </w:p>
        </w:tc>
        <w:tc>
          <w:tcPr>
            <w:tcW w:w="2180" w:type="dxa"/>
            <w:vAlign w:val="bottom"/>
            <w:gridSpan w:val="3"/>
            <w:shd w:val="clear" w:color="auto" w:fill="052B82"/>
          </w:tcPr>
          <w:p>
            <w:pPr>
              <w:jc w:val="center"/>
              <w:spacing w:after="0" w:line="140" w:lineRule="exact"/>
              <w:rPr>
                <w:sz w:val="20"/>
                <w:szCs w:val="20"/>
                <w:color w:val="auto"/>
              </w:rPr>
            </w:pPr>
            <w:r>
              <w:rPr>
                <w:rFonts w:ascii="Arial" w:cs="Arial" w:eastAsia="Arial" w:hAnsi="Arial"/>
                <w:sz w:val="13"/>
                <w:szCs w:val="13"/>
                <w:b w:val="1"/>
                <w:bCs w:val="1"/>
                <w:color w:val="FFFFFF"/>
                <w:w w:val="96"/>
              </w:rPr>
              <w:t>Plan Awards (2)</w:t>
            </w:r>
          </w:p>
        </w:tc>
        <w:tc>
          <w:tcPr>
            <w:tcW w:w="1100" w:type="dxa"/>
            <w:vAlign w:val="bottom"/>
            <w:shd w:val="clear" w:color="auto" w:fill="052B82"/>
          </w:tcPr>
          <w:p>
            <w:pPr>
              <w:jc w:val="center"/>
              <w:spacing w:after="0" w:line="140" w:lineRule="exact"/>
              <w:rPr>
                <w:sz w:val="20"/>
                <w:szCs w:val="20"/>
                <w:color w:val="auto"/>
              </w:rPr>
            </w:pPr>
            <w:r>
              <w:rPr>
                <w:rFonts w:ascii="Arial" w:cs="Arial" w:eastAsia="Arial" w:hAnsi="Arial"/>
                <w:sz w:val="13"/>
                <w:szCs w:val="13"/>
                <w:b w:val="1"/>
                <w:bCs w:val="1"/>
                <w:color w:val="FFFFFF"/>
                <w:w w:val="97"/>
              </w:rPr>
              <w:t>Shares of</w:t>
            </w:r>
          </w:p>
        </w:tc>
        <w:tc>
          <w:tcPr>
            <w:tcW w:w="1100" w:type="dxa"/>
            <w:vAlign w:val="bottom"/>
            <w:shd w:val="clear" w:color="auto" w:fill="052B82"/>
          </w:tcPr>
          <w:p>
            <w:pPr>
              <w:jc w:val="center"/>
              <w:spacing w:after="0" w:line="140" w:lineRule="exact"/>
              <w:rPr>
                <w:sz w:val="20"/>
                <w:szCs w:val="20"/>
                <w:color w:val="auto"/>
              </w:rPr>
            </w:pPr>
            <w:r>
              <w:rPr>
                <w:rFonts w:ascii="Arial" w:cs="Arial" w:eastAsia="Arial" w:hAnsi="Arial"/>
                <w:sz w:val="13"/>
                <w:szCs w:val="13"/>
                <w:b w:val="1"/>
                <w:bCs w:val="1"/>
                <w:color w:val="FFFFFF"/>
                <w:w w:val="99"/>
              </w:rPr>
              <w:t>Securities</w:t>
            </w:r>
          </w:p>
        </w:tc>
        <w:tc>
          <w:tcPr>
            <w:tcW w:w="680" w:type="dxa"/>
            <w:vAlign w:val="bottom"/>
            <w:shd w:val="clear" w:color="auto" w:fill="052B82"/>
          </w:tcPr>
          <w:p>
            <w:pPr>
              <w:ind w:left="180"/>
              <w:spacing w:after="0" w:line="140" w:lineRule="exact"/>
              <w:rPr>
                <w:sz w:val="20"/>
                <w:szCs w:val="20"/>
                <w:color w:val="auto"/>
              </w:rPr>
            </w:pPr>
            <w:r>
              <w:rPr>
                <w:rFonts w:ascii="Arial" w:cs="Arial" w:eastAsia="Arial" w:hAnsi="Arial"/>
                <w:sz w:val="13"/>
                <w:szCs w:val="13"/>
                <w:b w:val="1"/>
                <w:bCs w:val="1"/>
                <w:color w:val="FFFFFF"/>
              </w:rPr>
              <w:t>($ Per</w:t>
            </w:r>
          </w:p>
        </w:tc>
        <w:tc>
          <w:tcPr>
            <w:tcW w:w="940" w:type="dxa"/>
            <w:vAlign w:val="bottom"/>
            <w:shd w:val="clear" w:color="auto" w:fill="052B82"/>
          </w:tcPr>
          <w:p>
            <w:pPr>
              <w:jc w:val="center"/>
              <w:ind w:right="150"/>
              <w:spacing w:after="0" w:line="140" w:lineRule="exact"/>
              <w:rPr>
                <w:sz w:val="20"/>
                <w:szCs w:val="20"/>
                <w:color w:val="auto"/>
              </w:rPr>
            </w:pPr>
            <w:r>
              <w:rPr>
                <w:rFonts w:ascii="Arial" w:cs="Arial" w:eastAsia="Arial" w:hAnsi="Arial"/>
                <w:sz w:val="13"/>
                <w:szCs w:val="13"/>
                <w:b w:val="1"/>
                <w:bCs w:val="1"/>
                <w:color w:val="FFFFFF"/>
                <w:w w:val="95"/>
              </w:rPr>
              <w:t>Option</w:t>
            </w:r>
          </w:p>
        </w:tc>
        <w:tc>
          <w:tcPr>
            <w:tcW w:w="0" w:type="dxa"/>
            <w:vAlign w:val="bottom"/>
          </w:tcPr>
          <w:p>
            <w:pPr>
              <w:spacing w:after="0"/>
              <w:rPr>
                <w:sz w:val="1"/>
                <w:szCs w:val="1"/>
                <w:color w:val="auto"/>
              </w:rPr>
            </w:pPr>
          </w:p>
        </w:tc>
      </w:tr>
      <w:tr>
        <w:trPr>
          <w:trHeight w:val="144"/>
        </w:trPr>
        <w:tc>
          <w:tcPr>
            <w:tcW w:w="1580" w:type="dxa"/>
            <w:vAlign w:val="bottom"/>
            <w:vMerge w:val="restart"/>
            <w:shd w:val="clear" w:color="auto" w:fill="052B82"/>
          </w:tcPr>
          <w:p>
            <w:pPr>
              <w:ind w:left="20"/>
              <w:spacing w:after="0"/>
              <w:rPr>
                <w:sz w:val="20"/>
                <w:szCs w:val="20"/>
                <w:color w:val="auto"/>
              </w:rPr>
            </w:pPr>
            <w:r>
              <w:rPr>
                <w:rFonts w:ascii="Arial" w:cs="Arial" w:eastAsia="Arial" w:hAnsi="Arial"/>
                <w:sz w:val="14"/>
                <w:szCs w:val="14"/>
                <w:b w:val="1"/>
                <w:bCs w:val="1"/>
                <w:color w:val="FFFFFF"/>
              </w:rPr>
              <w:t>Name</w:t>
            </w:r>
          </w:p>
        </w:tc>
        <w:tc>
          <w:tcPr>
            <w:tcW w:w="1000" w:type="dxa"/>
            <w:vAlign w:val="bottom"/>
            <w:shd w:val="clear" w:color="auto" w:fill="052B82"/>
          </w:tcPr>
          <w:p>
            <w:pPr>
              <w:jc w:val="right"/>
              <w:ind w:right="289"/>
              <w:spacing w:after="0" w:line="144" w:lineRule="exact"/>
              <w:rPr>
                <w:sz w:val="20"/>
                <w:szCs w:val="20"/>
                <w:color w:val="auto"/>
              </w:rPr>
            </w:pPr>
            <w:r>
              <w:rPr>
                <w:rFonts w:ascii="Arial" w:cs="Arial" w:eastAsia="Arial" w:hAnsi="Arial"/>
                <w:sz w:val="13"/>
                <w:szCs w:val="13"/>
                <w:b w:val="1"/>
                <w:bCs w:val="1"/>
                <w:color w:val="FFFFFF"/>
              </w:rPr>
              <w:t>Grant</w:t>
            </w:r>
          </w:p>
        </w:tc>
        <w:tc>
          <w:tcPr>
            <w:tcW w:w="720" w:type="dxa"/>
            <w:vAlign w:val="bottom"/>
            <w:shd w:val="clear" w:color="auto" w:fill="052B82"/>
          </w:tcPr>
          <w:p>
            <w:pPr>
              <w:spacing w:after="0" w:line="144" w:lineRule="exact"/>
              <w:rPr>
                <w:sz w:val="20"/>
                <w:szCs w:val="20"/>
                <w:color w:val="auto"/>
              </w:rPr>
            </w:pPr>
            <w:r>
              <w:rPr>
                <w:rFonts w:ascii="Arial" w:cs="Arial" w:eastAsia="Arial" w:hAnsi="Arial"/>
                <w:sz w:val="13"/>
                <w:szCs w:val="13"/>
                <w:b w:val="1"/>
                <w:bCs w:val="1"/>
                <w:color w:val="FFFFFF"/>
              </w:rPr>
              <w:t>Threshold</w:t>
            </w:r>
          </w:p>
        </w:tc>
        <w:tc>
          <w:tcPr>
            <w:tcW w:w="880" w:type="dxa"/>
            <w:vAlign w:val="bottom"/>
            <w:shd w:val="clear" w:color="auto" w:fill="052B82"/>
          </w:tcPr>
          <w:p>
            <w:pPr>
              <w:jc w:val="center"/>
              <w:spacing w:after="0" w:line="144" w:lineRule="exact"/>
              <w:rPr>
                <w:sz w:val="20"/>
                <w:szCs w:val="20"/>
                <w:color w:val="auto"/>
              </w:rPr>
            </w:pPr>
            <w:r>
              <w:rPr>
                <w:rFonts w:ascii="Arial" w:cs="Arial" w:eastAsia="Arial" w:hAnsi="Arial"/>
                <w:sz w:val="13"/>
                <w:szCs w:val="13"/>
                <w:b w:val="1"/>
                <w:bCs w:val="1"/>
                <w:color w:val="FFFFFF"/>
                <w:w w:val="90"/>
              </w:rPr>
              <w:t>Target</w:t>
            </w:r>
          </w:p>
        </w:tc>
        <w:tc>
          <w:tcPr>
            <w:tcW w:w="840" w:type="dxa"/>
            <w:vAlign w:val="bottom"/>
            <w:shd w:val="clear" w:color="auto" w:fill="052B82"/>
          </w:tcPr>
          <w:p>
            <w:pPr>
              <w:ind w:left="120"/>
              <w:spacing w:after="0" w:line="144" w:lineRule="exact"/>
              <w:rPr>
                <w:sz w:val="20"/>
                <w:szCs w:val="20"/>
                <w:color w:val="auto"/>
              </w:rPr>
            </w:pPr>
            <w:r>
              <w:rPr>
                <w:rFonts w:ascii="Arial" w:cs="Arial" w:eastAsia="Arial" w:hAnsi="Arial"/>
                <w:sz w:val="13"/>
                <w:szCs w:val="13"/>
                <w:b w:val="1"/>
                <w:bCs w:val="1"/>
                <w:color w:val="FFFFFF"/>
              </w:rPr>
              <w:t>Maximum</w:t>
            </w:r>
          </w:p>
        </w:tc>
        <w:tc>
          <w:tcPr>
            <w:tcW w:w="820" w:type="dxa"/>
            <w:vAlign w:val="bottom"/>
            <w:shd w:val="clear" w:color="auto" w:fill="052B82"/>
          </w:tcPr>
          <w:p>
            <w:pPr>
              <w:ind w:left="80"/>
              <w:spacing w:after="0" w:line="144" w:lineRule="exact"/>
              <w:rPr>
                <w:sz w:val="20"/>
                <w:szCs w:val="20"/>
                <w:color w:val="auto"/>
              </w:rPr>
            </w:pPr>
            <w:r>
              <w:rPr>
                <w:rFonts w:ascii="Arial" w:cs="Arial" w:eastAsia="Arial" w:hAnsi="Arial"/>
                <w:sz w:val="13"/>
                <w:szCs w:val="13"/>
                <w:b w:val="1"/>
                <w:bCs w:val="1"/>
                <w:color w:val="FFFFFF"/>
              </w:rPr>
              <w:t>Threshold</w:t>
            </w:r>
          </w:p>
        </w:tc>
        <w:tc>
          <w:tcPr>
            <w:tcW w:w="640" w:type="dxa"/>
            <w:vAlign w:val="bottom"/>
            <w:shd w:val="clear" w:color="auto" w:fill="052B82"/>
          </w:tcPr>
          <w:p>
            <w:pPr>
              <w:jc w:val="center"/>
              <w:spacing w:after="0" w:line="144" w:lineRule="exact"/>
              <w:rPr>
                <w:sz w:val="20"/>
                <w:szCs w:val="20"/>
                <w:color w:val="auto"/>
              </w:rPr>
            </w:pPr>
            <w:r>
              <w:rPr>
                <w:rFonts w:ascii="Arial" w:cs="Arial" w:eastAsia="Arial" w:hAnsi="Arial"/>
                <w:sz w:val="13"/>
                <w:szCs w:val="13"/>
                <w:b w:val="1"/>
                <w:bCs w:val="1"/>
                <w:color w:val="FFFFFF"/>
                <w:w w:val="95"/>
              </w:rPr>
              <w:t>Target</w:t>
            </w:r>
          </w:p>
        </w:tc>
        <w:tc>
          <w:tcPr>
            <w:tcW w:w="720" w:type="dxa"/>
            <w:vAlign w:val="bottom"/>
            <w:shd w:val="clear" w:color="auto" w:fill="052B82"/>
          </w:tcPr>
          <w:p>
            <w:pPr>
              <w:jc w:val="right"/>
              <w:spacing w:after="0" w:line="144" w:lineRule="exact"/>
              <w:rPr>
                <w:sz w:val="20"/>
                <w:szCs w:val="20"/>
                <w:color w:val="auto"/>
              </w:rPr>
            </w:pPr>
            <w:r>
              <w:rPr>
                <w:rFonts w:ascii="Arial" w:cs="Arial" w:eastAsia="Arial" w:hAnsi="Arial"/>
                <w:sz w:val="13"/>
                <w:szCs w:val="13"/>
                <w:b w:val="1"/>
                <w:bCs w:val="1"/>
                <w:color w:val="FFFFFF"/>
              </w:rPr>
              <w:t>Maximum</w:t>
            </w:r>
          </w:p>
        </w:tc>
        <w:tc>
          <w:tcPr>
            <w:tcW w:w="1100" w:type="dxa"/>
            <w:vAlign w:val="bottom"/>
            <w:shd w:val="clear" w:color="auto" w:fill="052B82"/>
          </w:tcPr>
          <w:p>
            <w:pPr>
              <w:jc w:val="center"/>
              <w:spacing w:after="0" w:line="144" w:lineRule="exact"/>
              <w:rPr>
                <w:sz w:val="20"/>
                <w:szCs w:val="20"/>
                <w:color w:val="auto"/>
              </w:rPr>
            </w:pPr>
            <w:r>
              <w:rPr>
                <w:rFonts w:ascii="Arial" w:cs="Arial" w:eastAsia="Arial" w:hAnsi="Arial"/>
                <w:sz w:val="13"/>
                <w:szCs w:val="13"/>
                <w:b w:val="1"/>
                <w:bCs w:val="1"/>
                <w:color w:val="FFFFFF"/>
                <w:w w:val="97"/>
              </w:rPr>
              <w:t>Stock or Units</w:t>
            </w:r>
          </w:p>
        </w:tc>
        <w:tc>
          <w:tcPr>
            <w:tcW w:w="1100" w:type="dxa"/>
            <w:vAlign w:val="bottom"/>
            <w:shd w:val="clear" w:color="auto" w:fill="052B82"/>
          </w:tcPr>
          <w:p>
            <w:pPr>
              <w:jc w:val="center"/>
              <w:spacing w:after="0" w:line="144" w:lineRule="exact"/>
              <w:rPr>
                <w:sz w:val="20"/>
                <w:szCs w:val="20"/>
                <w:color w:val="auto"/>
              </w:rPr>
            </w:pPr>
            <w:r>
              <w:rPr>
                <w:rFonts w:ascii="Arial" w:cs="Arial" w:eastAsia="Arial" w:hAnsi="Arial"/>
                <w:sz w:val="13"/>
                <w:szCs w:val="13"/>
                <w:b w:val="1"/>
                <w:bCs w:val="1"/>
                <w:color w:val="FFFFFF"/>
                <w:w w:val="97"/>
              </w:rPr>
              <w:t>Underlying</w:t>
            </w:r>
          </w:p>
        </w:tc>
        <w:tc>
          <w:tcPr>
            <w:tcW w:w="680" w:type="dxa"/>
            <w:vAlign w:val="bottom"/>
            <w:shd w:val="clear" w:color="auto" w:fill="052B82"/>
          </w:tcPr>
          <w:p>
            <w:pPr>
              <w:ind w:left="160"/>
              <w:spacing w:after="0" w:line="144" w:lineRule="exact"/>
              <w:rPr>
                <w:sz w:val="20"/>
                <w:szCs w:val="20"/>
                <w:color w:val="auto"/>
              </w:rPr>
            </w:pPr>
            <w:r>
              <w:rPr>
                <w:rFonts w:ascii="Arial" w:cs="Arial" w:eastAsia="Arial" w:hAnsi="Arial"/>
                <w:sz w:val="13"/>
                <w:szCs w:val="13"/>
                <w:b w:val="1"/>
                <w:bCs w:val="1"/>
                <w:color w:val="FFFFFF"/>
              </w:rPr>
              <w:t>Share)</w:t>
            </w:r>
          </w:p>
        </w:tc>
        <w:tc>
          <w:tcPr>
            <w:tcW w:w="940" w:type="dxa"/>
            <w:vAlign w:val="bottom"/>
            <w:shd w:val="clear" w:color="auto" w:fill="052B82"/>
          </w:tcPr>
          <w:p>
            <w:pPr>
              <w:jc w:val="center"/>
              <w:ind w:right="130"/>
              <w:spacing w:after="0" w:line="144" w:lineRule="exact"/>
              <w:rPr>
                <w:sz w:val="20"/>
                <w:szCs w:val="20"/>
                <w:color w:val="auto"/>
              </w:rPr>
            </w:pPr>
            <w:r>
              <w:rPr>
                <w:rFonts w:ascii="Arial" w:cs="Arial" w:eastAsia="Arial" w:hAnsi="Arial"/>
                <w:sz w:val="13"/>
                <w:szCs w:val="13"/>
                <w:b w:val="1"/>
                <w:bCs w:val="1"/>
                <w:color w:val="FFFFFF"/>
                <w:w w:val="97"/>
              </w:rPr>
              <w:t>Awards</w:t>
            </w:r>
          </w:p>
        </w:tc>
        <w:tc>
          <w:tcPr>
            <w:tcW w:w="0" w:type="dxa"/>
            <w:vAlign w:val="bottom"/>
          </w:tcPr>
          <w:p>
            <w:pPr>
              <w:spacing w:after="0"/>
              <w:rPr>
                <w:sz w:val="1"/>
                <w:szCs w:val="1"/>
                <w:color w:val="auto"/>
              </w:rPr>
            </w:pPr>
          </w:p>
        </w:tc>
      </w:tr>
      <w:tr>
        <w:trPr>
          <w:trHeight w:val="162"/>
        </w:trPr>
        <w:tc>
          <w:tcPr>
            <w:tcW w:w="1580" w:type="dxa"/>
            <w:vAlign w:val="bottom"/>
            <w:vMerge w:val="continue"/>
            <w:shd w:val="clear" w:color="auto" w:fill="052B82"/>
          </w:tcPr>
          <w:p>
            <w:pPr>
              <w:spacing w:after="0"/>
              <w:rPr>
                <w:sz w:val="14"/>
                <w:szCs w:val="14"/>
                <w:color w:val="auto"/>
              </w:rPr>
            </w:pPr>
          </w:p>
        </w:tc>
        <w:tc>
          <w:tcPr>
            <w:tcW w:w="1000" w:type="dxa"/>
            <w:vAlign w:val="bottom"/>
            <w:shd w:val="clear" w:color="auto" w:fill="052B82"/>
          </w:tcPr>
          <w:p>
            <w:pPr>
              <w:jc w:val="right"/>
              <w:ind w:right="309"/>
              <w:spacing w:after="0"/>
              <w:rPr>
                <w:sz w:val="20"/>
                <w:szCs w:val="20"/>
                <w:color w:val="auto"/>
              </w:rPr>
            </w:pPr>
            <w:r>
              <w:rPr>
                <w:rFonts w:ascii="Arial" w:cs="Arial" w:eastAsia="Arial" w:hAnsi="Arial"/>
                <w:sz w:val="13"/>
                <w:szCs w:val="13"/>
                <w:b w:val="1"/>
                <w:bCs w:val="1"/>
                <w:color w:val="FFFFFF"/>
              </w:rPr>
              <w:t>Date</w:t>
            </w:r>
          </w:p>
        </w:tc>
        <w:tc>
          <w:tcPr>
            <w:tcW w:w="720" w:type="dxa"/>
            <w:vAlign w:val="bottom"/>
            <w:shd w:val="clear" w:color="auto" w:fill="052B82"/>
          </w:tcPr>
          <w:p>
            <w:pPr>
              <w:ind w:left="240"/>
              <w:spacing w:after="0"/>
              <w:rPr>
                <w:sz w:val="20"/>
                <w:szCs w:val="20"/>
                <w:color w:val="auto"/>
              </w:rPr>
            </w:pPr>
            <w:r>
              <w:rPr>
                <w:rFonts w:ascii="Arial" w:cs="Arial" w:eastAsia="Arial" w:hAnsi="Arial"/>
                <w:sz w:val="13"/>
                <w:szCs w:val="13"/>
                <w:b w:val="1"/>
                <w:bCs w:val="1"/>
                <w:color w:val="FFFFFF"/>
              </w:rPr>
              <w:t>($)</w:t>
            </w:r>
          </w:p>
        </w:tc>
        <w:tc>
          <w:tcPr>
            <w:tcW w:w="880" w:type="dxa"/>
            <w:vAlign w:val="bottom"/>
            <w:shd w:val="clear" w:color="auto" w:fill="052B82"/>
          </w:tcPr>
          <w:p>
            <w:pPr>
              <w:jc w:val="center"/>
              <w:spacing w:after="0"/>
              <w:rPr>
                <w:sz w:val="20"/>
                <w:szCs w:val="20"/>
                <w:color w:val="auto"/>
              </w:rPr>
            </w:pPr>
            <w:r>
              <w:rPr>
                <w:rFonts w:ascii="Arial" w:cs="Arial" w:eastAsia="Arial" w:hAnsi="Arial"/>
                <w:sz w:val="13"/>
                <w:szCs w:val="13"/>
                <w:b w:val="1"/>
                <w:bCs w:val="1"/>
                <w:color w:val="FFFFFF"/>
              </w:rPr>
              <w:t>($)</w:t>
            </w:r>
          </w:p>
        </w:tc>
        <w:tc>
          <w:tcPr>
            <w:tcW w:w="840" w:type="dxa"/>
            <w:vAlign w:val="bottom"/>
            <w:shd w:val="clear" w:color="auto" w:fill="052B82"/>
          </w:tcPr>
          <w:p>
            <w:pPr>
              <w:ind w:left="320"/>
              <w:spacing w:after="0"/>
              <w:rPr>
                <w:sz w:val="20"/>
                <w:szCs w:val="20"/>
                <w:color w:val="auto"/>
              </w:rPr>
            </w:pPr>
            <w:r>
              <w:rPr>
                <w:rFonts w:ascii="Arial" w:cs="Arial" w:eastAsia="Arial" w:hAnsi="Arial"/>
                <w:sz w:val="13"/>
                <w:szCs w:val="13"/>
                <w:b w:val="1"/>
                <w:bCs w:val="1"/>
                <w:color w:val="FFFFFF"/>
              </w:rPr>
              <w:t>($)</w:t>
            </w:r>
          </w:p>
        </w:tc>
        <w:tc>
          <w:tcPr>
            <w:tcW w:w="820" w:type="dxa"/>
            <w:vAlign w:val="bottom"/>
            <w:shd w:val="clear" w:color="auto" w:fill="052B82"/>
          </w:tcPr>
          <w:p>
            <w:pPr>
              <w:ind w:left="320"/>
              <w:spacing w:after="0"/>
              <w:rPr>
                <w:sz w:val="20"/>
                <w:szCs w:val="20"/>
                <w:color w:val="auto"/>
              </w:rPr>
            </w:pPr>
            <w:r>
              <w:rPr>
                <w:rFonts w:ascii="Arial" w:cs="Arial" w:eastAsia="Arial" w:hAnsi="Arial"/>
                <w:sz w:val="13"/>
                <w:szCs w:val="13"/>
                <w:b w:val="1"/>
                <w:bCs w:val="1"/>
                <w:color w:val="FFFFFF"/>
              </w:rPr>
              <w:t>(#)</w:t>
            </w:r>
          </w:p>
        </w:tc>
        <w:tc>
          <w:tcPr>
            <w:tcW w:w="640" w:type="dxa"/>
            <w:vAlign w:val="bottom"/>
            <w:shd w:val="clear" w:color="auto" w:fill="052B82"/>
          </w:tcPr>
          <w:p>
            <w:pPr>
              <w:jc w:val="center"/>
              <w:spacing w:after="0"/>
              <w:rPr>
                <w:sz w:val="20"/>
                <w:szCs w:val="20"/>
                <w:color w:val="auto"/>
              </w:rPr>
            </w:pPr>
            <w:r>
              <w:rPr>
                <w:rFonts w:ascii="Arial" w:cs="Arial" w:eastAsia="Arial" w:hAnsi="Arial"/>
                <w:sz w:val="13"/>
                <w:szCs w:val="13"/>
                <w:b w:val="1"/>
                <w:bCs w:val="1"/>
                <w:color w:val="FFFFFF"/>
              </w:rPr>
              <w:t>(#)</w:t>
            </w:r>
          </w:p>
        </w:tc>
        <w:tc>
          <w:tcPr>
            <w:tcW w:w="720" w:type="dxa"/>
            <w:vAlign w:val="bottom"/>
            <w:shd w:val="clear" w:color="auto" w:fill="052B82"/>
          </w:tcPr>
          <w:p>
            <w:pPr>
              <w:jc w:val="right"/>
              <w:ind w:right="189"/>
              <w:spacing w:after="0"/>
              <w:rPr>
                <w:sz w:val="20"/>
                <w:szCs w:val="20"/>
                <w:color w:val="auto"/>
              </w:rPr>
            </w:pPr>
            <w:r>
              <w:rPr>
                <w:rFonts w:ascii="Arial" w:cs="Arial" w:eastAsia="Arial" w:hAnsi="Arial"/>
                <w:sz w:val="13"/>
                <w:szCs w:val="13"/>
                <w:b w:val="1"/>
                <w:bCs w:val="1"/>
                <w:color w:val="FFFFFF"/>
              </w:rPr>
              <w:t>(#)</w:t>
            </w:r>
          </w:p>
        </w:tc>
        <w:tc>
          <w:tcPr>
            <w:tcW w:w="1100" w:type="dxa"/>
            <w:vAlign w:val="bottom"/>
            <w:shd w:val="clear" w:color="auto" w:fill="052B82"/>
          </w:tcPr>
          <w:p>
            <w:pPr>
              <w:jc w:val="center"/>
              <w:spacing w:after="0"/>
              <w:rPr>
                <w:sz w:val="20"/>
                <w:szCs w:val="20"/>
                <w:color w:val="auto"/>
              </w:rPr>
            </w:pPr>
            <w:r>
              <w:rPr>
                <w:rFonts w:ascii="Arial" w:cs="Arial" w:eastAsia="Arial" w:hAnsi="Arial"/>
                <w:sz w:val="13"/>
                <w:szCs w:val="13"/>
                <w:b w:val="1"/>
                <w:bCs w:val="1"/>
                <w:color w:val="FFFFFF"/>
                <w:w w:val="87"/>
              </w:rPr>
              <w:t>(3)</w:t>
            </w:r>
          </w:p>
        </w:tc>
        <w:tc>
          <w:tcPr>
            <w:tcW w:w="1100" w:type="dxa"/>
            <w:vAlign w:val="bottom"/>
            <w:shd w:val="clear" w:color="auto" w:fill="052B82"/>
          </w:tcPr>
          <w:p>
            <w:pPr>
              <w:jc w:val="center"/>
              <w:spacing w:after="0"/>
              <w:rPr>
                <w:sz w:val="20"/>
                <w:szCs w:val="20"/>
                <w:color w:val="auto"/>
              </w:rPr>
            </w:pPr>
            <w:r>
              <w:rPr>
                <w:rFonts w:ascii="Arial" w:cs="Arial" w:eastAsia="Arial" w:hAnsi="Arial"/>
                <w:sz w:val="13"/>
                <w:szCs w:val="13"/>
                <w:b w:val="1"/>
                <w:bCs w:val="1"/>
                <w:color w:val="FFFFFF"/>
                <w:w w:val="96"/>
              </w:rPr>
              <w:t>Options (4)</w:t>
            </w:r>
          </w:p>
        </w:tc>
        <w:tc>
          <w:tcPr>
            <w:tcW w:w="680" w:type="dxa"/>
            <w:vAlign w:val="bottom"/>
            <w:shd w:val="clear" w:color="auto" w:fill="052B82"/>
          </w:tcPr>
          <w:p>
            <w:pPr>
              <w:jc w:val="center"/>
              <w:spacing w:after="0"/>
              <w:rPr>
                <w:sz w:val="20"/>
                <w:szCs w:val="20"/>
                <w:color w:val="auto"/>
              </w:rPr>
            </w:pPr>
            <w:r>
              <w:rPr>
                <w:rFonts w:ascii="Arial" w:cs="Arial" w:eastAsia="Arial" w:hAnsi="Arial"/>
                <w:sz w:val="13"/>
                <w:szCs w:val="13"/>
                <w:b w:val="1"/>
                <w:bCs w:val="1"/>
                <w:color w:val="FFFFFF"/>
              </w:rPr>
              <w:t>(5)</w:t>
            </w:r>
          </w:p>
        </w:tc>
        <w:tc>
          <w:tcPr>
            <w:tcW w:w="940" w:type="dxa"/>
            <w:vAlign w:val="bottom"/>
            <w:shd w:val="clear" w:color="auto" w:fill="052B82"/>
          </w:tcPr>
          <w:p>
            <w:pPr>
              <w:jc w:val="center"/>
              <w:ind w:right="150"/>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167"/>
        </w:trPr>
        <w:tc>
          <w:tcPr>
            <w:tcW w:w="1580" w:type="dxa"/>
            <w:vAlign w:val="bottom"/>
          </w:tcPr>
          <w:p>
            <w:pPr>
              <w:ind w:left="20"/>
              <w:spacing w:after="0"/>
              <w:rPr>
                <w:sz w:val="20"/>
                <w:szCs w:val="20"/>
                <w:color w:val="auto"/>
              </w:rPr>
            </w:pPr>
            <w:r>
              <w:rPr>
                <w:rFonts w:ascii="Arial" w:cs="Arial" w:eastAsia="Arial" w:hAnsi="Arial"/>
                <w:sz w:val="14"/>
                <w:szCs w:val="14"/>
                <w:color w:val="auto"/>
              </w:rPr>
              <w:t>Vincent Roche</w:t>
            </w:r>
          </w:p>
        </w:tc>
        <w:tc>
          <w:tcPr>
            <w:tcW w:w="1000" w:type="dxa"/>
            <w:vAlign w:val="bottom"/>
          </w:tcPr>
          <w:p>
            <w:pPr>
              <w:jc w:val="right"/>
              <w:ind w:right="109"/>
              <w:spacing w:after="0"/>
              <w:rPr>
                <w:sz w:val="20"/>
                <w:szCs w:val="20"/>
                <w:color w:val="auto"/>
              </w:rPr>
            </w:pPr>
            <w:r>
              <w:rPr>
                <w:rFonts w:ascii="Arial" w:cs="Arial" w:eastAsia="Arial" w:hAnsi="Arial"/>
                <w:sz w:val="14"/>
                <w:szCs w:val="14"/>
                <w:color w:val="auto"/>
              </w:rPr>
              <w:t>N/A</w:t>
            </w:r>
          </w:p>
        </w:tc>
        <w:tc>
          <w:tcPr>
            <w:tcW w:w="720" w:type="dxa"/>
            <w:vAlign w:val="bottom"/>
          </w:tcPr>
          <w:p>
            <w:pPr>
              <w:ind w:left="40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1,546,154</w:t>
            </w:r>
          </w:p>
        </w:tc>
        <w:tc>
          <w:tcPr>
            <w:tcW w:w="840" w:type="dxa"/>
            <w:vAlign w:val="bottom"/>
          </w:tcPr>
          <w:p>
            <w:pPr>
              <w:ind w:left="100"/>
              <w:spacing w:after="0"/>
              <w:rPr>
                <w:sz w:val="20"/>
                <w:szCs w:val="20"/>
                <w:color w:val="auto"/>
              </w:rPr>
            </w:pPr>
            <w:r>
              <w:rPr>
                <w:rFonts w:ascii="Arial" w:cs="Arial" w:eastAsia="Arial" w:hAnsi="Arial"/>
                <w:sz w:val="14"/>
                <w:szCs w:val="14"/>
                <w:color w:val="auto"/>
              </w:rPr>
              <w:t>4,638,462</w:t>
            </w:r>
          </w:p>
        </w:tc>
        <w:tc>
          <w:tcPr>
            <w:tcW w:w="820" w:type="dxa"/>
            <w:vAlign w:val="bottom"/>
          </w:tcPr>
          <w:p>
            <w:pPr>
              <w:ind w:left="48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680" w:type="dxa"/>
            <w:vAlign w:val="bottom"/>
          </w:tcPr>
          <w:p>
            <w:pPr>
              <w:ind w:left="40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5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1000" w:type="dxa"/>
            <w:vAlign w:val="bottom"/>
          </w:tcPr>
          <w:p>
            <w:pPr>
              <w:jc w:val="right"/>
              <w:ind w:right="109"/>
              <w:spacing w:after="0"/>
              <w:rPr>
                <w:sz w:val="20"/>
                <w:szCs w:val="20"/>
                <w:color w:val="auto"/>
              </w:rPr>
            </w:pPr>
            <w:r>
              <w:rPr>
                <w:rFonts w:ascii="Arial" w:cs="Arial" w:eastAsia="Arial" w:hAnsi="Arial"/>
                <w:sz w:val="14"/>
                <w:szCs w:val="14"/>
                <w:color w:val="auto"/>
              </w:rPr>
              <w:t>3/13/2019</w:t>
            </w:r>
          </w:p>
        </w:tc>
        <w:tc>
          <w:tcPr>
            <w:tcW w:w="720" w:type="dxa"/>
            <w:vAlign w:val="bottom"/>
          </w:tcPr>
          <w:p>
            <w:pPr>
              <w:ind w:left="40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840" w:type="dxa"/>
            <w:vAlign w:val="bottom"/>
          </w:tcPr>
          <w:p>
            <w:pPr>
              <w:ind w:left="520"/>
              <w:spacing w:after="0"/>
              <w:rPr>
                <w:sz w:val="20"/>
                <w:szCs w:val="20"/>
                <w:color w:val="auto"/>
              </w:rPr>
            </w:pPr>
            <w:r>
              <w:rPr>
                <w:rFonts w:ascii="Arial" w:cs="Arial" w:eastAsia="Arial" w:hAnsi="Arial"/>
                <w:sz w:val="14"/>
                <w:szCs w:val="14"/>
                <w:color w:val="auto"/>
              </w:rPr>
              <w:t>—</w:t>
            </w:r>
          </w:p>
        </w:tc>
        <w:tc>
          <w:tcPr>
            <w:tcW w:w="820" w:type="dxa"/>
            <w:vAlign w:val="bottom"/>
          </w:tcPr>
          <w:p>
            <w:pPr>
              <w:ind w:left="48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22,763</w:t>
            </w:r>
          </w:p>
        </w:tc>
        <w:tc>
          <w:tcPr>
            <w:tcW w:w="720" w:type="dxa"/>
            <w:vAlign w:val="bottom"/>
          </w:tcPr>
          <w:p>
            <w:pPr>
              <w:jc w:val="right"/>
              <w:spacing w:after="0"/>
              <w:rPr>
                <w:sz w:val="20"/>
                <w:szCs w:val="20"/>
                <w:color w:val="auto"/>
              </w:rPr>
            </w:pPr>
            <w:r>
              <w:rPr>
                <w:rFonts w:ascii="Arial" w:cs="Arial" w:eastAsia="Arial" w:hAnsi="Arial"/>
                <w:sz w:val="14"/>
                <w:szCs w:val="14"/>
                <w:color w:val="auto"/>
              </w:rPr>
              <w:t>45,526</w:t>
            </w:r>
          </w:p>
        </w:tc>
        <w:tc>
          <w:tcPr>
            <w:tcW w:w="110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680" w:type="dxa"/>
            <w:vAlign w:val="bottom"/>
          </w:tcPr>
          <w:p>
            <w:pPr>
              <w:ind w:left="40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2,603,177(6)</w:t>
            </w: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1000" w:type="dxa"/>
            <w:vAlign w:val="bottom"/>
          </w:tcPr>
          <w:p>
            <w:pPr>
              <w:jc w:val="right"/>
              <w:ind w:right="109"/>
              <w:spacing w:after="0"/>
              <w:rPr>
                <w:sz w:val="20"/>
                <w:szCs w:val="20"/>
                <w:color w:val="auto"/>
              </w:rPr>
            </w:pPr>
            <w:r>
              <w:rPr>
                <w:rFonts w:ascii="Arial" w:cs="Arial" w:eastAsia="Arial" w:hAnsi="Arial"/>
                <w:sz w:val="14"/>
                <w:szCs w:val="14"/>
                <w:color w:val="auto"/>
              </w:rPr>
              <w:t>3/13/2019</w:t>
            </w:r>
          </w:p>
        </w:tc>
        <w:tc>
          <w:tcPr>
            <w:tcW w:w="720" w:type="dxa"/>
            <w:vAlign w:val="bottom"/>
          </w:tcPr>
          <w:p>
            <w:pPr>
              <w:ind w:left="40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840" w:type="dxa"/>
            <w:vAlign w:val="bottom"/>
          </w:tcPr>
          <w:p>
            <w:pPr>
              <w:ind w:left="520"/>
              <w:spacing w:after="0"/>
              <w:rPr>
                <w:sz w:val="20"/>
                <w:szCs w:val="20"/>
                <w:color w:val="auto"/>
              </w:rPr>
            </w:pPr>
            <w:r>
              <w:rPr>
                <w:rFonts w:ascii="Arial" w:cs="Arial" w:eastAsia="Arial" w:hAnsi="Arial"/>
                <w:sz w:val="14"/>
                <w:szCs w:val="14"/>
                <w:color w:val="auto"/>
              </w:rPr>
              <w:t>—</w:t>
            </w:r>
          </w:p>
        </w:tc>
        <w:tc>
          <w:tcPr>
            <w:tcW w:w="820" w:type="dxa"/>
            <w:vAlign w:val="bottom"/>
          </w:tcPr>
          <w:p>
            <w:pPr>
              <w:ind w:left="48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22,763</w:t>
            </w:r>
          </w:p>
        </w:tc>
        <w:tc>
          <w:tcPr>
            <w:tcW w:w="720" w:type="dxa"/>
            <w:vAlign w:val="bottom"/>
          </w:tcPr>
          <w:p>
            <w:pPr>
              <w:jc w:val="right"/>
              <w:spacing w:after="0"/>
              <w:rPr>
                <w:sz w:val="20"/>
                <w:szCs w:val="20"/>
                <w:color w:val="auto"/>
              </w:rPr>
            </w:pPr>
            <w:r>
              <w:rPr>
                <w:rFonts w:ascii="Arial" w:cs="Arial" w:eastAsia="Arial" w:hAnsi="Arial"/>
                <w:sz w:val="14"/>
                <w:szCs w:val="14"/>
                <w:color w:val="auto"/>
              </w:rPr>
              <w:t>45,526</w:t>
            </w:r>
          </w:p>
        </w:tc>
        <w:tc>
          <w:tcPr>
            <w:tcW w:w="110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680" w:type="dxa"/>
            <w:vAlign w:val="bottom"/>
          </w:tcPr>
          <w:p>
            <w:pPr>
              <w:ind w:left="40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2,094,298(6)</w:t>
            </w: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1000" w:type="dxa"/>
            <w:vAlign w:val="bottom"/>
          </w:tcPr>
          <w:p>
            <w:pPr>
              <w:jc w:val="right"/>
              <w:ind w:right="109"/>
              <w:spacing w:after="0"/>
              <w:rPr>
                <w:sz w:val="20"/>
                <w:szCs w:val="20"/>
                <w:color w:val="auto"/>
              </w:rPr>
            </w:pPr>
            <w:r>
              <w:rPr>
                <w:rFonts w:ascii="Arial" w:cs="Arial" w:eastAsia="Arial" w:hAnsi="Arial"/>
                <w:sz w:val="14"/>
                <w:szCs w:val="14"/>
                <w:color w:val="auto"/>
              </w:rPr>
              <w:t>3/13/2019</w:t>
            </w:r>
          </w:p>
        </w:tc>
        <w:tc>
          <w:tcPr>
            <w:tcW w:w="720" w:type="dxa"/>
            <w:vAlign w:val="bottom"/>
          </w:tcPr>
          <w:p>
            <w:pPr>
              <w:ind w:left="40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840" w:type="dxa"/>
            <w:vAlign w:val="bottom"/>
          </w:tcPr>
          <w:p>
            <w:pPr>
              <w:ind w:left="520"/>
              <w:spacing w:after="0"/>
              <w:rPr>
                <w:sz w:val="20"/>
                <w:szCs w:val="20"/>
                <w:color w:val="auto"/>
              </w:rPr>
            </w:pPr>
            <w:r>
              <w:rPr>
                <w:rFonts w:ascii="Arial" w:cs="Arial" w:eastAsia="Arial" w:hAnsi="Arial"/>
                <w:sz w:val="14"/>
                <w:szCs w:val="14"/>
                <w:color w:val="auto"/>
              </w:rPr>
              <w:t>—</w:t>
            </w:r>
          </w:p>
        </w:tc>
        <w:tc>
          <w:tcPr>
            <w:tcW w:w="820" w:type="dxa"/>
            <w:vAlign w:val="bottom"/>
          </w:tcPr>
          <w:p>
            <w:pPr>
              <w:ind w:left="48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30"/>
              <w:spacing w:after="0"/>
              <w:rPr>
                <w:sz w:val="20"/>
                <w:szCs w:val="20"/>
                <w:color w:val="auto"/>
              </w:rPr>
            </w:pPr>
            <w:r>
              <w:rPr>
                <w:rFonts w:ascii="Arial" w:cs="Arial" w:eastAsia="Arial" w:hAnsi="Arial"/>
                <w:sz w:val="14"/>
                <w:szCs w:val="14"/>
                <w:color w:val="auto"/>
              </w:rPr>
              <w:t>22,763</w:t>
            </w:r>
          </w:p>
        </w:tc>
        <w:tc>
          <w:tcPr>
            <w:tcW w:w="110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680" w:type="dxa"/>
            <w:vAlign w:val="bottom"/>
          </w:tcPr>
          <w:p>
            <w:pPr>
              <w:ind w:left="40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2,342,085(7)</w:t>
            </w:r>
          </w:p>
        </w:tc>
        <w:tc>
          <w:tcPr>
            <w:tcW w:w="0" w:type="dxa"/>
            <w:vAlign w:val="bottom"/>
          </w:tcPr>
          <w:p>
            <w:pPr>
              <w:spacing w:after="0"/>
              <w:rPr>
                <w:sz w:val="1"/>
                <w:szCs w:val="1"/>
                <w:color w:val="auto"/>
              </w:rPr>
            </w:pPr>
          </w:p>
        </w:tc>
      </w:tr>
      <w:tr>
        <w:trPr>
          <w:trHeight w:val="157"/>
        </w:trPr>
        <w:tc>
          <w:tcPr>
            <w:tcW w:w="1580" w:type="dxa"/>
            <w:vAlign w:val="bottom"/>
          </w:tcPr>
          <w:p>
            <w:pPr>
              <w:spacing w:after="0"/>
              <w:rPr>
                <w:sz w:val="13"/>
                <w:szCs w:val="13"/>
                <w:color w:val="auto"/>
              </w:rPr>
            </w:pPr>
          </w:p>
        </w:tc>
        <w:tc>
          <w:tcPr>
            <w:tcW w:w="1000" w:type="dxa"/>
            <w:vAlign w:val="bottom"/>
          </w:tcPr>
          <w:p>
            <w:pPr>
              <w:jc w:val="right"/>
              <w:ind w:right="109"/>
              <w:spacing w:after="0" w:line="157" w:lineRule="exact"/>
              <w:rPr>
                <w:sz w:val="20"/>
                <w:szCs w:val="20"/>
                <w:color w:val="auto"/>
              </w:rPr>
            </w:pPr>
            <w:r>
              <w:rPr>
                <w:rFonts w:ascii="Arial" w:cs="Arial" w:eastAsia="Arial" w:hAnsi="Arial"/>
                <w:sz w:val="14"/>
                <w:szCs w:val="14"/>
                <w:color w:val="auto"/>
              </w:rPr>
              <w:t>3/13/2019</w:t>
            </w:r>
          </w:p>
        </w:tc>
        <w:tc>
          <w:tcPr>
            <w:tcW w:w="720" w:type="dxa"/>
            <w:vAlign w:val="bottom"/>
          </w:tcPr>
          <w:p>
            <w:pPr>
              <w:ind w:left="400"/>
              <w:spacing w:after="0" w:line="157"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129"/>
              <w:spacing w:after="0" w:line="157" w:lineRule="exact"/>
              <w:rPr>
                <w:sz w:val="20"/>
                <w:szCs w:val="20"/>
                <w:color w:val="auto"/>
              </w:rPr>
            </w:pPr>
            <w:r>
              <w:rPr>
                <w:rFonts w:ascii="Arial" w:cs="Arial" w:eastAsia="Arial" w:hAnsi="Arial"/>
                <w:sz w:val="14"/>
                <w:szCs w:val="14"/>
                <w:color w:val="auto"/>
              </w:rPr>
              <w:t>—</w:t>
            </w:r>
          </w:p>
        </w:tc>
        <w:tc>
          <w:tcPr>
            <w:tcW w:w="840" w:type="dxa"/>
            <w:vAlign w:val="bottom"/>
          </w:tcPr>
          <w:p>
            <w:pPr>
              <w:ind w:left="520"/>
              <w:spacing w:after="0" w:line="157" w:lineRule="exact"/>
              <w:rPr>
                <w:sz w:val="20"/>
                <w:szCs w:val="20"/>
                <w:color w:val="auto"/>
              </w:rPr>
            </w:pPr>
            <w:r>
              <w:rPr>
                <w:rFonts w:ascii="Arial" w:cs="Arial" w:eastAsia="Arial" w:hAnsi="Arial"/>
                <w:sz w:val="14"/>
                <w:szCs w:val="14"/>
                <w:color w:val="auto"/>
              </w:rPr>
              <w:t>—</w:t>
            </w:r>
          </w:p>
        </w:tc>
        <w:tc>
          <w:tcPr>
            <w:tcW w:w="820" w:type="dxa"/>
            <w:vAlign w:val="bottom"/>
          </w:tcPr>
          <w:p>
            <w:pPr>
              <w:ind w:left="480"/>
              <w:spacing w:after="0" w:line="157"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109"/>
              <w:spacing w:after="0" w:line="157"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49"/>
              <w:spacing w:after="0" w:line="157" w:lineRule="exact"/>
              <w:rPr>
                <w:sz w:val="20"/>
                <w:szCs w:val="20"/>
                <w:color w:val="auto"/>
              </w:rPr>
            </w:pPr>
            <w:r>
              <w:rPr>
                <w:rFonts w:ascii="Arial" w:cs="Arial" w:eastAsia="Arial" w:hAnsi="Arial"/>
                <w:sz w:val="14"/>
                <w:szCs w:val="14"/>
                <w:color w:val="auto"/>
              </w:rPr>
              <w:t>—</w:t>
            </w:r>
          </w:p>
        </w:tc>
        <w:tc>
          <w:tcPr>
            <w:tcW w:w="1100" w:type="dxa"/>
            <w:vAlign w:val="bottom"/>
          </w:tcPr>
          <w:p>
            <w:pPr>
              <w:jc w:val="right"/>
              <w:ind w:right="110"/>
              <w:spacing w:after="0" w:line="157" w:lineRule="exact"/>
              <w:rPr>
                <w:sz w:val="20"/>
                <w:szCs w:val="20"/>
                <w:color w:val="auto"/>
              </w:rPr>
            </w:pPr>
            <w:r>
              <w:rPr>
                <w:rFonts w:ascii="Arial" w:cs="Arial" w:eastAsia="Arial" w:hAnsi="Arial"/>
                <w:sz w:val="14"/>
                <w:szCs w:val="14"/>
                <w:color w:val="auto"/>
              </w:rPr>
              <w:t>—</w:t>
            </w:r>
          </w:p>
        </w:tc>
        <w:tc>
          <w:tcPr>
            <w:tcW w:w="1100" w:type="dxa"/>
            <w:vAlign w:val="bottom"/>
          </w:tcPr>
          <w:p>
            <w:pPr>
              <w:jc w:val="right"/>
              <w:ind w:right="10"/>
              <w:spacing w:after="0" w:line="157" w:lineRule="exact"/>
              <w:rPr>
                <w:sz w:val="20"/>
                <w:szCs w:val="20"/>
                <w:color w:val="auto"/>
              </w:rPr>
            </w:pPr>
            <w:r>
              <w:rPr>
                <w:rFonts w:ascii="Arial" w:cs="Arial" w:eastAsia="Arial" w:hAnsi="Arial"/>
                <w:sz w:val="14"/>
                <w:szCs w:val="14"/>
                <w:color w:val="auto"/>
              </w:rPr>
              <w:t>100,803</w:t>
            </w:r>
          </w:p>
        </w:tc>
        <w:tc>
          <w:tcPr>
            <w:tcW w:w="680" w:type="dxa"/>
            <w:vAlign w:val="bottom"/>
          </w:tcPr>
          <w:p>
            <w:pPr>
              <w:ind w:left="180"/>
              <w:spacing w:after="0" w:line="157" w:lineRule="exact"/>
              <w:rPr>
                <w:sz w:val="20"/>
                <w:szCs w:val="20"/>
                <w:color w:val="auto"/>
              </w:rPr>
            </w:pPr>
            <w:r>
              <w:rPr>
                <w:rFonts w:ascii="Arial" w:cs="Arial" w:eastAsia="Arial" w:hAnsi="Arial"/>
                <w:sz w:val="14"/>
                <w:szCs w:val="14"/>
                <w:color w:val="auto"/>
              </w:rPr>
              <w:t>108.08</w:t>
            </w:r>
          </w:p>
        </w:tc>
        <w:tc>
          <w:tcPr>
            <w:tcW w:w="940" w:type="dxa"/>
            <w:vAlign w:val="bottom"/>
          </w:tcPr>
          <w:p>
            <w:pPr>
              <w:jc w:val="right"/>
              <w:spacing w:after="0" w:line="157" w:lineRule="exact"/>
              <w:rPr>
                <w:sz w:val="20"/>
                <w:szCs w:val="20"/>
                <w:color w:val="auto"/>
              </w:rPr>
            </w:pPr>
            <w:r>
              <w:rPr>
                <w:rFonts w:ascii="Arial" w:cs="Arial" w:eastAsia="Arial" w:hAnsi="Arial"/>
                <w:sz w:val="14"/>
                <w:szCs w:val="14"/>
                <w:color w:val="auto"/>
              </w:rPr>
              <w:t>2,362,177(8)</w:t>
            </w:r>
          </w:p>
        </w:tc>
        <w:tc>
          <w:tcPr>
            <w:tcW w:w="0" w:type="dxa"/>
            <w:vAlign w:val="bottom"/>
          </w:tcPr>
          <w:p>
            <w:pPr>
              <w:spacing w:after="0"/>
              <w:rPr>
                <w:sz w:val="1"/>
                <w:szCs w:val="1"/>
                <w:color w:val="auto"/>
              </w:rPr>
            </w:pPr>
          </w:p>
        </w:tc>
      </w:tr>
      <w:tr>
        <w:trPr>
          <w:trHeight w:val="162"/>
        </w:trPr>
        <w:tc>
          <w:tcPr>
            <w:tcW w:w="1580" w:type="dxa"/>
            <w:vAlign w:val="bottom"/>
            <w:shd w:val="clear" w:color="auto" w:fill="E8EDF4"/>
          </w:tcPr>
          <w:p>
            <w:pPr>
              <w:ind w:left="20"/>
              <w:spacing w:after="0"/>
              <w:rPr>
                <w:sz w:val="20"/>
                <w:szCs w:val="20"/>
                <w:color w:val="auto"/>
              </w:rPr>
            </w:pPr>
            <w:r>
              <w:rPr>
                <w:rFonts w:ascii="Arial" w:cs="Arial" w:eastAsia="Arial" w:hAnsi="Arial"/>
                <w:sz w:val="14"/>
                <w:szCs w:val="14"/>
                <w:color w:val="auto"/>
              </w:rPr>
              <w:t>Prashanth Mahendra-</w:t>
            </w:r>
          </w:p>
        </w:tc>
        <w:tc>
          <w:tcPr>
            <w:tcW w:w="1000" w:type="dxa"/>
            <w:vAlign w:val="bottom"/>
            <w:shd w:val="clear" w:color="auto" w:fill="E8EDF4"/>
          </w:tcPr>
          <w:p>
            <w:pPr>
              <w:jc w:val="right"/>
              <w:ind w:right="109"/>
              <w:spacing w:after="0"/>
              <w:rPr>
                <w:sz w:val="20"/>
                <w:szCs w:val="20"/>
                <w:color w:val="auto"/>
              </w:rPr>
            </w:pPr>
            <w:r>
              <w:rPr>
                <w:rFonts w:ascii="Arial" w:cs="Arial" w:eastAsia="Arial" w:hAnsi="Arial"/>
                <w:sz w:val="14"/>
                <w:szCs w:val="14"/>
                <w:color w:val="auto"/>
              </w:rPr>
              <w:t>N/A</w:t>
            </w:r>
          </w:p>
        </w:tc>
        <w:tc>
          <w:tcPr>
            <w:tcW w:w="720" w:type="dxa"/>
            <w:vAlign w:val="bottom"/>
            <w:shd w:val="clear" w:color="auto" w:fill="E8EDF4"/>
          </w:tcPr>
          <w:p>
            <w:pPr>
              <w:ind w:left="400"/>
              <w:spacing w:after="0"/>
              <w:rPr>
                <w:sz w:val="20"/>
                <w:szCs w:val="20"/>
                <w:color w:val="auto"/>
              </w:rPr>
            </w:pPr>
            <w:r>
              <w:rPr>
                <w:rFonts w:ascii="Arial" w:cs="Arial" w:eastAsia="Arial" w:hAnsi="Arial"/>
                <w:sz w:val="14"/>
                <w:szCs w:val="14"/>
                <w:color w:val="auto"/>
              </w:rPr>
              <w:t>—</w:t>
            </w:r>
          </w:p>
        </w:tc>
        <w:tc>
          <w:tcPr>
            <w:tcW w:w="880" w:type="dxa"/>
            <w:vAlign w:val="bottom"/>
            <w:shd w:val="clear" w:color="auto" w:fill="E8EDF4"/>
          </w:tcPr>
          <w:p>
            <w:pPr>
              <w:jc w:val="right"/>
              <w:ind w:right="49"/>
              <w:spacing w:after="0"/>
              <w:rPr>
                <w:sz w:val="20"/>
                <w:szCs w:val="20"/>
                <w:color w:val="auto"/>
              </w:rPr>
            </w:pPr>
            <w:r>
              <w:rPr>
                <w:rFonts w:ascii="Arial" w:cs="Arial" w:eastAsia="Arial" w:hAnsi="Arial"/>
                <w:sz w:val="14"/>
                <w:szCs w:val="14"/>
                <w:color w:val="auto"/>
              </w:rPr>
              <w:t>565,385</w:t>
            </w:r>
          </w:p>
        </w:tc>
        <w:tc>
          <w:tcPr>
            <w:tcW w:w="840" w:type="dxa"/>
            <w:vAlign w:val="bottom"/>
            <w:shd w:val="clear" w:color="auto" w:fill="E8EDF4"/>
          </w:tcPr>
          <w:p>
            <w:pPr>
              <w:ind w:left="100"/>
              <w:spacing w:after="0"/>
              <w:rPr>
                <w:sz w:val="20"/>
                <w:szCs w:val="20"/>
                <w:color w:val="auto"/>
              </w:rPr>
            </w:pPr>
            <w:r>
              <w:rPr>
                <w:rFonts w:ascii="Arial" w:cs="Arial" w:eastAsia="Arial" w:hAnsi="Arial"/>
                <w:sz w:val="14"/>
                <w:szCs w:val="14"/>
                <w:color w:val="auto"/>
              </w:rPr>
              <w:t>1,696,155</w:t>
            </w:r>
          </w:p>
        </w:tc>
        <w:tc>
          <w:tcPr>
            <w:tcW w:w="820" w:type="dxa"/>
            <w:vAlign w:val="bottom"/>
            <w:shd w:val="clear" w:color="auto" w:fill="E8EDF4"/>
          </w:tcPr>
          <w:p>
            <w:pPr>
              <w:ind w:left="480"/>
              <w:spacing w:after="0"/>
              <w:rPr>
                <w:sz w:val="20"/>
                <w:szCs w:val="20"/>
                <w:color w:val="auto"/>
              </w:rPr>
            </w:pPr>
            <w:r>
              <w:rPr>
                <w:rFonts w:ascii="Arial" w:cs="Arial" w:eastAsia="Arial" w:hAnsi="Arial"/>
                <w:sz w:val="14"/>
                <w:szCs w:val="14"/>
                <w:color w:val="auto"/>
              </w:rPr>
              <w:t>—</w:t>
            </w:r>
          </w:p>
        </w:tc>
        <w:tc>
          <w:tcPr>
            <w:tcW w:w="640" w:type="dxa"/>
            <w:vAlign w:val="bottom"/>
            <w:shd w:val="clear" w:color="auto" w:fill="E8EDF4"/>
          </w:tcPr>
          <w:p>
            <w:pPr>
              <w:jc w:val="right"/>
              <w:ind w:right="109"/>
              <w:spacing w:after="0"/>
              <w:rPr>
                <w:sz w:val="20"/>
                <w:szCs w:val="20"/>
                <w:color w:val="auto"/>
              </w:rPr>
            </w:pPr>
            <w:r>
              <w:rPr>
                <w:rFonts w:ascii="Arial" w:cs="Arial" w:eastAsia="Arial" w:hAnsi="Arial"/>
                <w:sz w:val="14"/>
                <w:szCs w:val="14"/>
                <w:color w:val="auto"/>
              </w:rPr>
              <w:t>—</w:t>
            </w:r>
          </w:p>
        </w:tc>
        <w:tc>
          <w:tcPr>
            <w:tcW w:w="720" w:type="dxa"/>
            <w:vAlign w:val="bottom"/>
            <w:shd w:val="clear" w:color="auto" w:fill="E8EDF4"/>
          </w:tcPr>
          <w:p>
            <w:pPr>
              <w:jc w:val="right"/>
              <w:ind w:right="49"/>
              <w:spacing w:after="0"/>
              <w:rPr>
                <w:sz w:val="20"/>
                <w:szCs w:val="20"/>
                <w:color w:val="auto"/>
              </w:rPr>
            </w:pPr>
            <w:r>
              <w:rPr>
                <w:rFonts w:ascii="Arial" w:cs="Arial" w:eastAsia="Arial" w:hAnsi="Arial"/>
                <w:sz w:val="14"/>
                <w:szCs w:val="14"/>
                <w:color w:val="auto"/>
              </w:rPr>
              <w:t>—</w:t>
            </w:r>
          </w:p>
        </w:tc>
        <w:tc>
          <w:tcPr>
            <w:tcW w:w="1100" w:type="dxa"/>
            <w:vAlign w:val="bottom"/>
            <w:shd w:val="clear" w:color="auto" w:fill="E8EDF4"/>
          </w:tcPr>
          <w:p>
            <w:pPr>
              <w:jc w:val="right"/>
              <w:ind w:right="110"/>
              <w:spacing w:after="0"/>
              <w:rPr>
                <w:sz w:val="20"/>
                <w:szCs w:val="20"/>
                <w:color w:val="auto"/>
              </w:rPr>
            </w:pPr>
            <w:r>
              <w:rPr>
                <w:rFonts w:ascii="Arial" w:cs="Arial" w:eastAsia="Arial" w:hAnsi="Arial"/>
                <w:sz w:val="14"/>
                <w:szCs w:val="14"/>
                <w:color w:val="auto"/>
              </w:rPr>
              <w:t>—</w:t>
            </w:r>
          </w:p>
        </w:tc>
        <w:tc>
          <w:tcPr>
            <w:tcW w:w="1100" w:type="dxa"/>
            <w:vAlign w:val="bottom"/>
            <w:shd w:val="clear" w:color="auto" w:fill="E8EDF4"/>
          </w:tcPr>
          <w:p>
            <w:pPr>
              <w:jc w:val="right"/>
              <w:ind w:right="90"/>
              <w:spacing w:after="0"/>
              <w:rPr>
                <w:sz w:val="20"/>
                <w:szCs w:val="20"/>
                <w:color w:val="auto"/>
              </w:rPr>
            </w:pPr>
            <w:r>
              <w:rPr>
                <w:rFonts w:ascii="Arial" w:cs="Arial" w:eastAsia="Arial" w:hAnsi="Arial"/>
                <w:sz w:val="14"/>
                <w:szCs w:val="14"/>
                <w:color w:val="auto"/>
              </w:rPr>
              <w:t>—</w:t>
            </w:r>
          </w:p>
        </w:tc>
        <w:tc>
          <w:tcPr>
            <w:tcW w:w="680" w:type="dxa"/>
            <w:vAlign w:val="bottom"/>
            <w:shd w:val="clear" w:color="auto" w:fill="E8EDF4"/>
          </w:tcPr>
          <w:p>
            <w:pPr>
              <w:ind w:left="400"/>
              <w:spacing w:after="0"/>
              <w:rPr>
                <w:sz w:val="20"/>
                <w:szCs w:val="20"/>
                <w:color w:val="auto"/>
              </w:rPr>
            </w:pPr>
            <w:r>
              <w:rPr>
                <w:rFonts w:ascii="Arial" w:cs="Arial" w:eastAsia="Arial" w:hAnsi="Arial"/>
                <w:sz w:val="14"/>
                <w:szCs w:val="14"/>
                <w:color w:val="auto"/>
              </w:rPr>
              <w:t>—</w:t>
            </w:r>
          </w:p>
        </w:tc>
        <w:tc>
          <w:tcPr>
            <w:tcW w:w="940" w:type="dxa"/>
            <w:vAlign w:val="bottom"/>
            <w:shd w:val="clear" w:color="auto" w:fill="E8EDF4"/>
          </w:tcPr>
          <w:p>
            <w:pPr>
              <w:jc w:val="right"/>
              <w:ind w:right="25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580" w:type="dxa"/>
            <w:vAlign w:val="bottom"/>
            <w:shd w:val="clear" w:color="auto" w:fill="E8EDF4"/>
          </w:tcPr>
          <w:p>
            <w:pPr>
              <w:ind w:left="120"/>
              <w:spacing w:after="0"/>
              <w:rPr>
                <w:sz w:val="20"/>
                <w:szCs w:val="20"/>
                <w:color w:val="auto"/>
              </w:rPr>
            </w:pPr>
            <w:r>
              <w:rPr>
                <w:rFonts w:ascii="Arial" w:cs="Arial" w:eastAsia="Arial" w:hAnsi="Arial"/>
                <w:sz w:val="14"/>
                <w:szCs w:val="14"/>
                <w:color w:val="auto"/>
              </w:rPr>
              <w:t>Rajah</w:t>
            </w:r>
          </w:p>
        </w:tc>
        <w:tc>
          <w:tcPr>
            <w:tcW w:w="1000" w:type="dxa"/>
            <w:vAlign w:val="bottom"/>
            <w:shd w:val="clear" w:color="auto" w:fill="E8EDF4"/>
          </w:tcPr>
          <w:p>
            <w:pPr>
              <w:jc w:val="right"/>
              <w:ind w:right="109"/>
              <w:spacing w:after="0"/>
              <w:rPr>
                <w:sz w:val="20"/>
                <w:szCs w:val="20"/>
                <w:color w:val="auto"/>
              </w:rPr>
            </w:pPr>
            <w:r>
              <w:rPr>
                <w:rFonts w:ascii="Arial" w:cs="Arial" w:eastAsia="Arial" w:hAnsi="Arial"/>
                <w:sz w:val="14"/>
                <w:szCs w:val="14"/>
                <w:color w:val="auto"/>
              </w:rPr>
              <w:t>3/13/2019</w:t>
            </w:r>
          </w:p>
        </w:tc>
        <w:tc>
          <w:tcPr>
            <w:tcW w:w="720" w:type="dxa"/>
            <w:vAlign w:val="bottom"/>
            <w:shd w:val="clear" w:color="auto" w:fill="E8EDF4"/>
          </w:tcPr>
          <w:p>
            <w:pPr>
              <w:ind w:left="400"/>
              <w:spacing w:after="0"/>
              <w:rPr>
                <w:sz w:val="20"/>
                <w:szCs w:val="20"/>
                <w:color w:val="auto"/>
              </w:rPr>
            </w:pPr>
            <w:r>
              <w:rPr>
                <w:rFonts w:ascii="Arial" w:cs="Arial" w:eastAsia="Arial" w:hAnsi="Arial"/>
                <w:sz w:val="14"/>
                <w:szCs w:val="14"/>
                <w:color w:val="auto"/>
              </w:rPr>
              <w:t>—</w:t>
            </w:r>
          </w:p>
        </w:tc>
        <w:tc>
          <w:tcPr>
            <w:tcW w:w="880" w:type="dxa"/>
            <w:vAlign w:val="bottom"/>
            <w:shd w:val="clear" w:color="auto" w:fill="E8EDF4"/>
          </w:tcPr>
          <w:p>
            <w:pPr>
              <w:jc w:val="right"/>
              <w:ind w:right="129"/>
              <w:spacing w:after="0"/>
              <w:rPr>
                <w:sz w:val="20"/>
                <w:szCs w:val="20"/>
                <w:color w:val="auto"/>
              </w:rPr>
            </w:pPr>
            <w:r>
              <w:rPr>
                <w:rFonts w:ascii="Arial" w:cs="Arial" w:eastAsia="Arial" w:hAnsi="Arial"/>
                <w:sz w:val="14"/>
                <w:szCs w:val="14"/>
                <w:color w:val="auto"/>
              </w:rPr>
              <w:t>—</w:t>
            </w:r>
          </w:p>
        </w:tc>
        <w:tc>
          <w:tcPr>
            <w:tcW w:w="840" w:type="dxa"/>
            <w:vAlign w:val="bottom"/>
            <w:shd w:val="clear" w:color="auto" w:fill="E8EDF4"/>
          </w:tcPr>
          <w:p>
            <w:pPr>
              <w:ind w:left="520"/>
              <w:spacing w:after="0"/>
              <w:rPr>
                <w:sz w:val="20"/>
                <w:szCs w:val="20"/>
                <w:color w:val="auto"/>
              </w:rPr>
            </w:pPr>
            <w:r>
              <w:rPr>
                <w:rFonts w:ascii="Arial" w:cs="Arial" w:eastAsia="Arial" w:hAnsi="Arial"/>
                <w:sz w:val="14"/>
                <w:szCs w:val="14"/>
                <w:color w:val="auto"/>
              </w:rPr>
              <w:t>—</w:t>
            </w:r>
          </w:p>
        </w:tc>
        <w:tc>
          <w:tcPr>
            <w:tcW w:w="820" w:type="dxa"/>
            <w:vAlign w:val="bottom"/>
            <w:shd w:val="clear" w:color="auto" w:fill="E8EDF4"/>
          </w:tcPr>
          <w:p>
            <w:pPr>
              <w:ind w:left="480"/>
              <w:spacing w:after="0"/>
              <w:rPr>
                <w:sz w:val="20"/>
                <w:szCs w:val="20"/>
                <w:color w:val="auto"/>
              </w:rPr>
            </w:pPr>
            <w:r>
              <w:rPr>
                <w:rFonts w:ascii="Arial" w:cs="Arial" w:eastAsia="Arial" w:hAnsi="Arial"/>
                <w:sz w:val="14"/>
                <w:szCs w:val="14"/>
                <w:color w:val="auto"/>
              </w:rPr>
              <w:t>—</w:t>
            </w:r>
          </w:p>
        </w:tc>
        <w:tc>
          <w:tcPr>
            <w:tcW w:w="640" w:type="dxa"/>
            <w:vAlign w:val="bottom"/>
            <w:shd w:val="clear" w:color="auto" w:fill="E8EDF4"/>
          </w:tcPr>
          <w:p>
            <w:pPr>
              <w:jc w:val="right"/>
              <w:ind w:right="29"/>
              <w:spacing w:after="0"/>
              <w:rPr>
                <w:sz w:val="20"/>
                <w:szCs w:val="20"/>
                <w:color w:val="auto"/>
              </w:rPr>
            </w:pPr>
            <w:r>
              <w:rPr>
                <w:rFonts w:ascii="Arial" w:cs="Arial" w:eastAsia="Arial" w:hAnsi="Arial"/>
                <w:sz w:val="14"/>
                <w:szCs w:val="14"/>
                <w:color w:val="auto"/>
              </w:rPr>
              <w:t>5,987</w:t>
            </w:r>
          </w:p>
        </w:tc>
        <w:tc>
          <w:tcPr>
            <w:tcW w:w="720" w:type="dxa"/>
            <w:vAlign w:val="bottom"/>
            <w:shd w:val="clear" w:color="auto" w:fill="E8EDF4"/>
          </w:tcPr>
          <w:p>
            <w:pPr>
              <w:jc w:val="right"/>
              <w:spacing w:after="0"/>
              <w:rPr>
                <w:sz w:val="20"/>
                <w:szCs w:val="20"/>
                <w:color w:val="auto"/>
              </w:rPr>
            </w:pPr>
            <w:r>
              <w:rPr>
                <w:rFonts w:ascii="Arial" w:cs="Arial" w:eastAsia="Arial" w:hAnsi="Arial"/>
                <w:sz w:val="14"/>
                <w:szCs w:val="14"/>
                <w:color w:val="auto"/>
              </w:rPr>
              <w:t>11,974</w:t>
            </w:r>
          </w:p>
        </w:tc>
        <w:tc>
          <w:tcPr>
            <w:tcW w:w="1100" w:type="dxa"/>
            <w:vAlign w:val="bottom"/>
            <w:shd w:val="clear" w:color="auto" w:fill="E8EDF4"/>
          </w:tcPr>
          <w:p>
            <w:pPr>
              <w:jc w:val="right"/>
              <w:ind w:right="110"/>
              <w:spacing w:after="0"/>
              <w:rPr>
                <w:sz w:val="20"/>
                <w:szCs w:val="20"/>
                <w:color w:val="auto"/>
              </w:rPr>
            </w:pPr>
            <w:r>
              <w:rPr>
                <w:rFonts w:ascii="Arial" w:cs="Arial" w:eastAsia="Arial" w:hAnsi="Arial"/>
                <w:sz w:val="14"/>
                <w:szCs w:val="14"/>
                <w:color w:val="auto"/>
              </w:rPr>
              <w:t>—</w:t>
            </w:r>
          </w:p>
        </w:tc>
        <w:tc>
          <w:tcPr>
            <w:tcW w:w="1100" w:type="dxa"/>
            <w:vAlign w:val="bottom"/>
            <w:shd w:val="clear" w:color="auto" w:fill="E8EDF4"/>
          </w:tcPr>
          <w:p>
            <w:pPr>
              <w:jc w:val="right"/>
              <w:ind w:right="90"/>
              <w:spacing w:after="0"/>
              <w:rPr>
                <w:sz w:val="20"/>
                <w:szCs w:val="20"/>
                <w:color w:val="auto"/>
              </w:rPr>
            </w:pPr>
            <w:r>
              <w:rPr>
                <w:rFonts w:ascii="Arial" w:cs="Arial" w:eastAsia="Arial" w:hAnsi="Arial"/>
                <w:sz w:val="14"/>
                <w:szCs w:val="14"/>
                <w:color w:val="auto"/>
              </w:rPr>
              <w:t>—</w:t>
            </w:r>
          </w:p>
        </w:tc>
        <w:tc>
          <w:tcPr>
            <w:tcW w:w="680" w:type="dxa"/>
            <w:vAlign w:val="bottom"/>
            <w:shd w:val="clear" w:color="auto" w:fill="E8EDF4"/>
          </w:tcPr>
          <w:p>
            <w:pPr>
              <w:ind w:left="400"/>
              <w:spacing w:after="0"/>
              <w:rPr>
                <w:sz w:val="20"/>
                <w:szCs w:val="20"/>
                <w:color w:val="auto"/>
              </w:rPr>
            </w:pPr>
            <w:r>
              <w:rPr>
                <w:rFonts w:ascii="Arial" w:cs="Arial" w:eastAsia="Arial" w:hAnsi="Arial"/>
                <w:sz w:val="14"/>
                <w:szCs w:val="14"/>
                <w:color w:val="auto"/>
              </w:rPr>
              <w:t>—</w:t>
            </w:r>
          </w:p>
        </w:tc>
        <w:tc>
          <w:tcPr>
            <w:tcW w:w="940" w:type="dxa"/>
            <w:vAlign w:val="bottom"/>
            <w:shd w:val="clear" w:color="auto" w:fill="E8EDF4"/>
          </w:tcPr>
          <w:p>
            <w:pPr>
              <w:jc w:val="right"/>
              <w:spacing w:after="0"/>
              <w:rPr>
                <w:sz w:val="20"/>
                <w:szCs w:val="20"/>
                <w:color w:val="auto"/>
              </w:rPr>
            </w:pPr>
            <w:r>
              <w:rPr>
                <w:rFonts w:ascii="Arial" w:cs="Arial" w:eastAsia="Arial" w:hAnsi="Arial"/>
                <w:sz w:val="14"/>
                <w:szCs w:val="14"/>
                <w:color w:val="auto"/>
              </w:rPr>
              <w:t>684,673(6)</w:t>
            </w:r>
          </w:p>
        </w:tc>
        <w:tc>
          <w:tcPr>
            <w:tcW w:w="0" w:type="dxa"/>
            <w:vAlign w:val="bottom"/>
          </w:tcPr>
          <w:p>
            <w:pPr>
              <w:spacing w:after="0"/>
              <w:rPr>
                <w:sz w:val="1"/>
                <w:szCs w:val="1"/>
                <w:color w:val="auto"/>
              </w:rPr>
            </w:pPr>
          </w:p>
        </w:tc>
      </w:tr>
      <w:tr>
        <w:trPr>
          <w:trHeight w:val="162"/>
        </w:trPr>
        <w:tc>
          <w:tcPr>
            <w:tcW w:w="1580" w:type="dxa"/>
            <w:vAlign w:val="bottom"/>
            <w:shd w:val="clear" w:color="auto" w:fill="E8EDF4"/>
          </w:tcPr>
          <w:p>
            <w:pPr>
              <w:spacing w:after="0"/>
              <w:rPr>
                <w:sz w:val="14"/>
                <w:szCs w:val="14"/>
                <w:color w:val="auto"/>
              </w:rPr>
            </w:pPr>
          </w:p>
        </w:tc>
        <w:tc>
          <w:tcPr>
            <w:tcW w:w="1000" w:type="dxa"/>
            <w:vAlign w:val="bottom"/>
            <w:shd w:val="clear" w:color="auto" w:fill="E8EDF4"/>
          </w:tcPr>
          <w:p>
            <w:pPr>
              <w:jc w:val="right"/>
              <w:ind w:right="109"/>
              <w:spacing w:after="0"/>
              <w:rPr>
                <w:sz w:val="20"/>
                <w:szCs w:val="20"/>
                <w:color w:val="auto"/>
              </w:rPr>
            </w:pPr>
            <w:r>
              <w:rPr>
                <w:rFonts w:ascii="Arial" w:cs="Arial" w:eastAsia="Arial" w:hAnsi="Arial"/>
                <w:sz w:val="14"/>
                <w:szCs w:val="14"/>
                <w:color w:val="auto"/>
              </w:rPr>
              <w:t>3/13/2019</w:t>
            </w:r>
          </w:p>
        </w:tc>
        <w:tc>
          <w:tcPr>
            <w:tcW w:w="720" w:type="dxa"/>
            <w:vAlign w:val="bottom"/>
            <w:shd w:val="clear" w:color="auto" w:fill="E8EDF4"/>
          </w:tcPr>
          <w:p>
            <w:pPr>
              <w:ind w:left="400"/>
              <w:spacing w:after="0"/>
              <w:rPr>
                <w:sz w:val="20"/>
                <w:szCs w:val="20"/>
                <w:color w:val="auto"/>
              </w:rPr>
            </w:pPr>
            <w:r>
              <w:rPr>
                <w:rFonts w:ascii="Arial" w:cs="Arial" w:eastAsia="Arial" w:hAnsi="Arial"/>
                <w:sz w:val="14"/>
                <w:szCs w:val="14"/>
                <w:color w:val="auto"/>
              </w:rPr>
              <w:t>—</w:t>
            </w:r>
          </w:p>
        </w:tc>
        <w:tc>
          <w:tcPr>
            <w:tcW w:w="880" w:type="dxa"/>
            <w:vAlign w:val="bottom"/>
            <w:shd w:val="clear" w:color="auto" w:fill="E8EDF4"/>
          </w:tcPr>
          <w:p>
            <w:pPr>
              <w:jc w:val="right"/>
              <w:ind w:right="129"/>
              <w:spacing w:after="0"/>
              <w:rPr>
                <w:sz w:val="20"/>
                <w:szCs w:val="20"/>
                <w:color w:val="auto"/>
              </w:rPr>
            </w:pPr>
            <w:r>
              <w:rPr>
                <w:rFonts w:ascii="Arial" w:cs="Arial" w:eastAsia="Arial" w:hAnsi="Arial"/>
                <w:sz w:val="14"/>
                <w:szCs w:val="14"/>
                <w:color w:val="auto"/>
              </w:rPr>
              <w:t>—</w:t>
            </w:r>
          </w:p>
        </w:tc>
        <w:tc>
          <w:tcPr>
            <w:tcW w:w="840" w:type="dxa"/>
            <w:vAlign w:val="bottom"/>
            <w:shd w:val="clear" w:color="auto" w:fill="E8EDF4"/>
          </w:tcPr>
          <w:p>
            <w:pPr>
              <w:ind w:left="520"/>
              <w:spacing w:after="0"/>
              <w:rPr>
                <w:sz w:val="20"/>
                <w:szCs w:val="20"/>
                <w:color w:val="auto"/>
              </w:rPr>
            </w:pPr>
            <w:r>
              <w:rPr>
                <w:rFonts w:ascii="Arial" w:cs="Arial" w:eastAsia="Arial" w:hAnsi="Arial"/>
                <w:sz w:val="14"/>
                <w:szCs w:val="14"/>
                <w:color w:val="auto"/>
              </w:rPr>
              <w:t>—</w:t>
            </w:r>
          </w:p>
        </w:tc>
        <w:tc>
          <w:tcPr>
            <w:tcW w:w="820" w:type="dxa"/>
            <w:vAlign w:val="bottom"/>
            <w:shd w:val="clear" w:color="auto" w:fill="E8EDF4"/>
          </w:tcPr>
          <w:p>
            <w:pPr>
              <w:ind w:left="480"/>
              <w:spacing w:after="0"/>
              <w:rPr>
                <w:sz w:val="20"/>
                <w:szCs w:val="20"/>
                <w:color w:val="auto"/>
              </w:rPr>
            </w:pPr>
            <w:r>
              <w:rPr>
                <w:rFonts w:ascii="Arial" w:cs="Arial" w:eastAsia="Arial" w:hAnsi="Arial"/>
                <w:sz w:val="14"/>
                <w:szCs w:val="14"/>
                <w:color w:val="auto"/>
              </w:rPr>
              <w:t>—</w:t>
            </w:r>
          </w:p>
        </w:tc>
        <w:tc>
          <w:tcPr>
            <w:tcW w:w="640" w:type="dxa"/>
            <w:vAlign w:val="bottom"/>
            <w:shd w:val="clear" w:color="auto" w:fill="E8EDF4"/>
          </w:tcPr>
          <w:p>
            <w:pPr>
              <w:jc w:val="right"/>
              <w:ind w:right="29"/>
              <w:spacing w:after="0"/>
              <w:rPr>
                <w:sz w:val="20"/>
                <w:szCs w:val="20"/>
                <w:color w:val="auto"/>
              </w:rPr>
            </w:pPr>
            <w:r>
              <w:rPr>
                <w:rFonts w:ascii="Arial" w:cs="Arial" w:eastAsia="Arial" w:hAnsi="Arial"/>
                <w:sz w:val="14"/>
                <w:szCs w:val="14"/>
                <w:color w:val="auto"/>
              </w:rPr>
              <w:t>5,987</w:t>
            </w:r>
          </w:p>
        </w:tc>
        <w:tc>
          <w:tcPr>
            <w:tcW w:w="720" w:type="dxa"/>
            <w:vAlign w:val="bottom"/>
            <w:shd w:val="clear" w:color="auto" w:fill="E8EDF4"/>
          </w:tcPr>
          <w:p>
            <w:pPr>
              <w:jc w:val="right"/>
              <w:spacing w:after="0"/>
              <w:rPr>
                <w:sz w:val="20"/>
                <w:szCs w:val="20"/>
                <w:color w:val="auto"/>
              </w:rPr>
            </w:pPr>
            <w:r>
              <w:rPr>
                <w:rFonts w:ascii="Arial" w:cs="Arial" w:eastAsia="Arial" w:hAnsi="Arial"/>
                <w:sz w:val="14"/>
                <w:szCs w:val="14"/>
                <w:color w:val="auto"/>
              </w:rPr>
              <w:t>11,974</w:t>
            </w:r>
          </w:p>
        </w:tc>
        <w:tc>
          <w:tcPr>
            <w:tcW w:w="1100" w:type="dxa"/>
            <w:vAlign w:val="bottom"/>
            <w:shd w:val="clear" w:color="auto" w:fill="E8EDF4"/>
          </w:tcPr>
          <w:p>
            <w:pPr>
              <w:jc w:val="right"/>
              <w:ind w:right="110"/>
              <w:spacing w:after="0"/>
              <w:rPr>
                <w:sz w:val="20"/>
                <w:szCs w:val="20"/>
                <w:color w:val="auto"/>
              </w:rPr>
            </w:pPr>
            <w:r>
              <w:rPr>
                <w:rFonts w:ascii="Arial" w:cs="Arial" w:eastAsia="Arial" w:hAnsi="Arial"/>
                <w:sz w:val="14"/>
                <w:szCs w:val="14"/>
                <w:color w:val="auto"/>
              </w:rPr>
              <w:t>—</w:t>
            </w:r>
          </w:p>
        </w:tc>
        <w:tc>
          <w:tcPr>
            <w:tcW w:w="1100" w:type="dxa"/>
            <w:vAlign w:val="bottom"/>
            <w:shd w:val="clear" w:color="auto" w:fill="E8EDF4"/>
          </w:tcPr>
          <w:p>
            <w:pPr>
              <w:jc w:val="right"/>
              <w:ind w:right="90"/>
              <w:spacing w:after="0"/>
              <w:rPr>
                <w:sz w:val="20"/>
                <w:szCs w:val="20"/>
                <w:color w:val="auto"/>
              </w:rPr>
            </w:pPr>
            <w:r>
              <w:rPr>
                <w:rFonts w:ascii="Arial" w:cs="Arial" w:eastAsia="Arial" w:hAnsi="Arial"/>
                <w:sz w:val="14"/>
                <w:szCs w:val="14"/>
                <w:color w:val="auto"/>
              </w:rPr>
              <w:t>—</w:t>
            </w:r>
          </w:p>
        </w:tc>
        <w:tc>
          <w:tcPr>
            <w:tcW w:w="680" w:type="dxa"/>
            <w:vAlign w:val="bottom"/>
            <w:shd w:val="clear" w:color="auto" w:fill="E8EDF4"/>
          </w:tcPr>
          <w:p>
            <w:pPr>
              <w:ind w:left="400"/>
              <w:spacing w:after="0"/>
              <w:rPr>
                <w:sz w:val="20"/>
                <w:szCs w:val="20"/>
                <w:color w:val="auto"/>
              </w:rPr>
            </w:pPr>
            <w:r>
              <w:rPr>
                <w:rFonts w:ascii="Arial" w:cs="Arial" w:eastAsia="Arial" w:hAnsi="Arial"/>
                <w:sz w:val="14"/>
                <w:szCs w:val="14"/>
                <w:color w:val="auto"/>
              </w:rPr>
              <w:t>—</w:t>
            </w:r>
          </w:p>
        </w:tc>
        <w:tc>
          <w:tcPr>
            <w:tcW w:w="940" w:type="dxa"/>
            <w:vAlign w:val="bottom"/>
            <w:shd w:val="clear" w:color="auto" w:fill="E8EDF4"/>
          </w:tcPr>
          <w:p>
            <w:pPr>
              <w:jc w:val="right"/>
              <w:spacing w:after="0"/>
              <w:rPr>
                <w:sz w:val="20"/>
                <w:szCs w:val="20"/>
                <w:color w:val="auto"/>
              </w:rPr>
            </w:pPr>
            <w:r>
              <w:rPr>
                <w:rFonts w:ascii="Arial" w:cs="Arial" w:eastAsia="Arial" w:hAnsi="Arial"/>
                <w:sz w:val="14"/>
                <w:szCs w:val="14"/>
                <w:color w:val="auto"/>
              </w:rPr>
              <w:t>550,831(6)</w:t>
            </w:r>
          </w:p>
        </w:tc>
        <w:tc>
          <w:tcPr>
            <w:tcW w:w="0" w:type="dxa"/>
            <w:vAlign w:val="bottom"/>
          </w:tcPr>
          <w:p>
            <w:pPr>
              <w:spacing w:after="0"/>
              <w:rPr>
                <w:sz w:val="1"/>
                <w:szCs w:val="1"/>
                <w:color w:val="auto"/>
              </w:rPr>
            </w:pPr>
          </w:p>
        </w:tc>
      </w:tr>
      <w:tr>
        <w:trPr>
          <w:trHeight w:val="162"/>
        </w:trPr>
        <w:tc>
          <w:tcPr>
            <w:tcW w:w="1580" w:type="dxa"/>
            <w:vAlign w:val="bottom"/>
            <w:shd w:val="clear" w:color="auto" w:fill="E8EDF4"/>
          </w:tcPr>
          <w:p>
            <w:pPr>
              <w:spacing w:after="0"/>
              <w:rPr>
                <w:sz w:val="14"/>
                <w:szCs w:val="14"/>
                <w:color w:val="auto"/>
              </w:rPr>
            </w:pPr>
          </w:p>
        </w:tc>
        <w:tc>
          <w:tcPr>
            <w:tcW w:w="1000" w:type="dxa"/>
            <w:vAlign w:val="bottom"/>
            <w:shd w:val="clear" w:color="auto" w:fill="E8EDF4"/>
          </w:tcPr>
          <w:p>
            <w:pPr>
              <w:jc w:val="right"/>
              <w:ind w:right="109"/>
              <w:spacing w:after="0"/>
              <w:rPr>
                <w:sz w:val="20"/>
                <w:szCs w:val="20"/>
                <w:color w:val="auto"/>
              </w:rPr>
            </w:pPr>
            <w:r>
              <w:rPr>
                <w:rFonts w:ascii="Arial" w:cs="Arial" w:eastAsia="Arial" w:hAnsi="Arial"/>
                <w:sz w:val="14"/>
                <w:szCs w:val="14"/>
                <w:color w:val="auto"/>
              </w:rPr>
              <w:t>3/13/2019</w:t>
            </w:r>
          </w:p>
        </w:tc>
        <w:tc>
          <w:tcPr>
            <w:tcW w:w="720" w:type="dxa"/>
            <w:vAlign w:val="bottom"/>
            <w:shd w:val="clear" w:color="auto" w:fill="E8EDF4"/>
          </w:tcPr>
          <w:p>
            <w:pPr>
              <w:ind w:left="400"/>
              <w:spacing w:after="0"/>
              <w:rPr>
                <w:sz w:val="20"/>
                <w:szCs w:val="20"/>
                <w:color w:val="auto"/>
              </w:rPr>
            </w:pPr>
            <w:r>
              <w:rPr>
                <w:rFonts w:ascii="Arial" w:cs="Arial" w:eastAsia="Arial" w:hAnsi="Arial"/>
                <w:sz w:val="14"/>
                <w:szCs w:val="14"/>
                <w:color w:val="auto"/>
              </w:rPr>
              <w:t>—</w:t>
            </w:r>
          </w:p>
        </w:tc>
        <w:tc>
          <w:tcPr>
            <w:tcW w:w="880" w:type="dxa"/>
            <w:vAlign w:val="bottom"/>
            <w:shd w:val="clear" w:color="auto" w:fill="E8EDF4"/>
          </w:tcPr>
          <w:p>
            <w:pPr>
              <w:jc w:val="right"/>
              <w:ind w:right="129"/>
              <w:spacing w:after="0"/>
              <w:rPr>
                <w:sz w:val="20"/>
                <w:szCs w:val="20"/>
                <w:color w:val="auto"/>
              </w:rPr>
            </w:pPr>
            <w:r>
              <w:rPr>
                <w:rFonts w:ascii="Arial" w:cs="Arial" w:eastAsia="Arial" w:hAnsi="Arial"/>
                <w:sz w:val="14"/>
                <w:szCs w:val="14"/>
                <w:color w:val="auto"/>
              </w:rPr>
              <w:t>—</w:t>
            </w:r>
          </w:p>
        </w:tc>
        <w:tc>
          <w:tcPr>
            <w:tcW w:w="840" w:type="dxa"/>
            <w:vAlign w:val="bottom"/>
            <w:shd w:val="clear" w:color="auto" w:fill="E8EDF4"/>
          </w:tcPr>
          <w:p>
            <w:pPr>
              <w:ind w:left="520"/>
              <w:spacing w:after="0"/>
              <w:rPr>
                <w:sz w:val="20"/>
                <w:szCs w:val="20"/>
                <w:color w:val="auto"/>
              </w:rPr>
            </w:pPr>
            <w:r>
              <w:rPr>
                <w:rFonts w:ascii="Arial" w:cs="Arial" w:eastAsia="Arial" w:hAnsi="Arial"/>
                <w:sz w:val="14"/>
                <w:szCs w:val="14"/>
                <w:color w:val="auto"/>
              </w:rPr>
              <w:t>—</w:t>
            </w:r>
          </w:p>
        </w:tc>
        <w:tc>
          <w:tcPr>
            <w:tcW w:w="820" w:type="dxa"/>
            <w:vAlign w:val="bottom"/>
            <w:shd w:val="clear" w:color="auto" w:fill="E8EDF4"/>
          </w:tcPr>
          <w:p>
            <w:pPr>
              <w:ind w:left="480"/>
              <w:spacing w:after="0"/>
              <w:rPr>
                <w:sz w:val="20"/>
                <w:szCs w:val="20"/>
                <w:color w:val="auto"/>
              </w:rPr>
            </w:pPr>
            <w:r>
              <w:rPr>
                <w:rFonts w:ascii="Arial" w:cs="Arial" w:eastAsia="Arial" w:hAnsi="Arial"/>
                <w:sz w:val="14"/>
                <w:szCs w:val="14"/>
                <w:color w:val="auto"/>
              </w:rPr>
              <w:t>—</w:t>
            </w:r>
          </w:p>
        </w:tc>
        <w:tc>
          <w:tcPr>
            <w:tcW w:w="640" w:type="dxa"/>
            <w:vAlign w:val="bottom"/>
            <w:shd w:val="clear" w:color="auto" w:fill="E8EDF4"/>
          </w:tcPr>
          <w:p>
            <w:pPr>
              <w:jc w:val="right"/>
              <w:ind w:right="109"/>
              <w:spacing w:after="0"/>
              <w:rPr>
                <w:sz w:val="20"/>
                <w:szCs w:val="20"/>
                <w:color w:val="auto"/>
              </w:rPr>
            </w:pPr>
            <w:r>
              <w:rPr>
                <w:rFonts w:ascii="Arial" w:cs="Arial" w:eastAsia="Arial" w:hAnsi="Arial"/>
                <w:sz w:val="14"/>
                <w:szCs w:val="14"/>
                <w:color w:val="auto"/>
              </w:rPr>
              <w:t>—</w:t>
            </w:r>
          </w:p>
        </w:tc>
        <w:tc>
          <w:tcPr>
            <w:tcW w:w="720" w:type="dxa"/>
            <w:vAlign w:val="bottom"/>
            <w:shd w:val="clear" w:color="auto" w:fill="E8EDF4"/>
          </w:tcPr>
          <w:p>
            <w:pPr>
              <w:jc w:val="right"/>
              <w:ind w:right="49"/>
              <w:spacing w:after="0"/>
              <w:rPr>
                <w:sz w:val="20"/>
                <w:szCs w:val="20"/>
                <w:color w:val="auto"/>
              </w:rPr>
            </w:pPr>
            <w:r>
              <w:rPr>
                <w:rFonts w:ascii="Arial" w:cs="Arial" w:eastAsia="Arial" w:hAnsi="Arial"/>
                <w:sz w:val="14"/>
                <w:szCs w:val="14"/>
                <w:color w:val="auto"/>
              </w:rPr>
              <w:t>—</w:t>
            </w:r>
          </w:p>
        </w:tc>
        <w:tc>
          <w:tcPr>
            <w:tcW w:w="1100" w:type="dxa"/>
            <w:vAlign w:val="bottom"/>
            <w:shd w:val="clear" w:color="auto" w:fill="E8EDF4"/>
          </w:tcPr>
          <w:p>
            <w:pPr>
              <w:jc w:val="right"/>
              <w:ind w:right="30"/>
              <w:spacing w:after="0"/>
              <w:rPr>
                <w:sz w:val="20"/>
                <w:szCs w:val="20"/>
                <w:color w:val="auto"/>
              </w:rPr>
            </w:pPr>
            <w:r>
              <w:rPr>
                <w:rFonts w:ascii="Arial" w:cs="Arial" w:eastAsia="Arial" w:hAnsi="Arial"/>
                <w:sz w:val="14"/>
                <w:szCs w:val="14"/>
                <w:color w:val="auto"/>
              </w:rPr>
              <w:t>5,987</w:t>
            </w:r>
          </w:p>
        </w:tc>
        <w:tc>
          <w:tcPr>
            <w:tcW w:w="1100" w:type="dxa"/>
            <w:vAlign w:val="bottom"/>
            <w:shd w:val="clear" w:color="auto" w:fill="E8EDF4"/>
          </w:tcPr>
          <w:p>
            <w:pPr>
              <w:jc w:val="right"/>
              <w:ind w:right="90"/>
              <w:spacing w:after="0"/>
              <w:rPr>
                <w:sz w:val="20"/>
                <w:szCs w:val="20"/>
                <w:color w:val="auto"/>
              </w:rPr>
            </w:pPr>
            <w:r>
              <w:rPr>
                <w:rFonts w:ascii="Arial" w:cs="Arial" w:eastAsia="Arial" w:hAnsi="Arial"/>
                <w:sz w:val="14"/>
                <w:szCs w:val="14"/>
                <w:color w:val="auto"/>
              </w:rPr>
              <w:t>—</w:t>
            </w:r>
          </w:p>
        </w:tc>
        <w:tc>
          <w:tcPr>
            <w:tcW w:w="680" w:type="dxa"/>
            <w:vAlign w:val="bottom"/>
            <w:shd w:val="clear" w:color="auto" w:fill="E8EDF4"/>
          </w:tcPr>
          <w:p>
            <w:pPr>
              <w:ind w:left="400"/>
              <w:spacing w:after="0"/>
              <w:rPr>
                <w:sz w:val="20"/>
                <w:szCs w:val="20"/>
                <w:color w:val="auto"/>
              </w:rPr>
            </w:pPr>
            <w:r>
              <w:rPr>
                <w:rFonts w:ascii="Arial" w:cs="Arial" w:eastAsia="Arial" w:hAnsi="Arial"/>
                <w:sz w:val="14"/>
                <w:szCs w:val="14"/>
                <w:color w:val="auto"/>
              </w:rPr>
              <w:t>—</w:t>
            </w:r>
          </w:p>
        </w:tc>
        <w:tc>
          <w:tcPr>
            <w:tcW w:w="940" w:type="dxa"/>
            <w:vAlign w:val="bottom"/>
            <w:shd w:val="clear" w:color="auto" w:fill="E8EDF4"/>
          </w:tcPr>
          <w:p>
            <w:pPr>
              <w:jc w:val="right"/>
              <w:spacing w:after="0"/>
              <w:rPr>
                <w:sz w:val="20"/>
                <w:szCs w:val="20"/>
                <w:color w:val="auto"/>
              </w:rPr>
            </w:pPr>
            <w:r>
              <w:rPr>
                <w:rFonts w:ascii="Arial" w:cs="Arial" w:eastAsia="Arial" w:hAnsi="Arial"/>
                <w:sz w:val="14"/>
                <w:szCs w:val="14"/>
                <w:color w:val="auto"/>
              </w:rPr>
              <w:t>615,943(7)</w:t>
            </w:r>
          </w:p>
        </w:tc>
        <w:tc>
          <w:tcPr>
            <w:tcW w:w="0" w:type="dxa"/>
            <w:vAlign w:val="bottom"/>
          </w:tcPr>
          <w:p>
            <w:pPr>
              <w:spacing w:after="0"/>
              <w:rPr>
                <w:sz w:val="1"/>
                <w:szCs w:val="1"/>
                <w:color w:val="auto"/>
              </w:rPr>
            </w:pPr>
          </w:p>
        </w:tc>
      </w:tr>
      <w:tr>
        <w:trPr>
          <w:trHeight w:val="162"/>
        </w:trPr>
        <w:tc>
          <w:tcPr>
            <w:tcW w:w="1580" w:type="dxa"/>
            <w:vAlign w:val="bottom"/>
            <w:shd w:val="clear" w:color="auto" w:fill="E8EDF4"/>
          </w:tcPr>
          <w:p>
            <w:pPr>
              <w:spacing w:after="0"/>
              <w:rPr>
                <w:sz w:val="14"/>
                <w:szCs w:val="14"/>
                <w:color w:val="auto"/>
              </w:rPr>
            </w:pPr>
          </w:p>
        </w:tc>
        <w:tc>
          <w:tcPr>
            <w:tcW w:w="1000" w:type="dxa"/>
            <w:vAlign w:val="bottom"/>
            <w:shd w:val="clear" w:color="auto" w:fill="E8EDF4"/>
          </w:tcPr>
          <w:p>
            <w:pPr>
              <w:jc w:val="right"/>
              <w:ind w:right="109"/>
              <w:spacing w:after="0"/>
              <w:rPr>
                <w:sz w:val="20"/>
                <w:szCs w:val="20"/>
                <w:color w:val="auto"/>
              </w:rPr>
            </w:pPr>
            <w:r>
              <w:rPr>
                <w:rFonts w:ascii="Arial" w:cs="Arial" w:eastAsia="Arial" w:hAnsi="Arial"/>
                <w:sz w:val="14"/>
                <w:szCs w:val="14"/>
                <w:color w:val="auto"/>
              </w:rPr>
              <w:t>3/13/2019</w:t>
            </w:r>
          </w:p>
        </w:tc>
        <w:tc>
          <w:tcPr>
            <w:tcW w:w="720" w:type="dxa"/>
            <w:vAlign w:val="bottom"/>
            <w:shd w:val="clear" w:color="auto" w:fill="E8EDF4"/>
          </w:tcPr>
          <w:p>
            <w:pPr>
              <w:ind w:left="400"/>
              <w:spacing w:after="0"/>
              <w:rPr>
                <w:sz w:val="20"/>
                <w:szCs w:val="20"/>
                <w:color w:val="auto"/>
              </w:rPr>
            </w:pPr>
            <w:r>
              <w:rPr>
                <w:rFonts w:ascii="Arial" w:cs="Arial" w:eastAsia="Arial" w:hAnsi="Arial"/>
                <w:sz w:val="14"/>
                <w:szCs w:val="14"/>
                <w:color w:val="auto"/>
              </w:rPr>
              <w:t>—</w:t>
            </w:r>
          </w:p>
        </w:tc>
        <w:tc>
          <w:tcPr>
            <w:tcW w:w="880" w:type="dxa"/>
            <w:vAlign w:val="bottom"/>
            <w:shd w:val="clear" w:color="auto" w:fill="E8EDF4"/>
          </w:tcPr>
          <w:p>
            <w:pPr>
              <w:jc w:val="right"/>
              <w:ind w:right="129"/>
              <w:spacing w:after="0"/>
              <w:rPr>
                <w:sz w:val="20"/>
                <w:szCs w:val="20"/>
                <w:color w:val="auto"/>
              </w:rPr>
            </w:pPr>
            <w:r>
              <w:rPr>
                <w:rFonts w:ascii="Arial" w:cs="Arial" w:eastAsia="Arial" w:hAnsi="Arial"/>
                <w:sz w:val="14"/>
                <w:szCs w:val="14"/>
                <w:color w:val="auto"/>
              </w:rPr>
              <w:t>—</w:t>
            </w:r>
          </w:p>
        </w:tc>
        <w:tc>
          <w:tcPr>
            <w:tcW w:w="840" w:type="dxa"/>
            <w:vAlign w:val="bottom"/>
            <w:shd w:val="clear" w:color="auto" w:fill="E8EDF4"/>
          </w:tcPr>
          <w:p>
            <w:pPr>
              <w:ind w:left="520"/>
              <w:spacing w:after="0"/>
              <w:rPr>
                <w:sz w:val="20"/>
                <w:szCs w:val="20"/>
                <w:color w:val="auto"/>
              </w:rPr>
            </w:pPr>
            <w:r>
              <w:rPr>
                <w:rFonts w:ascii="Arial" w:cs="Arial" w:eastAsia="Arial" w:hAnsi="Arial"/>
                <w:sz w:val="14"/>
                <w:szCs w:val="14"/>
                <w:color w:val="auto"/>
              </w:rPr>
              <w:t>—</w:t>
            </w:r>
          </w:p>
        </w:tc>
        <w:tc>
          <w:tcPr>
            <w:tcW w:w="820" w:type="dxa"/>
            <w:vAlign w:val="bottom"/>
            <w:shd w:val="clear" w:color="auto" w:fill="E8EDF4"/>
          </w:tcPr>
          <w:p>
            <w:pPr>
              <w:ind w:left="480"/>
              <w:spacing w:after="0"/>
              <w:rPr>
                <w:sz w:val="20"/>
                <w:szCs w:val="20"/>
                <w:color w:val="auto"/>
              </w:rPr>
            </w:pPr>
            <w:r>
              <w:rPr>
                <w:rFonts w:ascii="Arial" w:cs="Arial" w:eastAsia="Arial" w:hAnsi="Arial"/>
                <w:sz w:val="14"/>
                <w:szCs w:val="14"/>
                <w:color w:val="auto"/>
              </w:rPr>
              <w:t>—</w:t>
            </w:r>
          </w:p>
        </w:tc>
        <w:tc>
          <w:tcPr>
            <w:tcW w:w="640" w:type="dxa"/>
            <w:vAlign w:val="bottom"/>
            <w:shd w:val="clear" w:color="auto" w:fill="E8EDF4"/>
          </w:tcPr>
          <w:p>
            <w:pPr>
              <w:jc w:val="right"/>
              <w:ind w:right="109"/>
              <w:spacing w:after="0"/>
              <w:rPr>
                <w:sz w:val="20"/>
                <w:szCs w:val="20"/>
                <w:color w:val="auto"/>
              </w:rPr>
            </w:pPr>
            <w:r>
              <w:rPr>
                <w:rFonts w:ascii="Arial" w:cs="Arial" w:eastAsia="Arial" w:hAnsi="Arial"/>
                <w:sz w:val="14"/>
                <w:szCs w:val="14"/>
                <w:color w:val="auto"/>
              </w:rPr>
              <w:t>—</w:t>
            </w:r>
          </w:p>
        </w:tc>
        <w:tc>
          <w:tcPr>
            <w:tcW w:w="720" w:type="dxa"/>
            <w:vAlign w:val="bottom"/>
            <w:shd w:val="clear" w:color="auto" w:fill="E8EDF4"/>
          </w:tcPr>
          <w:p>
            <w:pPr>
              <w:jc w:val="right"/>
              <w:ind w:right="49"/>
              <w:spacing w:after="0"/>
              <w:rPr>
                <w:sz w:val="20"/>
                <w:szCs w:val="20"/>
                <w:color w:val="auto"/>
              </w:rPr>
            </w:pPr>
            <w:r>
              <w:rPr>
                <w:rFonts w:ascii="Arial" w:cs="Arial" w:eastAsia="Arial" w:hAnsi="Arial"/>
                <w:sz w:val="14"/>
                <w:szCs w:val="14"/>
                <w:color w:val="auto"/>
              </w:rPr>
              <w:t>—</w:t>
            </w:r>
          </w:p>
        </w:tc>
        <w:tc>
          <w:tcPr>
            <w:tcW w:w="1100" w:type="dxa"/>
            <w:vAlign w:val="bottom"/>
            <w:shd w:val="clear" w:color="auto" w:fill="E8EDF4"/>
          </w:tcPr>
          <w:p>
            <w:pPr>
              <w:jc w:val="right"/>
              <w:ind w:right="110"/>
              <w:spacing w:after="0"/>
              <w:rPr>
                <w:sz w:val="20"/>
                <w:szCs w:val="20"/>
                <w:color w:val="auto"/>
              </w:rPr>
            </w:pPr>
            <w:r>
              <w:rPr>
                <w:rFonts w:ascii="Arial" w:cs="Arial" w:eastAsia="Arial" w:hAnsi="Arial"/>
                <w:sz w:val="14"/>
                <w:szCs w:val="14"/>
                <w:color w:val="auto"/>
              </w:rPr>
              <w:t>—</w:t>
            </w:r>
          </w:p>
        </w:tc>
        <w:tc>
          <w:tcPr>
            <w:tcW w:w="1100" w:type="dxa"/>
            <w:vAlign w:val="bottom"/>
            <w:shd w:val="clear" w:color="auto" w:fill="E8EDF4"/>
          </w:tcPr>
          <w:p>
            <w:pPr>
              <w:jc w:val="right"/>
              <w:ind w:right="10"/>
              <w:spacing w:after="0"/>
              <w:rPr>
                <w:sz w:val="20"/>
                <w:szCs w:val="20"/>
                <w:color w:val="auto"/>
              </w:rPr>
            </w:pPr>
            <w:r>
              <w:rPr>
                <w:rFonts w:ascii="Arial" w:cs="Arial" w:eastAsia="Arial" w:hAnsi="Arial"/>
                <w:sz w:val="14"/>
                <w:szCs w:val="14"/>
                <w:color w:val="auto"/>
              </w:rPr>
              <w:t>26,513</w:t>
            </w:r>
          </w:p>
        </w:tc>
        <w:tc>
          <w:tcPr>
            <w:tcW w:w="680" w:type="dxa"/>
            <w:vAlign w:val="bottom"/>
            <w:shd w:val="clear" w:color="auto" w:fill="E8EDF4"/>
          </w:tcPr>
          <w:p>
            <w:pPr>
              <w:ind w:left="180"/>
              <w:spacing w:after="0"/>
              <w:rPr>
                <w:sz w:val="20"/>
                <w:szCs w:val="20"/>
                <w:color w:val="auto"/>
              </w:rPr>
            </w:pPr>
            <w:r>
              <w:rPr>
                <w:rFonts w:ascii="Arial" w:cs="Arial" w:eastAsia="Arial" w:hAnsi="Arial"/>
                <w:sz w:val="14"/>
                <w:szCs w:val="14"/>
                <w:color w:val="auto"/>
              </w:rPr>
              <w:t>108.08</w:t>
            </w:r>
          </w:p>
        </w:tc>
        <w:tc>
          <w:tcPr>
            <w:tcW w:w="940" w:type="dxa"/>
            <w:vAlign w:val="bottom"/>
            <w:shd w:val="clear" w:color="auto" w:fill="E8EDF4"/>
          </w:tcPr>
          <w:p>
            <w:pPr>
              <w:jc w:val="right"/>
              <w:spacing w:after="0"/>
              <w:rPr>
                <w:sz w:val="20"/>
                <w:szCs w:val="20"/>
                <w:color w:val="auto"/>
              </w:rPr>
            </w:pPr>
            <w:r>
              <w:rPr>
                <w:rFonts w:ascii="Arial" w:cs="Arial" w:eastAsia="Arial" w:hAnsi="Arial"/>
                <w:sz w:val="14"/>
                <w:szCs w:val="14"/>
                <w:color w:val="auto"/>
              </w:rPr>
              <w:t>621,295(8)</w:t>
            </w:r>
          </w:p>
        </w:tc>
        <w:tc>
          <w:tcPr>
            <w:tcW w:w="0" w:type="dxa"/>
            <w:vAlign w:val="bottom"/>
          </w:tcPr>
          <w:p>
            <w:pPr>
              <w:spacing w:after="0"/>
              <w:rPr>
                <w:sz w:val="1"/>
                <w:szCs w:val="1"/>
                <w:color w:val="auto"/>
              </w:rPr>
            </w:pPr>
          </w:p>
        </w:tc>
      </w:tr>
      <w:tr>
        <w:trPr>
          <w:trHeight w:val="167"/>
        </w:trPr>
        <w:tc>
          <w:tcPr>
            <w:tcW w:w="1580" w:type="dxa"/>
            <w:vAlign w:val="bottom"/>
          </w:tcPr>
          <w:p>
            <w:pPr>
              <w:ind w:left="20"/>
              <w:spacing w:after="0"/>
              <w:rPr>
                <w:sz w:val="20"/>
                <w:szCs w:val="20"/>
                <w:color w:val="auto"/>
              </w:rPr>
            </w:pPr>
            <w:r>
              <w:rPr>
                <w:rFonts w:ascii="Arial" w:cs="Arial" w:eastAsia="Arial" w:hAnsi="Arial"/>
                <w:sz w:val="14"/>
                <w:szCs w:val="14"/>
                <w:color w:val="auto"/>
              </w:rPr>
              <w:t>Martin Cotter</w:t>
            </w:r>
          </w:p>
        </w:tc>
        <w:tc>
          <w:tcPr>
            <w:tcW w:w="1000" w:type="dxa"/>
            <w:vAlign w:val="bottom"/>
          </w:tcPr>
          <w:p>
            <w:pPr>
              <w:jc w:val="right"/>
              <w:ind w:right="109"/>
              <w:spacing w:after="0"/>
              <w:rPr>
                <w:sz w:val="20"/>
                <w:szCs w:val="20"/>
                <w:color w:val="auto"/>
              </w:rPr>
            </w:pPr>
            <w:r>
              <w:rPr>
                <w:rFonts w:ascii="Arial" w:cs="Arial" w:eastAsia="Arial" w:hAnsi="Arial"/>
                <w:sz w:val="14"/>
                <w:szCs w:val="14"/>
                <w:color w:val="auto"/>
              </w:rPr>
              <w:t>N/A</w:t>
            </w:r>
          </w:p>
        </w:tc>
        <w:tc>
          <w:tcPr>
            <w:tcW w:w="720" w:type="dxa"/>
            <w:vAlign w:val="bottom"/>
          </w:tcPr>
          <w:p>
            <w:pPr>
              <w:ind w:left="40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456,154</w:t>
            </w:r>
          </w:p>
        </w:tc>
        <w:tc>
          <w:tcPr>
            <w:tcW w:w="840" w:type="dxa"/>
            <w:vAlign w:val="bottom"/>
          </w:tcPr>
          <w:p>
            <w:pPr>
              <w:ind w:left="100"/>
              <w:spacing w:after="0"/>
              <w:rPr>
                <w:sz w:val="20"/>
                <w:szCs w:val="20"/>
                <w:color w:val="auto"/>
              </w:rPr>
            </w:pPr>
            <w:r>
              <w:rPr>
                <w:rFonts w:ascii="Arial" w:cs="Arial" w:eastAsia="Arial" w:hAnsi="Arial"/>
                <w:sz w:val="14"/>
                <w:szCs w:val="14"/>
                <w:color w:val="auto"/>
              </w:rPr>
              <w:t>1,368,462</w:t>
            </w:r>
          </w:p>
        </w:tc>
        <w:tc>
          <w:tcPr>
            <w:tcW w:w="820" w:type="dxa"/>
            <w:vAlign w:val="bottom"/>
          </w:tcPr>
          <w:p>
            <w:pPr>
              <w:ind w:left="48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680" w:type="dxa"/>
            <w:vAlign w:val="bottom"/>
          </w:tcPr>
          <w:p>
            <w:pPr>
              <w:ind w:left="40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5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1000" w:type="dxa"/>
            <w:vAlign w:val="bottom"/>
          </w:tcPr>
          <w:p>
            <w:pPr>
              <w:jc w:val="right"/>
              <w:ind w:right="109"/>
              <w:spacing w:after="0"/>
              <w:rPr>
                <w:sz w:val="20"/>
                <w:szCs w:val="20"/>
                <w:color w:val="auto"/>
              </w:rPr>
            </w:pPr>
            <w:r>
              <w:rPr>
                <w:rFonts w:ascii="Arial" w:cs="Arial" w:eastAsia="Arial" w:hAnsi="Arial"/>
                <w:sz w:val="14"/>
                <w:szCs w:val="14"/>
                <w:color w:val="auto"/>
              </w:rPr>
              <w:t>3/13/2019</w:t>
            </w:r>
          </w:p>
        </w:tc>
        <w:tc>
          <w:tcPr>
            <w:tcW w:w="720" w:type="dxa"/>
            <w:vAlign w:val="bottom"/>
          </w:tcPr>
          <w:p>
            <w:pPr>
              <w:ind w:left="40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840" w:type="dxa"/>
            <w:vAlign w:val="bottom"/>
          </w:tcPr>
          <w:p>
            <w:pPr>
              <w:ind w:left="520"/>
              <w:spacing w:after="0"/>
              <w:rPr>
                <w:sz w:val="20"/>
                <w:szCs w:val="20"/>
                <w:color w:val="auto"/>
              </w:rPr>
            </w:pPr>
            <w:r>
              <w:rPr>
                <w:rFonts w:ascii="Arial" w:cs="Arial" w:eastAsia="Arial" w:hAnsi="Arial"/>
                <w:sz w:val="14"/>
                <w:szCs w:val="14"/>
                <w:color w:val="auto"/>
              </w:rPr>
              <w:t>—</w:t>
            </w:r>
          </w:p>
        </w:tc>
        <w:tc>
          <w:tcPr>
            <w:tcW w:w="820" w:type="dxa"/>
            <w:vAlign w:val="bottom"/>
          </w:tcPr>
          <w:p>
            <w:pPr>
              <w:ind w:left="48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2,295</w:t>
            </w:r>
          </w:p>
        </w:tc>
        <w:tc>
          <w:tcPr>
            <w:tcW w:w="720" w:type="dxa"/>
            <w:vAlign w:val="bottom"/>
          </w:tcPr>
          <w:p>
            <w:pPr>
              <w:jc w:val="right"/>
              <w:spacing w:after="0"/>
              <w:rPr>
                <w:sz w:val="20"/>
                <w:szCs w:val="20"/>
                <w:color w:val="auto"/>
              </w:rPr>
            </w:pPr>
            <w:r>
              <w:rPr>
                <w:rFonts w:ascii="Arial" w:cs="Arial" w:eastAsia="Arial" w:hAnsi="Arial"/>
                <w:sz w:val="14"/>
                <w:szCs w:val="14"/>
                <w:color w:val="auto"/>
              </w:rPr>
              <w:t>4,590</w:t>
            </w:r>
          </w:p>
        </w:tc>
        <w:tc>
          <w:tcPr>
            <w:tcW w:w="110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680" w:type="dxa"/>
            <w:vAlign w:val="bottom"/>
          </w:tcPr>
          <w:p>
            <w:pPr>
              <w:ind w:left="40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262,456(6)</w:t>
            </w: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1000" w:type="dxa"/>
            <w:vAlign w:val="bottom"/>
          </w:tcPr>
          <w:p>
            <w:pPr>
              <w:jc w:val="right"/>
              <w:ind w:right="109"/>
              <w:spacing w:after="0"/>
              <w:rPr>
                <w:sz w:val="20"/>
                <w:szCs w:val="20"/>
                <w:color w:val="auto"/>
              </w:rPr>
            </w:pPr>
            <w:r>
              <w:rPr>
                <w:rFonts w:ascii="Arial" w:cs="Arial" w:eastAsia="Arial" w:hAnsi="Arial"/>
                <w:sz w:val="14"/>
                <w:szCs w:val="14"/>
                <w:color w:val="auto"/>
              </w:rPr>
              <w:t>3/13/2019</w:t>
            </w:r>
          </w:p>
        </w:tc>
        <w:tc>
          <w:tcPr>
            <w:tcW w:w="720" w:type="dxa"/>
            <w:vAlign w:val="bottom"/>
          </w:tcPr>
          <w:p>
            <w:pPr>
              <w:ind w:left="40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840" w:type="dxa"/>
            <w:vAlign w:val="bottom"/>
          </w:tcPr>
          <w:p>
            <w:pPr>
              <w:ind w:left="520"/>
              <w:spacing w:after="0"/>
              <w:rPr>
                <w:sz w:val="20"/>
                <w:szCs w:val="20"/>
                <w:color w:val="auto"/>
              </w:rPr>
            </w:pPr>
            <w:r>
              <w:rPr>
                <w:rFonts w:ascii="Arial" w:cs="Arial" w:eastAsia="Arial" w:hAnsi="Arial"/>
                <w:sz w:val="14"/>
                <w:szCs w:val="14"/>
                <w:color w:val="auto"/>
              </w:rPr>
              <w:t>—</w:t>
            </w:r>
          </w:p>
        </w:tc>
        <w:tc>
          <w:tcPr>
            <w:tcW w:w="820" w:type="dxa"/>
            <w:vAlign w:val="bottom"/>
          </w:tcPr>
          <w:p>
            <w:pPr>
              <w:ind w:left="48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2,995</w:t>
            </w:r>
          </w:p>
        </w:tc>
        <w:tc>
          <w:tcPr>
            <w:tcW w:w="720" w:type="dxa"/>
            <w:vAlign w:val="bottom"/>
          </w:tcPr>
          <w:p>
            <w:pPr>
              <w:jc w:val="right"/>
              <w:spacing w:after="0"/>
              <w:rPr>
                <w:sz w:val="20"/>
                <w:szCs w:val="20"/>
                <w:color w:val="auto"/>
              </w:rPr>
            </w:pPr>
            <w:r>
              <w:rPr>
                <w:rFonts w:ascii="Arial" w:cs="Arial" w:eastAsia="Arial" w:hAnsi="Arial"/>
                <w:sz w:val="14"/>
                <w:szCs w:val="14"/>
                <w:color w:val="auto"/>
              </w:rPr>
              <w:t>4,590</w:t>
            </w:r>
          </w:p>
        </w:tc>
        <w:tc>
          <w:tcPr>
            <w:tcW w:w="110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680" w:type="dxa"/>
            <w:vAlign w:val="bottom"/>
          </w:tcPr>
          <w:p>
            <w:pPr>
              <w:ind w:left="40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211,150(6)</w:t>
            </w: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1000" w:type="dxa"/>
            <w:vAlign w:val="bottom"/>
          </w:tcPr>
          <w:p>
            <w:pPr>
              <w:jc w:val="right"/>
              <w:ind w:right="109"/>
              <w:spacing w:after="0"/>
              <w:rPr>
                <w:sz w:val="20"/>
                <w:szCs w:val="20"/>
                <w:color w:val="auto"/>
              </w:rPr>
            </w:pPr>
            <w:r>
              <w:rPr>
                <w:rFonts w:ascii="Arial" w:cs="Arial" w:eastAsia="Arial" w:hAnsi="Arial"/>
                <w:sz w:val="14"/>
                <w:szCs w:val="14"/>
                <w:color w:val="auto"/>
              </w:rPr>
              <w:t>3/13/2019</w:t>
            </w:r>
          </w:p>
        </w:tc>
        <w:tc>
          <w:tcPr>
            <w:tcW w:w="720" w:type="dxa"/>
            <w:vAlign w:val="bottom"/>
          </w:tcPr>
          <w:p>
            <w:pPr>
              <w:ind w:left="40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840" w:type="dxa"/>
            <w:vAlign w:val="bottom"/>
          </w:tcPr>
          <w:p>
            <w:pPr>
              <w:ind w:left="520"/>
              <w:spacing w:after="0"/>
              <w:rPr>
                <w:sz w:val="20"/>
                <w:szCs w:val="20"/>
                <w:color w:val="auto"/>
              </w:rPr>
            </w:pPr>
            <w:r>
              <w:rPr>
                <w:rFonts w:ascii="Arial" w:cs="Arial" w:eastAsia="Arial" w:hAnsi="Arial"/>
                <w:sz w:val="14"/>
                <w:szCs w:val="14"/>
                <w:color w:val="auto"/>
              </w:rPr>
              <w:t>—</w:t>
            </w:r>
          </w:p>
        </w:tc>
        <w:tc>
          <w:tcPr>
            <w:tcW w:w="820" w:type="dxa"/>
            <w:vAlign w:val="bottom"/>
          </w:tcPr>
          <w:p>
            <w:pPr>
              <w:ind w:left="48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30"/>
              <w:spacing w:after="0"/>
              <w:rPr>
                <w:sz w:val="20"/>
                <w:szCs w:val="20"/>
                <w:color w:val="auto"/>
              </w:rPr>
            </w:pPr>
            <w:r>
              <w:rPr>
                <w:rFonts w:ascii="Arial" w:cs="Arial" w:eastAsia="Arial" w:hAnsi="Arial"/>
                <w:sz w:val="14"/>
                <w:szCs w:val="14"/>
                <w:color w:val="auto"/>
              </w:rPr>
              <w:t>2,995</w:t>
            </w:r>
          </w:p>
        </w:tc>
        <w:tc>
          <w:tcPr>
            <w:tcW w:w="110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680" w:type="dxa"/>
            <w:vAlign w:val="bottom"/>
          </w:tcPr>
          <w:p>
            <w:pPr>
              <w:ind w:left="40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236,110(7)</w:t>
            </w: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1000" w:type="dxa"/>
            <w:vAlign w:val="bottom"/>
          </w:tcPr>
          <w:p>
            <w:pPr>
              <w:jc w:val="right"/>
              <w:ind w:right="109"/>
              <w:spacing w:after="0"/>
              <w:rPr>
                <w:sz w:val="20"/>
                <w:szCs w:val="20"/>
                <w:color w:val="auto"/>
              </w:rPr>
            </w:pPr>
            <w:r>
              <w:rPr>
                <w:rFonts w:ascii="Arial" w:cs="Arial" w:eastAsia="Arial" w:hAnsi="Arial"/>
                <w:sz w:val="14"/>
                <w:szCs w:val="14"/>
                <w:color w:val="auto"/>
              </w:rPr>
              <w:t>3/13/2019</w:t>
            </w:r>
          </w:p>
        </w:tc>
        <w:tc>
          <w:tcPr>
            <w:tcW w:w="720" w:type="dxa"/>
            <w:vAlign w:val="bottom"/>
          </w:tcPr>
          <w:p>
            <w:pPr>
              <w:ind w:left="40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840" w:type="dxa"/>
            <w:vAlign w:val="bottom"/>
          </w:tcPr>
          <w:p>
            <w:pPr>
              <w:ind w:left="520"/>
              <w:spacing w:after="0"/>
              <w:rPr>
                <w:sz w:val="20"/>
                <w:szCs w:val="20"/>
                <w:color w:val="auto"/>
              </w:rPr>
            </w:pPr>
            <w:r>
              <w:rPr>
                <w:rFonts w:ascii="Arial" w:cs="Arial" w:eastAsia="Arial" w:hAnsi="Arial"/>
                <w:sz w:val="14"/>
                <w:szCs w:val="14"/>
                <w:color w:val="auto"/>
              </w:rPr>
              <w:t>—</w:t>
            </w:r>
          </w:p>
        </w:tc>
        <w:tc>
          <w:tcPr>
            <w:tcW w:w="820" w:type="dxa"/>
            <w:vAlign w:val="bottom"/>
          </w:tcPr>
          <w:p>
            <w:pPr>
              <w:ind w:left="48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10,164</w:t>
            </w:r>
          </w:p>
        </w:tc>
        <w:tc>
          <w:tcPr>
            <w:tcW w:w="680" w:type="dxa"/>
            <w:vAlign w:val="bottom"/>
          </w:tcPr>
          <w:p>
            <w:pPr>
              <w:ind w:left="180"/>
              <w:spacing w:after="0"/>
              <w:rPr>
                <w:sz w:val="20"/>
                <w:szCs w:val="20"/>
                <w:color w:val="auto"/>
              </w:rPr>
            </w:pPr>
            <w:r>
              <w:rPr>
                <w:rFonts w:ascii="Arial" w:cs="Arial" w:eastAsia="Arial" w:hAnsi="Arial"/>
                <w:sz w:val="14"/>
                <w:szCs w:val="14"/>
                <w:color w:val="auto"/>
              </w:rPr>
              <w:t>108.08</w:t>
            </w:r>
          </w:p>
        </w:tc>
        <w:tc>
          <w:tcPr>
            <w:tcW w:w="940" w:type="dxa"/>
            <w:vAlign w:val="bottom"/>
          </w:tcPr>
          <w:p>
            <w:pPr>
              <w:jc w:val="right"/>
              <w:spacing w:after="0"/>
              <w:rPr>
                <w:sz w:val="20"/>
                <w:szCs w:val="20"/>
                <w:color w:val="auto"/>
              </w:rPr>
            </w:pPr>
            <w:r>
              <w:rPr>
                <w:rFonts w:ascii="Arial" w:cs="Arial" w:eastAsia="Arial" w:hAnsi="Arial"/>
                <w:sz w:val="14"/>
                <w:szCs w:val="14"/>
                <w:color w:val="auto"/>
              </w:rPr>
              <w:t>238,179(8)</w:t>
            </w: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1000" w:type="dxa"/>
            <w:vAlign w:val="bottom"/>
          </w:tcPr>
          <w:p>
            <w:pPr>
              <w:jc w:val="right"/>
              <w:ind w:right="109"/>
              <w:spacing w:after="0"/>
              <w:rPr>
                <w:sz w:val="20"/>
                <w:szCs w:val="20"/>
                <w:color w:val="auto"/>
              </w:rPr>
            </w:pPr>
            <w:r>
              <w:rPr>
                <w:rFonts w:ascii="Arial" w:cs="Arial" w:eastAsia="Arial" w:hAnsi="Arial"/>
                <w:sz w:val="14"/>
                <w:szCs w:val="14"/>
                <w:color w:val="auto"/>
              </w:rPr>
              <w:t>6/17/2019</w:t>
            </w:r>
          </w:p>
        </w:tc>
        <w:tc>
          <w:tcPr>
            <w:tcW w:w="720" w:type="dxa"/>
            <w:vAlign w:val="bottom"/>
          </w:tcPr>
          <w:p>
            <w:pPr>
              <w:ind w:left="40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840" w:type="dxa"/>
            <w:vAlign w:val="bottom"/>
          </w:tcPr>
          <w:p>
            <w:pPr>
              <w:ind w:left="520"/>
              <w:spacing w:after="0"/>
              <w:rPr>
                <w:sz w:val="20"/>
                <w:szCs w:val="20"/>
                <w:color w:val="auto"/>
              </w:rPr>
            </w:pPr>
            <w:r>
              <w:rPr>
                <w:rFonts w:ascii="Arial" w:cs="Arial" w:eastAsia="Arial" w:hAnsi="Arial"/>
                <w:sz w:val="14"/>
                <w:szCs w:val="14"/>
                <w:color w:val="auto"/>
              </w:rPr>
              <w:t>—</w:t>
            </w:r>
          </w:p>
        </w:tc>
        <w:tc>
          <w:tcPr>
            <w:tcW w:w="820" w:type="dxa"/>
            <w:vAlign w:val="bottom"/>
          </w:tcPr>
          <w:p>
            <w:pPr>
              <w:ind w:left="48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1,697</w:t>
            </w:r>
          </w:p>
        </w:tc>
        <w:tc>
          <w:tcPr>
            <w:tcW w:w="720" w:type="dxa"/>
            <w:vAlign w:val="bottom"/>
          </w:tcPr>
          <w:p>
            <w:pPr>
              <w:jc w:val="right"/>
              <w:spacing w:after="0"/>
              <w:rPr>
                <w:sz w:val="20"/>
                <w:szCs w:val="20"/>
                <w:color w:val="auto"/>
              </w:rPr>
            </w:pPr>
            <w:r>
              <w:rPr>
                <w:rFonts w:ascii="Arial" w:cs="Arial" w:eastAsia="Arial" w:hAnsi="Arial"/>
                <w:sz w:val="14"/>
                <w:szCs w:val="14"/>
                <w:color w:val="auto"/>
              </w:rPr>
              <w:t>3,394</w:t>
            </w:r>
          </w:p>
        </w:tc>
        <w:tc>
          <w:tcPr>
            <w:tcW w:w="110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680" w:type="dxa"/>
            <w:vAlign w:val="bottom"/>
          </w:tcPr>
          <w:p>
            <w:pPr>
              <w:ind w:left="40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197,191(6)</w:t>
            </w: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1000" w:type="dxa"/>
            <w:vAlign w:val="bottom"/>
          </w:tcPr>
          <w:p>
            <w:pPr>
              <w:jc w:val="right"/>
              <w:ind w:right="109"/>
              <w:spacing w:after="0"/>
              <w:rPr>
                <w:sz w:val="20"/>
                <w:szCs w:val="20"/>
                <w:color w:val="auto"/>
              </w:rPr>
            </w:pPr>
            <w:r>
              <w:rPr>
                <w:rFonts w:ascii="Arial" w:cs="Arial" w:eastAsia="Arial" w:hAnsi="Arial"/>
                <w:sz w:val="14"/>
                <w:szCs w:val="14"/>
                <w:color w:val="auto"/>
              </w:rPr>
              <w:t>6/17/2019</w:t>
            </w:r>
          </w:p>
        </w:tc>
        <w:tc>
          <w:tcPr>
            <w:tcW w:w="720" w:type="dxa"/>
            <w:vAlign w:val="bottom"/>
          </w:tcPr>
          <w:p>
            <w:pPr>
              <w:ind w:left="40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840" w:type="dxa"/>
            <w:vAlign w:val="bottom"/>
          </w:tcPr>
          <w:p>
            <w:pPr>
              <w:ind w:left="520"/>
              <w:spacing w:after="0"/>
              <w:rPr>
                <w:sz w:val="20"/>
                <w:szCs w:val="20"/>
                <w:color w:val="auto"/>
              </w:rPr>
            </w:pPr>
            <w:r>
              <w:rPr>
                <w:rFonts w:ascii="Arial" w:cs="Arial" w:eastAsia="Arial" w:hAnsi="Arial"/>
                <w:sz w:val="14"/>
                <w:szCs w:val="14"/>
                <w:color w:val="auto"/>
              </w:rPr>
              <w:t>—</w:t>
            </w:r>
          </w:p>
        </w:tc>
        <w:tc>
          <w:tcPr>
            <w:tcW w:w="820" w:type="dxa"/>
            <w:vAlign w:val="bottom"/>
          </w:tcPr>
          <w:p>
            <w:pPr>
              <w:ind w:left="48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1,697</w:t>
            </w:r>
          </w:p>
        </w:tc>
        <w:tc>
          <w:tcPr>
            <w:tcW w:w="720" w:type="dxa"/>
            <w:vAlign w:val="bottom"/>
          </w:tcPr>
          <w:p>
            <w:pPr>
              <w:jc w:val="right"/>
              <w:spacing w:after="0"/>
              <w:rPr>
                <w:sz w:val="20"/>
                <w:szCs w:val="20"/>
                <w:color w:val="auto"/>
              </w:rPr>
            </w:pPr>
            <w:r>
              <w:rPr>
                <w:rFonts w:ascii="Arial" w:cs="Arial" w:eastAsia="Arial" w:hAnsi="Arial"/>
                <w:sz w:val="14"/>
                <w:szCs w:val="14"/>
                <w:color w:val="auto"/>
              </w:rPr>
              <w:t>3,394</w:t>
            </w:r>
          </w:p>
        </w:tc>
        <w:tc>
          <w:tcPr>
            <w:tcW w:w="110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680" w:type="dxa"/>
            <w:vAlign w:val="bottom"/>
          </w:tcPr>
          <w:p>
            <w:pPr>
              <w:ind w:left="40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101,710(6)</w:t>
            </w: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1000" w:type="dxa"/>
            <w:vAlign w:val="bottom"/>
          </w:tcPr>
          <w:p>
            <w:pPr>
              <w:jc w:val="right"/>
              <w:ind w:right="109"/>
              <w:spacing w:after="0"/>
              <w:rPr>
                <w:sz w:val="20"/>
                <w:szCs w:val="20"/>
                <w:color w:val="auto"/>
              </w:rPr>
            </w:pPr>
            <w:r>
              <w:rPr>
                <w:rFonts w:ascii="Arial" w:cs="Arial" w:eastAsia="Arial" w:hAnsi="Arial"/>
                <w:sz w:val="14"/>
                <w:szCs w:val="14"/>
                <w:color w:val="auto"/>
              </w:rPr>
              <w:t>6/17/2019</w:t>
            </w:r>
          </w:p>
        </w:tc>
        <w:tc>
          <w:tcPr>
            <w:tcW w:w="720" w:type="dxa"/>
            <w:vAlign w:val="bottom"/>
          </w:tcPr>
          <w:p>
            <w:pPr>
              <w:ind w:left="40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840" w:type="dxa"/>
            <w:vAlign w:val="bottom"/>
          </w:tcPr>
          <w:p>
            <w:pPr>
              <w:ind w:left="520"/>
              <w:spacing w:after="0"/>
              <w:rPr>
                <w:sz w:val="20"/>
                <w:szCs w:val="20"/>
                <w:color w:val="auto"/>
              </w:rPr>
            </w:pPr>
            <w:r>
              <w:rPr>
                <w:rFonts w:ascii="Arial" w:cs="Arial" w:eastAsia="Arial" w:hAnsi="Arial"/>
                <w:sz w:val="14"/>
                <w:szCs w:val="14"/>
                <w:color w:val="auto"/>
              </w:rPr>
              <w:t>—</w:t>
            </w:r>
          </w:p>
        </w:tc>
        <w:tc>
          <w:tcPr>
            <w:tcW w:w="820" w:type="dxa"/>
            <w:vAlign w:val="bottom"/>
          </w:tcPr>
          <w:p>
            <w:pPr>
              <w:ind w:left="48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30"/>
              <w:spacing w:after="0"/>
              <w:rPr>
                <w:sz w:val="20"/>
                <w:szCs w:val="20"/>
                <w:color w:val="auto"/>
              </w:rPr>
            </w:pPr>
            <w:r>
              <w:rPr>
                <w:rFonts w:ascii="Arial" w:cs="Arial" w:eastAsia="Arial" w:hAnsi="Arial"/>
                <w:sz w:val="14"/>
                <w:szCs w:val="14"/>
                <w:color w:val="auto"/>
              </w:rPr>
              <w:t>1,697</w:t>
            </w:r>
          </w:p>
        </w:tc>
        <w:tc>
          <w:tcPr>
            <w:tcW w:w="110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680" w:type="dxa"/>
            <w:vAlign w:val="bottom"/>
          </w:tcPr>
          <w:p>
            <w:pPr>
              <w:ind w:left="40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170,363(7)</w:t>
            </w:r>
          </w:p>
        </w:tc>
        <w:tc>
          <w:tcPr>
            <w:tcW w:w="0" w:type="dxa"/>
            <w:vAlign w:val="bottom"/>
          </w:tcPr>
          <w:p>
            <w:pPr>
              <w:spacing w:after="0"/>
              <w:rPr>
                <w:sz w:val="1"/>
                <w:szCs w:val="1"/>
                <w:color w:val="auto"/>
              </w:rPr>
            </w:pPr>
          </w:p>
        </w:tc>
      </w:tr>
      <w:tr>
        <w:trPr>
          <w:trHeight w:val="157"/>
        </w:trPr>
        <w:tc>
          <w:tcPr>
            <w:tcW w:w="1580" w:type="dxa"/>
            <w:vAlign w:val="bottom"/>
          </w:tcPr>
          <w:p>
            <w:pPr>
              <w:spacing w:after="0"/>
              <w:rPr>
                <w:sz w:val="13"/>
                <w:szCs w:val="13"/>
                <w:color w:val="auto"/>
              </w:rPr>
            </w:pPr>
          </w:p>
        </w:tc>
        <w:tc>
          <w:tcPr>
            <w:tcW w:w="1000" w:type="dxa"/>
            <w:vAlign w:val="bottom"/>
          </w:tcPr>
          <w:p>
            <w:pPr>
              <w:jc w:val="right"/>
              <w:ind w:right="109"/>
              <w:spacing w:after="0" w:line="157" w:lineRule="exact"/>
              <w:rPr>
                <w:sz w:val="20"/>
                <w:szCs w:val="20"/>
                <w:color w:val="auto"/>
              </w:rPr>
            </w:pPr>
            <w:r>
              <w:rPr>
                <w:rFonts w:ascii="Arial" w:cs="Arial" w:eastAsia="Arial" w:hAnsi="Arial"/>
                <w:sz w:val="14"/>
                <w:szCs w:val="14"/>
                <w:color w:val="auto"/>
              </w:rPr>
              <w:t>6/17/2019</w:t>
            </w:r>
          </w:p>
        </w:tc>
        <w:tc>
          <w:tcPr>
            <w:tcW w:w="720" w:type="dxa"/>
            <w:vAlign w:val="bottom"/>
          </w:tcPr>
          <w:p>
            <w:pPr>
              <w:ind w:left="400"/>
              <w:spacing w:after="0" w:line="157"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129"/>
              <w:spacing w:after="0" w:line="157" w:lineRule="exact"/>
              <w:rPr>
                <w:sz w:val="20"/>
                <w:szCs w:val="20"/>
                <w:color w:val="auto"/>
              </w:rPr>
            </w:pPr>
            <w:r>
              <w:rPr>
                <w:rFonts w:ascii="Arial" w:cs="Arial" w:eastAsia="Arial" w:hAnsi="Arial"/>
                <w:sz w:val="14"/>
                <w:szCs w:val="14"/>
                <w:color w:val="auto"/>
              </w:rPr>
              <w:t>—</w:t>
            </w:r>
          </w:p>
        </w:tc>
        <w:tc>
          <w:tcPr>
            <w:tcW w:w="840" w:type="dxa"/>
            <w:vAlign w:val="bottom"/>
          </w:tcPr>
          <w:p>
            <w:pPr>
              <w:ind w:left="520"/>
              <w:spacing w:after="0" w:line="157" w:lineRule="exact"/>
              <w:rPr>
                <w:sz w:val="20"/>
                <w:szCs w:val="20"/>
                <w:color w:val="auto"/>
              </w:rPr>
            </w:pPr>
            <w:r>
              <w:rPr>
                <w:rFonts w:ascii="Arial" w:cs="Arial" w:eastAsia="Arial" w:hAnsi="Arial"/>
                <w:sz w:val="14"/>
                <w:szCs w:val="14"/>
                <w:color w:val="auto"/>
              </w:rPr>
              <w:t>—</w:t>
            </w:r>
          </w:p>
        </w:tc>
        <w:tc>
          <w:tcPr>
            <w:tcW w:w="820" w:type="dxa"/>
            <w:vAlign w:val="bottom"/>
          </w:tcPr>
          <w:p>
            <w:pPr>
              <w:ind w:left="480"/>
              <w:spacing w:after="0" w:line="157"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109"/>
              <w:spacing w:after="0" w:line="157"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49"/>
              <w:spacing w:after="0" w:line="157" w:lineRule="exact"/>
              <w:rPr>
                <w:sz w:val="20"/>
                <w:szCs w:val="20"/>
                <w:color w:val="auto"/>
              </w:rPr>
            </w:pPr>
            <w:r>
              <w:rPr>
                <w:rFonts w:ascii="Arial" w:cs="Arial" w:eastAsia="Arial" w:hAnsi="Arial"/>
                <w:sz w:val="14"/>
                <w:szCs w:val="14"/>
                <w:color w:val="auto"/>
              </w:rPr>
              <w:t>—</w:t>
            </w:r>
          </w:p>
        </w:tc>
        <w:tc>
          <w:tcPr>
            <w:tcW w:w="1100" w:type="dxa"/>
            <w:vAlign w:val="bottom"/>
          </w:tcPr>
          <w:p>
            <w:pPr>
              <w:jc w:val="right"/>
              <w:ind w:right="110"/>
              <w:spacing w:after="0" w:line="157" w:lineRule="exact"/>
              <w:rPr>
                <w:sz w:val="20"/>
                <w:szCs w:val="20"/>
                <w:color w:val="auto"/>
              </w:rPr>
            </w:pPr>
            <w:r>
              <w:rPr>
                <w:rFonts w:ascii="Arial" w:cs="Arial" w:eastAsia="Arial" w:hAnsi="Arial"/>
                <w:sz w:val="14"/>
                <w:szCs w:val="14"/>
                <w:color w:val="auto"/>
              </w:rPr>
              <w:t>—</w:t>
            </w:r>
          </w:p>
        </w:tc>
        <w:tc>
          <w:tcPr>
            <w:tcW w:w="1100" w:type="dxa"/>
            <w:vAlign w:val="bottom"/>
          </w:tcPr>
          <w:p>
            <w:pPr>
              <w:jc w:val="right"/>
              <w:ind w:right="10"/>
              <w:spacing w:after="0" w:line="157" w:lineRule="exact"/>
              <w:rPr>
                <w:sz w:val="20"/>
                <w:szCs w:val="20"/>
                <w:color w:val="auto"/>
              </w:rPr>
            </w:pPr>
            <w:r>
              <w:rPr>
                <w:rFonts w:ascii="Arial" w:cs="Arial" w:eastAsia="Arial" w:hAnsi="Arial"/>
                <w:sz w:val="14"/>
                <w:szCs w:val="14"/>
                <w:color w:val="auto"/>
              </w:rPr>
              <w:t>7,512</w:t>
            </w:r>
          </w:p>
        </w:tc>
        <w:tc>
          <w:tcPr>
            <w:tcW w:w="680" w:type="dxa"/>
            <w:vAlign w:val="bottom"/>
          </w:tcPr>
          <w:p>
            <w:pPr>
              <w:ind w:left="180"/>
              <w:spacing w:after="0" w:line="157" w:lineRule="exact"/>
              <w:rPr>
                <w:sz w:val="20"/>
                <w:szCs w:val="20"/>
                <w:color w:val="auto"/>
              </w:rPr>
            </w:pPr>
            <w:r>
              <w:rPr>
                <w:rFonts w:ascii="Arial" w:cs="Arial" w:eastAsia="Arial" w:hAnsi="Arial"/>
                <w:sz w:val="14"/>
                <w:szCs w:val="14"/>
                <w:color w:val="auto"/>
              </w:rPr>
              <w:t>108.08</w:t>
            </w:r>
          </w:p>
        </w:tc>
        <w:tc>
          <w:tcPr>
            <w:tcW w:w="940" w:type="dxa"/>
            <w:vAlign w:val="bottom"/>
          </w:tcPr>
          <w:p>
            <w:pPr>
              <w:jc w:val="right"/>
              <w:spacing w:after="0" w:line="157" w:lineRule="exact"/>
              <w:rPr>
                <w:sz w:val="20"/>
                <w:szCs w:val="20"/>
                <w:color w:val="auto"/>
              </w:rPr>
            </w:pPr>
            <w:r>
              <w:rPr>
                <w:rFonts w:ascii="Arial" w:cs="Arial" w:eastAsia="Arial" w:hAnsi="Arial"/>
                <w:sz w:val="14"/>
                <w:szCs w:val="14"/>
                <w:color w:val="auto"/>
              </w:rPr>
              <w:t>170,413(8)</w:t>
            </w:r>
          </w:p>
        </w:tc>
        <w:tc>
          <w:tcPr>
            <w:tcW w:w="0" w:type="dxa"/>
            <w:vAlign w:val="bottom"/>
          </w:tcPr>
          <w:p>
            <w:pPr>
              <w:spacing w:after="0"/>
              <w:rPr>
                <w:sz w:val="1"/>
                <w:szCs w:val="1"/>
                <w:color w:val="auto"/>
              </w:rPr>
            </w:pPr>
          </w:p>
        </w:tc>
      </w:tr>
      <w:tr>
        <w:trPr>
          <w:trHeight w:val="162"/>
        </w:trPr>
        <w:tc>
          <w:tcPr>
            <w:tcW w:w="1580" w:type="dxa"/>
            <w:vAlign w:val="bottom"/>
            <w:shd w:val="clear" w:color="auto" w:fill="E8EDF4"/>
          </w:tcPr>
          <w:p>
            <w:pPr>
              <w:ind w:left="20"/>
              <w:spacing w:after="0"/>
              <w:rPr>
                <w:sz w:val="20"/>
                <w:szCs w:val="20"/>
                <w:color w:val="auto"/>
              </w:rPr>
            </w:pPr>
            <w:r>
              <w:rPr>
                <w:rFonts w:ascii="Arial" w:cs="Arial" w:eastAsia="Arial" w:hAnsi="Arial"/>
                <w:sz w:val="14"/>
                <w:szCs w:val="14"/>
                <w:color w:val="auto"/>
              </w:rPr>
              <w:t>John Hassett</w:t>
            </w:r>
          </w:p>
        </w:tc>
        <w:tc>
          <w:tcPr>
            <w:tcW w:w="1000" w:type="dxa"/>
            <w:vAlign w:val="bottom"/>
            <w:shd w:val="clear" w:color="auto" w:fill="E8EDF4"/>
          </w:tcPr>
          <w:p>
            <w:pPr>
              <w:jc w:val="right"/>
              <w:ind w:right="109"/>
              <w:spacing w:after="0"/>
              <w:rPr>
                <w:sz w:val="20"/>
                <w:szCs w:val="20"/>
                <w:color w:val="auto"/>
              </w:rPr>
            </w:pPr>
            <w:r>
              <w:rPr>
                <w:rFonts w:ascii="Arial" w:cs="Arial" w:eastAsia="Arial" w:hAnsi="Arial"/>
                <w:sz w:val="14"/>
                <w:szCs w:val="14"/>
                <w:color w:val="auto"/>
              </w:rPr>
              <w:t>N/A</w:t>
            </w:r>
          </w:p>
        </w:tc>
        <w:tc>
          <w:tcPr>
            <w:tcW w:w="720" w:type="dxa"/>
            <w:vAlign w:val="bottom"/>
            <w:shd w:val="clear" w:color="auto" w:fill="E8EDF4"/>
          </w:tcPr>
          <w:p>
            <w:pPr>
              <w:ind w:left="400"/>
              <w:spacing w:after="0"/>
              <w:rPr>
                <w:sz w:val="20"/>
                <w:szCs w:val="20"/>
                <w:color w:val="auto"/>
              </w:rPr>
            </w:pPr>
            <w:r>
              <w:rPr>
                <w:rFonts w:ascii="Arial" w:cs="Arial" w:eastAsia="Arial" w:hAnsi="Arial"/>
                <w:sz w:val="14"/>
                <w:szCs w:val="14"/>
                <w:color w:val="auto"/>
              </w:rPr>
              <w:t>—</w:t>
            </w:r>
          </w:p>
        </w:tc>
        <w:tc>
          <w:tcPr>
            <w:tcW w:w="880" w:type="dxa"/>
            <w:vAlign w:val="bottom"/>
            <w:shd w:val="clear" w:color="auto" w:fill="E8EDF4"/>
          </w:tcPr>
          <w:p>
            <w:pPr>
              <w:jc w:val="right"/>
              <w:ind w:right="49"/>
              <w:spacing w:after="0"/>
              <w:rPr>
                <w:sz w:val="20"/>
                <w:szCs w:val="20"/>
                <w:color w:val="auto"/>
              </w:rPr>
            </w:pPr>
            <w:r>
              <w:rPr>
                <w:rFonts w:ascii="Arial" w:cs="Arial" w:eastAsia="Arial" w:hAnsi="Arial"/>
                <w:sz w:val="14"/>
                <w:szCs w:val="14"/>
                <w:color w:val="auto"/>
              </w:rPr>
              <w:t>471,154</w:t>
            </w:r>
          </w:p>
        </w:tc>
        <w:tc>
          <w:tcPr>
            <w:tcW w:w="840" w:type="dxa"/>
            <w:vAlign w:val="bottom"/>
            <w:shd w:val="clear" w:color="auto" w:fill="E8EDF4"/>
          </w:tcPr>
          <w:p>
            <w:pPr>
              <w:ind w:left="100"/>
              <w:spacing w:after="0"/>
              <w:rPr>
                <w:sz w:val="20"/>
                <w:szCs w:val="20"/>
                <w:color w:val="auto"/>
              </w:rPr>
            </w:pPr>
            <w:r>
              <w:rPr>
                <w:rFonts w:ascii="Arial" w:cs="Arial" w:eastAsia="Arial" w:hAnsi="Arial"/>
                <w:sz w:val="14"/>
                <w:szCs w:val="14"/>
                <w:color w:val="auto"/>
              </w:rPr>
              <w:t>1,413,462</w:t>
            </w:r>
          </w:p>
        </w:tc>
        <w:tc>
          <w:tcPr>
            <w:tcW w:w="820" w:type="dxa"/>
            <w:vAlign w:val="bottom"/>
            <w:shd w:val="clear" w:color="auto" w:fill="E8EDF4"/>
          </w:tcPr>
          <w:p>
            <w:pPr>
              <w:ind w:left="480"/>
              <w:spacing w:after="0"/>
              <w:rPr>
                <w:sz w:val="20"/>
                <w:szCs w:val="20"/>
                <w:color w:val="auto"/>
              </w:rPr>
            </w:pPr>
            <w:r>
              <w:rPr>
                <w:rFonts w:ascii="Arial" w:cs="Arial" w:eastAsia="Arial" w:hAnsi="Arial"/>
                <w:sz w:val="14"/>
                <w:szCs w:val="14"/>
                <w:color w:val="auto"/>
              </w:rPr>
              <w:t>—</w:t>
            </w:r>
          </w:p>
        </w:tc>
        <w:tc>
          <w:tcPr>
            <w:tcW w:w="640" w:type="dxa"/>
            <w:vAlign w:val="bottom"/>
            <w:shd w:val="clear" w:color="auto" w:fill="E8EDF4"/>
          </w:tcPr>
          <w:p>
            <w:pPr>
              <w:jc w:val="right"/>
              <w:ind w:right="109"/>
              <w:spacing w:after="0"/>
              <w:rPr>
                <w:sz w:val="20"/>
                <w:szCs w:val="20"/>
                <w:color w:val="auto"/>
              </w:rPr>
            </w:pPr>
            <w:r>
              <w:rPr>
                <w:rFonts w:ascii="Arial" w:cs="Arial" w:eastAsia="Arial" w:hAnsi="Arial"/>
                <w:sz w:val="14"/>
                <w:szCs w:val="14"/>
                <w:color w:val="auto"/>
              </w:rPr>
              <w:t>—</w:t>
            </w:r>
          </w:p>
        </w:tc>
        <w:tc>
          <w:tcPr>
            <w:tcW w:w="720" w:type="dxa"/>
            <w:vAlign w:val="bottom"/>
            <w:shd w:val="clear" w:color="auto" w:fill="E8EDF4"/>
          </w:tcPr>
          <w:p>
            <w:pPr>
              <w:jc w:val="right"/>
              <w:ind w:right="49"/>
              <w:spacing w:after="0"/>
              <w:rPr>
                <w:sz w:val="20"/>
                <w:szCs w:val="20"/>
                <w:color w:val="auto"/>
              </w:rPr>
            </w:pPr>
            <w:r>
              <w:rPr>
                <w:rFonts w:ascii="Arial" w:cs="Arial" w:eastAsia="Arial" w:hAnsi="Arial"/>
                <w:sz w:val="14"/>
                <w:szCs w:val="14"/>
                <w:color w:val="auto"/>
              </w:rPr>
              <w:t>—</w:t>
            </w:r>
          </w:p>
        </w:tc>
        <w:tc>
          <w:tcPr>
            <w:tcW w:w="1100" w:type="dxa"/>
            <w:vAlign w:val="bottom"/>
            <w:shd w:val="clear" w:color="auto" w:fill="E8EDF4"/>
          </w:tcPr>
          <w:p>
            <w:pPr>
              <w:jc w:val="right"/>
              <w:ind w:right="110"/>
              <w:spacing w:after="0"/>
              <w:rPr>
                <w:sz w:val="20"/>
                <w:szCs w:val="20"/>
                <w:color w:val="auto"/>
              </w:rPr>
            </w:pPr>
            <w:r>
              <w:rPr>
                <w:rFonts w:ascii="Arial" w:cs="Arial" w:eastAsia="Arial" w:hAnsi="Arial"/>
                <w:sz w:val="14"/>
                <w:szCs w:val="14"/>
                <w:color w:val="auto"/>
              </w:rPr>
              <w:t>—</w:t>
            </w:r>
          </w:p>
        </w:tc>
        <w:tc>
          <w:tcPr>
            <w:tcW w:w="1100" w:type="dxa"/>
            <w:vAlign w:val="bottom"/>
            <w:shd w:val="clear" w:color="auto" w:fill="E8EDF4"/>
          </w:tcPr>
          <w:p>
            <w:pPr>
              <w:jc w:val="right"/>
              <w:ind w:right="90"/>
              <w:spacing w:after="0"/>
              <w:rPr>
                <w:sz w:val="20"/>
                <w:szCs w:val="20"/>
                <w:color w:val="auto"/>
              </w:rPr>
            </w:pPr>
            <w:r>
              <w:rPr>
                <w:rFonts w:ascii="Arial" w:cs="Arial" w:eastAsia="Arial" w:hAnsi="Arial"/>
                <w:sz w:val="14"/>
                <w:szCs w:val="14"/>
                <w:color w:val="auto"/>
              </w:rPr>
              <w:t>—</w:t>
            </w:r>
          </w:p>
        </w:tc>
        <w:tc>
          <w:tcPr>
            <w:tcW w:w="680" w:type="dxa"/>
            <w:vAlign w:val="bottom"/>
            <w:shd w:val="clear" w:color="auto" w:fill="E8EDF4"/>
          </w:tcPr>
          <w:p>
            <w:pPr>
              <w:ind w:left="400"/>
              <w:spacing w:after="0"/>
              <w:rPr>
                <w:sz w:val="20"/>
                <w:szCs w:val="20"/>
                <w:color w:val="auto"/>
              </w:rPr>
            </w:pPr>
            <w:r>
              <w:rPr>
                <w:rFonts w:ascii="Arial" w:cs="Arial" w:eastAsia="Arial" w:hAnsi="Arial"/>
                <w:sz w:val="14"/>
                <w:szCs w:val="14"/>
                <w:color w:val="auto"/>
              </w:rPr>
              <w:t>—</w:t>
            </w:r>
          </w:p>
        </w:tc>
        <w:tc>
          <w:tcPr>
            <w:tcW w:w="940" w:type="dxa"/>
            <w:vAlign w:val="bottom"/>
            <w:shd w:val="clear" w:color="auto" w:fill="E8EDF4"/>
          </w:tcPr>
          <w:p>
            <w:pPr>
              <w:jc w:val="right"/>
              <w:ind w:right="25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580" w:type="dxa"/>
            <w:vAlign w:val="bottom"/>
            <w:shd w:val="clear" w:color="auto" w:fill="E8EDF4"/>
          </w:tcPr>
          <w:p>
            <w:pPr>
              <w:spacing w:after="0"/>
              <w:rPr>
                <w:sz w:val="14"/>
                <w:szCs w:val="14"/>
                <w:color w:val="auto"/>
              </w:rPr>
            </w:pPr>
          </w:p>
        </w:tc>
        <w:tc>
          <w:tcPr>
            <w:tcW w:w="1000" w:type="dxa"/>
            <w:vAlign w:val="bottom"/>
            <w:shd w:val="clear" w:color="auto" w:fill="E8EDF4"/>
          </w:tcPr>
          <w:p>
            <w:pPr>
              <w:jc w:val="right"/>
              <w:ind w:right="109"/>
              <w:spacing w:after="0"/>
              <w:rPr>
                <w:sz w:val="20"/>
                <w:szCs w:val="20"/>
                <w:color w:val="auto"/>
              </w:rPr>
            </w:pPr>
            <w:r>
              <w:rPr>
                <w:rFonts w:ascii="Arial" w:cs="Arial" w:eastAsia="Arial" w:hAnsi="Arial"/>
                <w:sz w:val="14"/>
                <w:szCs w:val="14"/>
                <w:color w:val="auto"/>
              </w:rPr>
              <w:t>3/13/2019</w:t>
            </w:r>
          </w:p>
        </w:tc>
        <w:tc>
          <w:tcPr>
            <w:tcW w:w="720" w:type="dxa"/>
            <w:vAlign w:val="bottom"/>
            <w:shd w:val="clear" w:color="auto" w:fill="E8EDF4"/>
          </w:tcPr>
          <w:p>
            <w:pPr>
              <w:ind w:left="400"/>
              <w:spacing w:after="0"/>
              <w:rPr>
                <w:sz w:val="20"/>
                <w:szCs w:val="20"/>
                <w:color w:val="auto"/>
              </w:rPr>
            </w:pPr>
            <w:r>
              <w:rPr>
                <w:rFonts w:ascii="Arial" w:cs="Arial" w:eastAsia="Arial" w:hAnsi="Arial"/>
                <w:sz w:val="14"/>
                <w:szCs w:val="14"/>
                <w:color w:val="auto"/>
              </w:rPr>
              <w:t>—</w:t>
            </w:r>
          </w:p>
        </w:tc>
        <w:tc>
          <w:tcPr>
            <w:tcW w:w="880" w:type="dxa"/>
            <w:vAlign w:val="bottom"/>
            <w:shd w:val="clear" w:color="auto" w:fill="E8EDF4"/>
          </w:tcPr>
          <w:p>
            <w:pPr>
              <w:jc w:val="right"/>
              <w:ind w:right="129"/>
              <w:spacing w:after="0"/>
              <w:rPr>
                <w:sz w:val="20"/>
                <w:szCs w:val="20"/>
                <w:color w:val="auto"/>
              </w:rPr>
            </w:pPr>
            <w:r>
              <w:rPr>
                <w:rFonts w:ascii="Arial" w:cs="Arial" w:eastAsia="Arial" w:hAnsi="Arial"/>
                <w:sz w:val="14"/>
                <w:szCs w:val="14"/>
                <w:color w:val="auto"/>
              </w:rPr>
              <w:t>—</w:t>
            </w:r>
          </w:p>
        </w:tc>
        <w:tc>
          <w:tcPr>
            <w:tcW w:w="840" w:type="dxa"/>
            <w:vAlign w:val="bottom"/>
            <w:shd w:val="clear" w:color="auto" w:fill="E8EDF4"/>
          </w:tcPr>
          <w:p>
            <w:pPr>
              <w:ind w:left="520"/>
              <w:spacing w:after="0"/>
              <w:rPr>
                <w:sz w:val="20"/>
                <w:szCs w:val="20"/>
                <w:color w:val="auto"/>
              </w:rPr>
            </w:pPr>
            <w:r>
              <w:rPr>
                <w:rFonts w:ascii="Arial" w:cs="Arial" w:eastAsia="Arial" w:hAnsi="Arial"/>
                <w:sz w:val="14"/>
                <w:szCs w:val="14"/>
                <w:color w:val="auto"/>
              </w:rPr>
              <w:t>—</w:t>
            </w:r>
          </w:p>
        </w:tc>
        <w:tc>
          <w:tcPr>
            <w:tcW w:w="820" w:type="dxa"/>
            <w:vAlign w:val="bottom"/>
            <w:shd w:val="clear" w:color="auto" w:fill="E8EDF4"/>
          </w:tcPr>
          <w:p>
            <w:pPr>
              <w:ind w:left="480"/>
              <w:spacing w:after="0"/>
              <w:rPr>
                <w:sz w:val="20"/>
                <w:szCs w:val="20"/>
                <w:color w:val="auto"/>
              </w:rPr>
            </w:pPr>
            <w:r>
              <w:rPr>
                <w:rFonts w:ascii="Arial" w:cs="Arial" w:eastAsia="Arial" w:hAnsi="Arial"/>
                <w:sz w:val="14"/>
                <w:szCs w:val="14"/>
                <w:color w:val="auto"/>
              </w:rPr>
              <w:t>—</w:t>
            </w:r>
          </w:p>
        </w:tc>
        <w:tc>
          <w:tcPr>
            <w:tcW w:w="640" w:type="dxa"/>
            <w:vAlign w:val="bottom"/>
            <w:shd w:val="clear" w:color="auto" w:fill="E8EDF4"/>
          </w:tcPr>
          <w:p>
            <w:pPr>
              <w:jc w:val="right"/>
              <w:ind w:right="29"/>
              <w:spacing w:after="0"/>
              <w:rPr>
                <w:sz w:val="20"/>
                <w:szCs w:val="20"/>
                <w:color w:val="auto"/>
              </w:rPr>
            </w:pPr>
            <w:r>
              <w:rPr>
                <w:rFonts w:ascii="Arial" w:cs="Arial" w:eastAsia="Arial" w:hAnsi="Arial"/>
                <w:sz w:val="14"/>
                <w:szCs w:val="14"/>
                <w:color w:val="auto"/>
              </w:rPr>
              <w:t>3,992</w:t>
            </w:r>
          </w:p>
        </w:tc>
        <w:tc>
          <w:tcPr>
            <w:tcW w:w="720" w:type="dxa"/>
            <w:vAlign w:val="bottom"/>
            <w:shd w:val="clear" w:color="auto" w:fill="E8EDF4"/>
          </w:tcPr>
          <w:p>
            <w:pPr>
              <w:jc w:val="right"/>
              <w:spacing w:after="0"/>
              <w:rPr>
                <w:sz w:val="20"/>
                <w:szCs w:val="20"/>
                <w:color w:val="auto"/>
              </w:rPr>
            </w:pPr>
            <w:r>
              <w:rPr>
                <w:rFonts w:ascii="Arial" w:cs="Arial" w:eastAsia="Arial" w:hAnsi="Arial"/>
                <w:sz w:val="14"/>
                <w:szCs w:val="14"/>
                <w:color w:val="auto"/>
              </w:rPr>
              <w:t>7,984</w:t>
            </w:r>
          </w:p>
        </w:tc>
        <w:tc>
          <w:tcPr>
            <w:tcW w:w="1100" w:type="dxa"/>
            <w:vAlign w:val="bottom"/>
            <w:shd w:val="clear" w:color="auto" w:fill="E8EDF4"/>
          </w:tcPr>
          <w:p>
            <w:pPr>
              <w:jc w:val="right"/>
              <w:ind w:right="110"/>
              <w:spacing w:after="0"/>
              <w:rPr>
                <w:sz w:val="20"/>
                <w:szCs w:val="20"/>
                <w:color w:val="auto"/>
              </w:rPr>
            </w:pPr>
            <w:r>
              <w:rPr>
                <w:rFonts w:ascii="Arial" w:cs="Arial" w:eastAsia="Arial" w:hAnsi="Arial"/>
                <w:sz w:val="14"/>
                <w:szCs w:val="14"/>
                <w:color w:val="auto"/>
              </w:rPr>
              <w:t>—</w:t>
            </w:r>
          </w:p>
        </w:tc>
        <w:tc>
          <w:tcPr>
            <w:tcW w:w="1100" w:type="dxa"/>
            <w:vAlign w:val="bottom"/>
            <w:shd w:val="clear" w:color="auto" w:fill="E8EDF4"/>
          </w:tcPr>
          <w:p>
            <w:pPr>
              <w:jc w:val="right"/>
              <w:ind w:right="90"/>
              <w:spacing w:after="0"/>
              <w:rPr>
                <w:sz w:val="20"/>
                <w:szCs w:val="20"/>
                <w:color w:val="auto"/>
              </w:rPr>
            </w:pPr>
            <w:r>
              <w:rPr>
                <w:rFonts w:ascii="Arial" w:cs="Arial" w:eastAsia="Arial" w:hAnsi="Arial"/>
                <w:sz w:val="14"/>
                <w:szCs w:val="14"/>
                <w:color w:val="auto"/>
              </w:rPr>
              <w:t>—</w:t>
            </w:r>
          </w:p>
        </w:tc>
        <w:tc>
          <w:tcPr>
            <w:tcW w:w="680" w:type="dxa"/>
            <w:vAlign w:val="bottom"/>
            <w:shd w:val="clear" w:color="auto" w:fill="E8EDF4"/>
          </w:tcPr>
          <w:p>
            <w:pPr>
              <w:ind w:left="400"/>
              <w:spacing w:after="0"/>
              <w:rPr>
                <w:sz w:val="20"/>
                <w:szCs w:val="20"/>
                <w:color w:val="auto"/>
              </w:rPr>
            </w:pPr>
            <w:r>
              <w:rPr>
                <w:rFonts w:ascii="Arial" w:cs="Arial" w:eastAsia="Arial" w:hAnsi="Arial"/>
                <w:sz w:val="14"/>
                <w:szCs w:val="14"/>
                <w:color w:val="auto"/>
              </w:rPr>
              <w:t>—</w:t>
            </w:r>
          </w:p>
        </w:tc>
        <w:tc>
          <w:tcPr>
            <w:tcW w:w="940" w:type="dxa"/>
            <w:vAlign w:val="bottom"/>
            <w:shd w:val="clear" w:color="auto" w:fill="E8EDF4"/>
          </w:tcPr>
          <w:p>
            <w:pPr>
              <w:jc w:val="right"/>
              <w:spacing w:after="0"/>
              <w:rPr>
                <w:sz w:val="20"/>
                <w:szCs w:val="20"/>
                <w:color w:val="auto"/>
              </w:rPr>
            </w:pPr>
            <w:r>
              <w:rPr>
                <w:rFonts w:ascii="Arial" w:cs="Arial" w:eastAsia="Arial" w:hAnsi="Arial"/>
                <w:sz w:val="14"/>
                <w:szCs w:val="14"/>
                <w:color w:val="auto"/>
              </w:rPr>
              <w:t>456,525(6)</w:t>
            </w:r>
          </w:p>
        </w:tc>
        <w:tc>
          <w:tcPr>
            <w:tcW w:w="0" w:type="dxa"/>
            <w:vAlign w:val="bottom"/>
          </w:tcPr>
          <w:p>
            <w:pPr>
              <w:spacing w:after="0"/>
              <w:rPr>
                <w:sz w:val="1"/>
                <w:szCs w:val="1"/>
                <w:color w:val="auto"/>
              </w:rPr>
            </w:pPr>
          </w:p>
        </w:tc>
      </w:tr>
      <w:tr>
        <w:trPr>
          <w:trHeight w:val="162"/>
        </w:trPr>
        <w:tc>
          <w:tcPr>
            <w:tcW w:w="1580" w:type="dxa"/>
            <w:vAlign w:val="bottom"/>
            <w:shd w:val="clear" w:color="auto" w:fill="E8EDF4"/>
          </w:tcPr>
          <w:p>
            <w:pPr>
              <w:spacing w:after="0"/>
              <w:rPr>
                <w:sz w:val="14"/>
                <w:szCs w:val="14"/>
                <w:color w:val="auto"/>
              </w:rPr>
            </w:pPr>
          </w:p>
        </w:tc>
        <w:tc>
          <w:tcPr>
            <w:tcW w:w="1000" w:type="dxa"/>
            <w:vAlign w:val="bottom"/>
            <w:shd w:val="clear" w:color="auto" w:fill="E8EDF4"/>
          </w:tcPr>
          <w:p>
            <w:pPr>
              <w:jc w:val="right"/>
              <w:ind w:right="109"/>
              <w:spacing w:after="0"/>
              <w:rPr>
                <w:sz w:val="20"/>
                <w:szCs w:val="20"/>
                <w:color w:val="auto"/>
              </w:rPr>
            </w:pPr>
            <w:r>
              <w:rPr>
                <w:rFonts w:ascii="Arial" w:cs="Arial" w:eastAsia="Arial" w:hAnsi="Arial"/>
                <w:sz w:val="14"/>
                <w:szCs w:val="14"/>
                <w:color w:val="auto"/>
              </w:rPr>
              <w:t>3/13/2019</w:t>
            </w:r>
          </w:p>
        </w:tc>
        <w:tc>
          <w:tcPr>
            <w:tcW w:w="720" w:type="dxa"/>
            <w:vAlign w:val="bottom"/>
            <w:shd w:val="clear" w:color="auto" w:fill="E8EDF4"/>
          </w:tcPr>
          <w:p>
            <w:pPr>
              <w:ind w:left="400"/>
              <w:spacing w:after="0"/>
              <w:rPr>
                <w:sz w:val="20"/>
                <w:szCs w:val="20"/>
                <w:color w:val="auto"/>
              </w:rPr>
            </w:pPr>
            <w:r>
              <w:rPr>
                <w:rFonts w:ascii="Arial" w:cs="Arial" w:eastAsia="Arial" w:hAnsi="Arial"/>
                <w:sz w:val="14"/>
                <w:szCs w:val="14"/>
                <w:color w:val="auto"/>
              </w:rPr>
              <w:t>—</w:t>
            </w:r>
          </w:p>
        </w:tc>
        <w:tc>
          <w:tcPr>
            <w:tcW w:w="880" w:type="dxa"/>
            <w:vAlign w:val="bottom"/>
            <w:shd w:val="clear" w:color="auto" w:fill="E8EDF4"/>
          </w:tcPr>
          <w:p>
            <w:pPr>
              <w:jc w:val="right"/>
              <w:ind w:right="129"/>
              <w:spacing w:after="0"/>
              <w:rPr>
                <w:sz w:val="20"/>
                <w:szCs w:val="20"/>
                <w:color w:val="auto"/>
              </w:rPr>
            </w:pPr>
            <w:r>
              <w:rPr>
                <w:rFonts w:ascii="Arial" w:cs="Arial" w:eastAsia="Arial" w:hAnsi="Arial"/>
                <w:sz w:val="14"/>
                <w:szCs w:val="14"/>
                <w:color w:val="auto"/>
              </w:rPr>
              <w:t>—</w:t>
            </w:r>
          </w:p>
        </w:tc>
        <w:tc>
          <w:tcPr>
            <w:tcW w:w="840" w:type="dxa"/>
            <w:vAlign w:val="bottom"/>
            <w:shd w:val="clear" w:color="auto" w:fill="E8EDF4"/>
          </w:tcPr>
          <w:p>
            <w:pPr>
              <w:ind w:left="520"/>
              <w:spacing w:after="0"/>
              <w:rPr>
                <w:sz w:val="20"/>
                <w:szCs w:val="20"/>
                <w:color w:val="auto"/>
              </w:rPr>
            </w:pPr>
            <w:r>
              <w:rPr>
                <w:rFonts w:ascii="Arial" w:cs="Arial" w:eastAsia="Arial" w:hAnsi="Arial"/>
                <w:sz w:val="14"/>
                <w:szCs w:val="14"/>
                <w:color w:val="auto"/>
              </w:rPr>
              <w:t>—</w:t>
            </w:r>
          </w:p>
        </w:tc>
        <w:tc>
          <w:tcPr>
            <w:tcW w:w="820" w:type="dxa"/>
            <w:vAlign w:val="bottom"/>
            <w:shd w:val="clear" w:color="auto" w:fill="E8EDF4"/>
          </w:tcPr>
          <w:p>
            <w:pPr>
              <w:ind w:left="480"/>
              <w:spacing w:after="0"/>
              <w:rPr>
                <w:sz w:val="20"/>
                <w:szCs w:val="20"/>
                <w:color w:val="auto"/>
              </w:rPr>
            </w:pPr>
            <w:r>
              <w:rPr>
                <w:rFonts w:ascii="Arial" w:cs="Arial" w:eastAsia="Arial" w:hAnsi="Arial"/>
                <w:sz w:val="14"/>
                <w:szCs w:val="14"/>
                <w:color w:val="auto"/>
              </w:rPr>
              <w:t>—</w:t>
            </w:r>
          </w:p>
        </w:tc>
        <w:tc>
          <w:tcPr>
            <w:tcW w:w="640" w:type="dxa"/>
            <w:vAlign w:val="bottom"/>
            <w:shd w:val="clear" w:color="auto" w:fill="E8EDF4"/>
          </w:tcPr>
          <w:p>
            <w:pPr>
              <w:jc w:val="right"/>
              <w:ind w:right="29"/>
              <w:spacing w:after="0"/>
              <w:rPr>
                <w:sz w:val="20"/>
                <w:szCs w:val="20"/>
                <w:color w:val="auto"/>
              </w:rPr>
            </w:pPr>
            <w:r>
              <w:rPr>
                <w:rFonts w:ascii="Arial" w:cs="Arial" w:eastAsia="Arial" w:hAnsi="Arial"/>
                <w:sz w:val="14"/>
                <w:szCs w:val="14"/>
                <w:color w:val="auto"/>
              </w:rPr>
              <w:t>3,992</w:t>
            </w:r>
          </w:p>
        </w:tc>
        <w:tc>
          <w:tcPr>
            <w:tcW w:w="720" w:type="dxa"/>
            <w:vAlign w:val="bottom"/>
            <w:shd w:val="clear" w:color="auto" w:fill="E8EDF4"/>
          </w:tcPr>
          <w:p>
            <w:pPr>
              <w:jc w:val="right"/>
              <w:spacing w:after="0"/>
              <w:rPr>
                <w:sz w:val="20"/>
                <w:szCs w:val="20"/>
                <w:color w:val="auto"/>
              </w:rPr>
            </w:pPr>
            <w:r>
              <w:rPr>
                <w:rFonts w:ascii="Arial" w:cs="Arial" w:eastAsia="Arial" w:hAnsi="Arial"/>
                <w:sz w:val="14"/>
                <w:szCs w:val="14"/>
                <w:color w:val="auto"/>
              </w:rPr>
              <w:t>7,984</w:t>
            </w:r>
          </w:p>
        </w:tc>
        <w:tc>
          <w:tcPr>
            <w:tcW w:w="1100" w:type="dxa"/>
            <w:vAlign w:val="bottom"/>
            <w:shd w:val="clear" w:color="auto" w:fill="E8EDF4"/>
          </w:tcPr>
          <w:p>
            <w:pPr>
              <w:jc w:val="right"/>
              <w:ind w:right="110"/>
              <w:spacing w:after="0"/>
              <w:rPr>
                <w:sz w:val="20"/>
                <w:szCs w:val="20"/>
                <w:color w:val="auto"/>
              </w:rPr>
            </w:pPr>
            <w:r>
              <w:rPr>
                <w:rFonts w:ascii="Arial" w:cs="Arial" w:eastAsia="Arial" w:hAnsi="Arial"/>
                <w:sz w:val="14"/>
                <w:szCs w:val="14"/>
                <w:color w:val="auto"/>
              </w:rPr>
              <w:t>—</w:t>
            </w:r>
          </w:p>
        </w:tc>
        <w:tc>
          <w:tcPr>
            <w:tcW w:w="1100" w:type="dxa"/>
            <w:vAlign w:val="bottom"/>
            <w:shd w:val="clear" w:color="auto" w:fill="E8EDF4"/>
          </w:tcPr>
          <w:p>
            <w:pPr>
              <w:jc w:val="right"/>
              <w:ind w:right="90"/>
              <w:spacing w:after="0"/>
              <w:rPr>
                <w:sz w:val="20"/>
                <w:szCs w:val="20"/>
                <w:color w:val="auto"/>
              </w:rPr>
            </w:pPr>
            <w:r>
              <w:rPr>
                <w:rFonts w:ascii="Arial" w:cs="Arial" w:eastAsia="Arial" w:hAnsi="Arial"/>
                <w:sz w:val="14"/>
                <w:szCs w:val="14"/>
                <w:color w:val="auto"/>
              </w:rPr>
              <w:t>—</w:t>
            </w:r>
          </w:p>
        </w:tc>
        <w:tc>
          <w:tcPr>
            <w:tcW w:w="680" w:type="dxa"/>
            <w:vAlign w:val="bottom"/>
            <w:shd w:val="clear" w:color="auto" w:fill="E8EDF4"/>
          </w:tcPr>
          <w:p>
            <w:pPr>
              <w:ind w:left="400"/>
              <w:spacing w:after="0"/>
              <w:rPr>
                <w:sz w:val="20"/>
                <w:szCs w:val="20"/>
                <w:color w:val="auto"/>
              </w:rPr>
            </w:pPr>
            <w:r>
              <w:rPr>
                <w:rFonts w:ascii="Arial" w:cs="Arial" w:eastAsia="Arial" w:hAnsi="Arial"/>
                <w:sz w:val="14"/>
                <w:szCs w:val="14"/>
                <w:color w:val="auto"/>
              </w:rPr>
              <w:t>—</w:t>
            </w:r>
          </w:p>
        </w:tc>
        <w:tc>
          <w:tcPr>
            <w:tcW w:w="940" w:type="dxa"/>
            <w:vAlign w:val="bottom"/>
            <w:shd w:val="clear" w:color="auto" w:fill="E8EDF4"/>
          </w:tcPr>
          <w:p>
            <w:pPr>
              <w:jc w:val="right"/>
              <w:spacing w:after="0"/>
              <w:rPr>
                <w:sz w:val="20"/>
                <w:szCs w:val="20"/>
                <w:color w:val="auto"/>
              </w:rPr>
            </w:pPr>
            <w:r>
              <w:rPr>
                <w:rFonts w:ascii="Arial" w:cs="Arial" w:eastAsia="Arial" w:hAnsi="Arial"/>
                <w:sz w:val="14"/>
                <w:szCs w:val="14"/>
                <w:color w:val="auto"/>
              </w:rPr>
              <w:t>367,282(6)</w:t>
            </w:r>
          </w:p>
        </w:tc>
        <w:tc>
          <w:tcPr>
            <w:tcW w:w="0" w:type="dxa"/>
            <w:vAlign w:val="bottom"/>
          </w:tcPr>
          <w:p>
            <w:pPr>
              <w:spacing w:after="0"/>
              <w:rPr>
                <w:sz w:val="1"/>
                <w:szCs w:val="1"/>
                <w:color w:val="auto"/>
              </w:rPr>
            </w:pPr>
          </w:p>
        </w:tc>
      </w:tr>
      <w:tr>
        <w:trPr>
          <w:trHeight w:val="162"/>
        </w:trPr>
        <w:tc>
          <w:tcPr>
            <w:tcW w:w="1580" w:type="dxa"/>
            <w:vAlign w:val="bottom"/>
            <w:shd w:val="clear" w:color="auto" w:fill="E8EDF4"/>
          </w:tcPr>
          <w:p>
            <w:pPr>
              <w:spacing w:after="0"/>
              <w:rPr>
                <w:sz w:val="14"/>
                <w:szCs w:val="14"/>
                <w:color w:val="auto"/>
              </w:rPr>
            </w:pPr>
          </w:p>
        </w:tc>
        <w:tc>
          <w:tcPr>
            <w:tcW w:w="1000" w:type="dxa"/>
            <w:vAlign w:val="bottom"/>
            <w:shd w:val="clear" w:color="auto" w:fill="E8EDF4"/>
          </w:tcPr>
          <w:p>
            <w:pPr>
              <w:jc w:val="right"/>
              <w:ind w:right="109"/>
              <w:spacing w:after="0"/>
              <w:rPr>
                <w:sz w:val="20"/>
                <w:szCs w:val="20"/>
                <w:color w:val="auto"/>
              </w:rPr>
            </w:pPr>
            <w:r>
              <w:rPr>
                <w:rFonts w:ascii="Arial" w:cs="Arial" w:eastAsia="Arial" w:hAnsi="Arial"/>
                <w:sz w:val="14"/>
                <w:szCs w:val="14"/>
                <w:color w:val="auto"/>
              </w:rPr>
              <w:t>3/13/2019</w:t>
            </w:r>
          </w:p>
        </w:tc>
        <w:tc>
          <w:tcPr>
            <w:tcW w:w="720" w:type="dxa"/>
            <w:vAlign w:val="bottom"/>
            <w:shd w:val="clear" w:color="auto" w:fill="E8EDF4"/>
          </w:tcPr>
          <w:p>
            <w:pPr>
              <w:ind w:left="400"/>
              <w:spacing w:after="0"/>
              <w:rPr>
                <w:sz w:val="20"/>
                <w:szCs w:val="20"/>
                <w:color w:val="auto"/>
              </w:rPr>
            </w:pPr>
            <w:r>
              <w:rPr>
                <w:rFonts w:ascii="Arial" w:cs="Arial" w:eastAsia="Arial" w:hAnsi="Arial"/>
                <w:sz w:val="14"/>
                <w:szCs w:val="14"/>
                <w:color w:val="auto"/>
              </w:rPr>
              <w:t>—</w:t>
            </w:r>
          </w:p>
        </w:tc>
        <w:tc>
          <w:tcPr>
            <w:tcW w:w="880" w:type="dxa"/>
            <w:vAlign w:val="bottom"/>
            <w:shd w:val="clear" w:color="auto" w:fill="E8EDF4"/>
          </w:tcPr>
          <w:p>
            <w:pPr>
              <w:jc w:val="right"/>
              <w:ind w:right="129"/>
              <w:spacing w:after="0"/>
              <w:rPr>
                <w:sz w:val="20"/>
                <w:szCs w:val="20"/>
                <w:color w:val="auto"/>
              </w:rPr>
            </w:pPr>
            <w:r>
              <w:rPr>
                <w:rFonts w:ascii="Arial" w:cs="Arial" w:eastAsia="Arial" w:hAnsi="Arial"/>
                <w:sz w:val="14"/>
                <w:szCs w:val="14"/>
                <w:color w:val="auto"/>
              </w:rPr>
              <w:t>—</w:t>
            </w:r>
          </w:p>
        </w:tc>
        <w:tc>
          <w:tcPr>
            <w:tcW w:w="840" w:type="dxa"/>
            <w:vAlign w:val="bottom"/>
            <w:shd w:val="clear" w:color="auto" w:fill="E8EDF4"/>
          </w:tcPr>
          <w:p>
            <w:pPr>
              <w:ind w:left="520"/>
              <w:spacing w:after="0"/>
              <w:rPr>
                <w:sz w:val="20"/>
                <w:szCs w:val="20"/>
                <w:color w:val="auto"/>
              </w:rPr>
            </w:pPr>
            <w:r>
              <w:rPr>
                <w:rFonts w:ascii="Arial" w:cs="Arial" w:eastAsia="Arial" w:hAnsi="Arial"/>
                <w:sz w:val="14"/>
                <w:szCs w:val="14"/>
                <w:color w:val="auto"/>
              </w:rPr>
              <w:t>—</w:t>
            </w:r>
          </w:p>
        </w:tc>
        <w:tc>
          <w:tcPr>
            <w:tcW w:w="820" w:type="dxa"/>
            <w:vAlign w:val="bottom"/>
            <w:shd w:val="clear" w:color="auto" w:fill="E8EDF4"/>
          </w:tcPr>
          <w:p>
            <w:pPr>
              <w:ind w:left="480"/>
              <w:spacing w:after="0"/>
              <w:rPr>
                <w:sz w:val="20"/>
                <w:szCs w:val="20"/>
                <w:color w:val="auto"/>
              </w:rPr>
            </w:pPr>
            <w:r>
              <w:rPr>
                <w:rFonts w:ascii="Arial" w:cs="Arial" w:eastAsia="Arial" w:hAnsi="Arial"/>
                <w:sz w:val="14"/>
                <w:szCs w:val="14"/>
                <w:color w:val="auto"/>
              </w:rPr>
              <w:t>—</w:t>
            </w:r>
          </w:p>
        </w:tc>
        <w:tc>
          <w:tcPr>
            <w:tcW w:w="640" w:type="dxa"/>
            <w:vAlign w:val="bottom"/>
            <w:shd w:val="clear" w:color="auto" w:fill="E8EDF4"/>
          </w:tcPr>
          <w:p>
            <w:pPr>
              <w:jc w:val="right"/>
              <w:ind w:right="109"/>
              <w:spacing w:after="0"/>
              <w:rPr>
                <w:sz w:val="20"/>
                <w:szCs w:val="20"/>
                <w:color w:val="auto"/>
              </w:rPr>
            </w:pPr>
            <w:r>
              <w:rPr>
                <w:rFonts w:ascii="Arial" w:cs="Arial" w:eastAsia="Arial" w:hAnsi="Arial"/>
                <w:sz w:val="14"/>
                <w:szCs w:val="14"/>
                <w:color w:val="auto"/>
              </w:rPr>
              <w:t>—</w:t>
            </w:r>
          </w:p>
        </w:tc>
        <w:tc>
          <w:tcPr>
            <w:tcW w:w="720" w:type="dxa"/>
            <w:vAlign w:val="bottom"/>
            <w:shd w:val="clear" w:color="auto" w:fill="E8EDF4"/>
          </w:tcPr>
          <w:p>
            <w:pPr>
              <w:jc w:val="right"/>
              <w:ind w:right="49"/>
              <w:spacing w:after="0"/>
              <w:rPr>
                <w:sz w:val="20"/>
                <w:szCs w:val="20"/>
                <w:color w:val="auto"/>
              </w:rPr>
            </w:pPr>
            <w:r>
              <w:rPr>
                <w:rFonts w:ascii="Arial" w:cs="Arial" w:eastAsia="Arial" w:hAnsi="Arial"/>
                <w:sz w:val="14"/>
                <w:szCs w:val="14"/>
                <w:color w:val="auto"/>
              </w:rPr>
              <w:t>—</w:t>
            </w:r>
          </w:p>
        </w:tc>
        <w:tc>
          <w:tcPr>
            <w:tcW w:w="1100" w:type="dxa"/>
            <w:vAlign w:val="bottom"/>
            <w:shd w:val="clear" w:color="auto" w:fill="E8EDF4"/>
          </w:tcPr>
          <w:p>
            <w:pPr>
              <w:jc w:val="right"/>
              <w:ind w:right="30"/>
              <w:spacing w:after="0"/>
              <w:rPr>
                <w:sz w:val="20"/>
                <w:szCs w:val="20"/>
                <w:color w:val="auto"/>
              </w:rPr>
            </w:pPr>
            <w:r>
              <w:rPr>
                <w:rFonts w:ascii="Arial" w:cs="Arial" w:eastAsia="Arial" w:hAnsi="Arial"/>
                <w:sz w:val="14"/>
                <w:szCs w:val="14"/>
                <w:color w:val="auto"/>
              </w:rPr>
              <w:t>3,992</w:t>
            </w:r>
          </w:p>
        </w:tc>
        <w:tc>
          <w:tcPr>
            <w:tcW w:w="1100" w:type="dxa"/>
            <w:vAlign w:val="bottom"/>
            <w:shd w:val="clear" w:color="auto" w:fill="E8EDF4"/>
          </w:tcPr>
          <w:p>
            <w:pPr>
              <w:jc w:val="right"/>
              <w:ind w:right="90"/>
              <w:spacing w:after="0"/>
              <w:rPr>
                <w:sz w:val="20"/>
                <w:szCs w:val="20"/>
                <w:color w:val="auto"/>
              </w:rPr>
            </w:pPr>
            <w:r>
              <w:rPr>
                <w:rFonts w:ascii="Arial" w:cs="Arial" w:eastAsia="Arial" w:hAnsi="Arial"/>
                <w:sz w:val="14"/>
                <w:szCs w:val="14"/>
                <w:color w:val="auto"/>
              </w:rPr>
              <w:t>—</w:t>
            </w:r>
          </w:p>
        </w:tc>
        <w:tc>
          <w:tcPr>
            <w:tcW w:w="680" w:type="dxa"/>
            <w:vAlign w:val="bottom"/>
            <w:shd w:val="clear" w:color="auto" w:fill="E8EDF4"/>
          </w:tcPr>
          <w:p>
            <w:pPr>
              <w:ind w:left="400"/>
              <w:spacing w:after="0"/>
              <w:rPr>
                <w:sz w:val="20"/>
                <w:szCs w:val="20"/>
                <w:color w:val="auto"/>
              </w:rPr>
            </w:pPr>
            <w:r>
              <w:rPr>
                <w:rFonts w:ascii="Arial" w:cs="Arial" w:eastAsia="Arial" w:hAnsi="Arial"/>
                <w:sz w:val="14"/>
                <w:szCs w:val="14"/>
                <w:color w:val="auto"/>
              </w:rPr>
              <w:t>—</w:t>
            </w:r>
          </w:p>
        </w:tc>
        <w:tc>
          <w:tcPr>
            <w:tcW w:w="940" w:type="dxa"/>
            <w:vAlign w:val="bottom"/>
            <w:shd w:val="clear" w:color="auto" w:fill="E8EDF4"/>
          </w:tcPr>
          <w:p>
            <w:pPr>
              <w:jc w:val="right"/>
              <w:spacing w:after="0"/>
              <w:rPr>
                <w:sz w:val="20"/>
                <w:szCs w:val="20"/>
                <w:color w:val="auto"/>
              </w:rPr>
            </w:pPr>
            <w:r>
              <w:rPr>
                <w:rFonts w:ascii="Arial" w:cs="Arial" w:eastAsia="Arial" w:hAnsi="Arial"/>
                <w:sz w:val="14"/>
                <w:szCs w:val="14"/>
                <w:color w:val="auto"/>
              </w:rPr>
              <w:t>410,737(7)</w:t>
            </w:r>
          </w:p>
        </w:tc>
        <w:tc>
          <w:tcPr>
            <w:tcW w:w="0" w:type="dxa"/>
            <w:vAlign w:val="bottom"/>
          </w:tcPr>
          <w:p>
            <w:pPr>
              <w:spacing w:after="0"/>
              <w:rPr>
                <w:sz w:val="1"/>
                <w:szCs w:val="1"/>
                <w:color w:val="auto"/>
              </w:rPr>
            </w:pPr>
          </w:p>
        </w:tc>
      </w:tr>
      <w:tr>
        <w:trPr>
          <w:trHeight w:val="162"/>
        </w:trPr>
        <w:tc>
          <w:tcPr>
            <w:tcW w:w="1580" w:type="dxa"/>
            <w:vAlign w:val="bottom"/>
            <w:shd w:val="clear" w:color="auto" w:fill="E8EDF4"/>
          </w:tcPr>
          <w:p>
            <w:pPr>
              <w:spacing w:after="0"/>
              <w:rPr>
                <w:sz w:val="14"/>
                <w:szCs w:val="14"/>
                <w:color w:val="auto"/>
              </w:rPr>
            </w:pPr>
          </w:p>
        </w:tc>
        <w:tc>
          <w:tcPr>
            <w:tcW w:w="1000" w:type="dxa"/>
            <w:vAlign w:val="bottom"/>
            <w:shd w:val="clear" w:color="auto" w:fill="E8EDF4"/>
          </w:tcPr>
          <w:p>
            <w:pPr>
              <w:jc w:val="right"/>
              <w:ind w:right="109"/>
              <w:spacing w:after="0"/>
              <w:rPr>
                <w:sz w:val="20"/>
                <w:szCs w:val="20"/>
                <w:color w:val="auto"/>
              </w:rPr>
            </w:pPr>
            <w:r>
              <w:rPr>
                <w:rFonts w:ascii="Arial" w:cs="Arial" w:eastAsia="Arial" w:hAnsi="Arial"/>
                <w:sz w:val="14"/>
                <w:szCs w:val="14"/>
                <w:color w:val="auto"/>
              </w:rPr>
              <w:t>3/13/2019</w:t>
            </w:r>
          </w:p>
        </w:tc>
        <w:tc>
          <w:tcPr>
            <w:tcW w:w="720" w:type="dxa"/>
            <w:vAlign w:val="bottom"/>
            <w:shd w:val="clear" w:color="auto" w:fill="E8EDF4"/>
          </w:tcPr>
          <w:p>
            <w:pPr>
              <w:ind w:left="400"/>
              <w:spacing w:after="0"/>
              <w:rPr>
                <w:sz w:val="20"/>
                <w:szCs w:val="20"/>
                <w:color w:val="auto"/>
              </w:rPr>
            </w:pPr>
            <w:r>
              <w:rPr>
                <w:rFonts w:ascii="Arial" w:cs="Arial" w:eastAsia="Arial" w:hAnsi="Arial"/>
                <w:sz w:val="14"/>
                <w:szCs w:val="14"/>
                <w:color w:val="auto"/>
              </w:rPr>
              <w:t>—</w:t>
            </w:r>
          </w:p>
        </w:tc>
        <w:tc>
          <w:tcPr>
            <w:tcW w:w="880" w:type="dxa"/>
            <w:vAlign w:val="bottom"/>
            <w:shd w:val="clear" w:color="auto" w:fill="E8EDF4"/>
          </w:tcPr>
          <w:p>
            <w:pPr>
              <w:jc w:val="right"/>
              <w:ind w:right="129"/>
              <w:spacing w:after="0"/>
              <w:rPr>
                <w:sz w:val="20"/>
                <w:szCs w:val="20"/>
                <w:color w:val="auto"/>
              </w:rPr>
            </w:pPr>
            <w:r>
              <w:rPr>
                <w:rFonts w:ascii="Arial" w:cs="Arial" w:eastAsia="Arial" w:hAnsi="Arial"/>
                <w:sz w:val="14"/>
                <w:szCs w:val="14"/>
                <w:color w:val="auto"/>
              </w:rPr>
              <w:t>—</w:t>
            </w:r>
          </w:p>
        </w:tc>
        <w:tc>
          <w:tcPr>
            <w:tcW w:w="840" w:type="dxa"/>
            <w:vAlign w:val="bottom"/>
            <w:shd w:val="clear" w:color="auto" w:fill="E8EDF4"/>
          </w:tcPr>
          <w:p>
            <w:pPr>
              <w:ind w:left="520"/>
              <w:spacing w:after="0"/>
              <w:rPr>
                <w:sz w:val="20"/>
                <w:szCs w:val="20"/>
                <w:color w:val="auto"/>
              </w:rPr>
            </w:pPr>
            <w:r>
              <w:rPr>
                <w:rFonts w:ascii="Arial" w:cs="Arial" w:eastAsia="Arial" w:hAnsi="Arial"/>
                <w:sz w:val="14"/>
                <w:szCs w:val="14"/>
                <w:color w:val="auto"/>
              </w:rPr>
              <w:t>—</w:t>
            </w:r>
          </w:p>
        </w:tc>
        <w:tc>
          <w:tcPr>
            <w:tcW w:w="820" w:type="dxa"/>
            <w:vAlign w:val="bottom"/>
            <w:shd w:val="clear" w:color="auto" w:fill="E8EDF4"/>
          </w:tcPr>
          <w:p>
            <w:pPr>
              <w:ind w:left="480"/>
              <w:spacing w:after="0"/>
              <w:rPr>
                <w:sz w:val="20"/>
                <w:szCs w:val="20"/>
                <w:color w:val="auto"/>
              </w:rPr>
            </w:pPr>
            <w:r>
              <w:rPr>
                <w:rFonts w:ascii="Arial" w:cs="Arial" w:eastAsia="Arial" w:hAnsi="Arial"/>
                <w:sz w:val="14"/>
                <w:szCs w:val="14"/>
                <w:color w:val="auto"/>
              </w:rPr>
              <w:t>—</w:t>
            </w:r>
          </w:p>
        </w:tc>
        <w:tc>
          <w:tcPr>
            <w:tcW w:w="640" w:type="dxa"/>
            <w:vAlign w:val="bottom"/>
            <w:shd w:val="clear" w:color="auto" w:fill="E8EDF4"/>
          </w:tcPr>
          <w:p>
            <w:pPr>
              <w:jc w:val="right"/>
              <w:ind w:right="109"/>
              <w:spacing w:after="0"/>
              <w:rPr>
                <w:sz w:val="20"/>
                <w:szCs w:val="20"/>
                <w:color w:val="auto"/>
              </w:rPr>
            </w:pPr>
            <w:r>
              <w:rPr>
                <w:rFonts w:ascii="Arial" w:cs="Arial" w:eastAsia="Arial" w:hAnsi="Arial"/>
                <w:sz w:val="14"/>
                <w:szCs w:val="14"/>
                <w:color w:val="auto"/>
              </w:rPr>
              <w:t>—</w:t>
            </w:r>
          </w:p>
        </w:tc>
        <w:tc>
          <w:tcPr>
            <w:tcW w:w="720" w:type="dxa"/>
            <w:vAlign w:val="bottom"/>
            <w:shd w:val="clear" w:color="auto" w:fill="E8EDF4"/>
          </w:tcPr>
          <w:p>
            <w:pPr>
              <w:jc w:val="right"/>
              <w:ind w:right="49"/>
              <w:spacing w:after="0"/>
              <w:rPr>
                <w:sz w:val="20"/>
                <w:szCs w:val="20"/>
                <w:color w:val="auto"/>
              </w:rPr>
            </w:pPr>
            <w:r>
              <w:rPr>
                <w:rFonts w:ascii="Arial" w:cs="Arial" w:eastAsia="Arial" w:hAnsi="Arial"/>
                <w:sz w:val="14"/>
                <w:szCs w:val="14"/>
                <w:color w:val="auto"/>
              </w:rPr>
              <w:t>—</w:t>
            </w:r>
          </w:p>
        </w:tc>
        <w:tc>
          <w:tcPr>
            <w:tcW w:w="1100" w:type="dxa"/>
            <w:vAlign w:val="bottom"/>
            <w:shd w:val="clear" w:color="auto" w:fill="E8EDF4"/>
          </w:tcPr>
          <w:p>
            <w:pPr>
              <w:jc w:val="right"/>
              <w:ind w:right="110"/>
              <w:spacing w:after="0"/>
              <w:rPr>
                <w:sz w:val="20"/>
                <w:szCs w:val="20"/>
                <w:color w:val="auto"/>
              </w:rPr>
            </w:pPr>
            <w:r>
              <w:rPr>
                <w:rFonts w:ascii="Arial" w:cs="Arial" w:eastAsia="Arial" w:hAnsi="Arial"/>
                <w:sz w:val="14"/>
                <w:szCs w:val="14"/>
                <w:color w:val="auto"/>
              </w:rPr>
              <w:t>—</w:t>
            </w:r>
          </w:p>
        </w:tc>
        <w:tc>
          <w:tcPr>
            <w:tcW w:w="1100" w:type="dxa"/>
            <w:vAlign w:val="bottom"/>
            <w:shd w:val="clear" w:color="auto" w:fill="E8EDF4"/>
          </w:tcPr>
          <w:p>
            <w:pPr>
              <w:jc w:val="right"/>
              <w:ind w:right="10"/>
              <w:spacing w:after="0"/>
              <w:rPr>
                <w:sz w:val="20"/>
                <w:szCs w:val="20"/>
                <w:color w:val="auto"/>
              </w:rPr>
            </w:pPr>
            <w:r>
              <w:rPr>
                <w:rFonts w:ascii="Arial" w:cs="Arial" w:eastAsia="Arial" w:hAnsi="Arial"/>
                <w:sz w:val="14"/>
                <w:szCs w:val="14"/>
                <w:color w:val="auto"/>
              </w:rPr>
              <w:t>17,676</w:t>
            </w:r>
          </w:p>
        </w:tc>
        <w:tc>
          <w:tcPr>
            <w:tcW w:w="680" w:type="dxa"/>
            <w:vAlign w:val="bottom"/>
            <w:shd w:val="clear" w:color="auto" w:fill="E8EDF4"/>
          </w:tcPr>
          <w:p>
            <w:pPr>
              <w:ind w:left="180"/>
              <w:spacing w:after="0"/>
              <w:rPr>
                <w:sz w:val="20"/>
                <w:szCs w:val="20"/>
                <w:color w:val="auto"/>
              </w:rPr>
            </w:pPr>
            <w:r>
              <w:rPr>
                <w:rFonts w:ascii="Arial" w:cs="Arial" w:eastAsia="Arial" w:hAnsi="Arial"/>
                <w:sz w:val="14"/>
                <w:szCs w:val="14"/>
                <w:color w:val="auto"/>
              </w:rPr>
              <w:t>108.08</w:t>
            </w:r>
          </w:p>
        </w:tc>
        <w:tc>
          <w:tcPr>
            <w:tcW w:w="940" w:type="dxa"/>
            <w:vAlign w:val="bottom"/>
            <w:shd w:val="clear" w:color="auto" w:fill="E8EDF4"/>
          </w:tcPr>
          <w:p>
            <w:pPr>
              <w:jc w:val="right"/>
              <w:spacing w:after="0"/>
              <w:rPr>
                <w:sz w:val="20"/>
                <w:szCs w:val="20"/>
                <w:color w:val="auto"/>
              </w:rPr>
            </w:pPr>
            <w:r>
              <w:rPr>
                <w:rFonts w:ascii="Arial" w:cs="Arial" w:eastAsia="Arial" w:hAnsi="Arial"/>
                <w:sz w:val="14"/>
                <w:szCs w:val="14"/>
                <w:color w:val="auto"/>
              </w:rPr>
              <w:t>414,212(8)</w:t>
            </w:r>
          </w:p>
        </w:tc>
        <w:tc>
          <w:tcPr>
            <w:tcW w:w="0" w:type="dxa"/>
            <w:vAlign w:val="bottom"/>
          </w:tcPr>
          <w:p>
            <w:pPr>
              <w:spacing w:after="0"/>
              <w:rPr>
                <w:sz w:val="1"/>
                <w:szCs w:val="1"/>
                <w:color w:val="auto"/>
              </w:rPr>
            </w:pPr>
          </w:p>
        </w:tc>
      </w:tr>
      <w:tr>
        <w:trPr>
          <w:trHeight w:val="167"/>
        </w:trPr>
        <w:tc>
          <w:tcPr>
            <w:tcW w:w="1580" w:type="dxa"/>
            <w:vAlign w:val="bottom"/>
          </w:tcPr>
          <w:p>
            <w:pPr>
              <w:ind w:left="20"/>
              <w:spacing w:after="0"/>
              <w:rPr>
                <w:sz w:val="20"/>
                <w:szCs w:val="20"/>
                <w:color w:val="auto"/>
              </w:rPr>
            </w:pPr>
            <w:r>
              <w:rPr>
                <w:rFonts w:ascii="Arial" w:cs="Arial" w:eastAsia="Arial" w:hAnsi="Arial"/>
                <w:sz w:val="14"/>
                <w:szCs w:val="14"/>
                <w:color w:val="auto"/>
              </w:rPr>
              <w:t>Steve Pietkiewicz</w:t>
            </w:r>
          </w:p>
        </w:tc>
        <w:tc>
          <w:tcPr>
            <w:tcW w:w="1000" w:type="dxa"/>
            <w:vAlign w:val="bottom"/>
          </w:tcPr>
          <w:p>
            <w:pPr>
              <w:jc w:val="right"/>
              <w:ind w:right="109"/>
              <w:spacing w:after="0"/>
              <w:rPr>
                <w:sz w:val="20"/>
                <w:szCs w:val="20"/>
                <w:color w:val="auto"/>
              </w:rPr>
            </w:pPr>
            <w:r>
              <w:rPr>
                <w:rFonts w:ascii="Arial" w:cs="Arial" w:eastAsia="Arial" w:hAnsi="Arial"/>
                <w:sz w:val="14"/>
                <w:szCs w:val="14"/>
                <w:color w:val="auto"/>
              </w:rPr>
              <w:t>N/A</w:t>
            </w:r>
          </w:p>
        </w:tc>
        <w:tc>
          <w:tcPr>
            <w:tcW w:w="720" w:type="dxa"/>
            <w:vAlign w:val="bottom"/>
          </w:tcPr>
          <w:p>
            <w:pPr>
              <w:ind w:left="40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394,615</w:t>
            </w:r>
          </w:p>
        </w:tc>
        <w:tc>
          <w:tcPr>
            <w:tcW w:w="840" w:type="dxa"/>
            <w:vAlign w:val="bottom"/>
          </w:tcPr>
          <w:p>
            <w:pPr>
              <w:ind w:left="100"/>
              <w:spacing w:after="0"/>
              <w:rPr>
                <w:sz w:val="20"/>
                <w:szCs w:val="20"/>
                <w:color w:val="auto"/>
              </w:rPr>
            </w:pPr>
            <w:r>
              <w:rPr>
                <w:rFonts w:ascii="Arial" w:cs="Arial" w:eastAsia="Arial" w:hAnsi="Arial"/>
                <w:sz w:val="14"/>
                <w:szCs w:val="14"/>
                <w:color w:val="auto"/>
              </w:rPr>
              <w:t>1,183,845</w:t>
            </w:r>
          </w:p>
        </w:tc>
        <w:tc>
          <w:tcPr>
            <w:tcW w:w="820" w:type="dxa"/>
            <w:vAlign w:val="bottom"/>
          </w:tcPr>
          <w:p>
            <w:pPr>
              <w:ind w:left="48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680" w:type="dxa"/>
            <w:vAlign w:val="bottom"/>
          </w:tcPr>
          <w:p>
            <w:pPr>
              <w:ind w:left="40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5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1000" w:type="dxa"/>
            <w:vAlign w:val="bottom"/>
          </w:tcPr>
          <w:p>
            <w:pPr>
              <w:jc w:val="right"/>
              <w:ind w:right="109"/>
              <w:spacing w:after="0"/>
              <w:rPr>
                <w:sz w:val="20"/>
                <w:szCs w:val="20"/>
                <w:color w:val="auto"/>
              </w:rPr>
            </w:pPr>
            <w:r>
              <w:rPr>
                <w:rFonts w:ascii="Arial" w:cs="Arial" w:eastAsia="Arial" w:hAnsi="Arial"/>
                <w:sz w:val="14"/>
                <w:szCs w:val="14"/>
                <w:color w:val="auto"/>
              </w:rPr>
              <w:t>3/13/2019</w:t>
            </w:r>
          </w:p>
        </w:tc>
        <w:tc>
          <w:tcPr>
            <w:tcW w:w="720" w:type="dxa"/>
            <w:vAlign w:val="bottom"/>
          </w:tcPr>
          <w:p>
            <w:pPr>
              <w:ind w:left="40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840" w:type="dxa"/>
            <w:vAlign w:val="bottom"/>
          </w:tcPr>
          <w:p>
            <w:pPr>
              <w:ind w:left="520"/>
              <w:spacing w:after="0"/>
              <w:rPr>
                <w:sz w:val="20"/>
                <w:szCs w:val="20"/>
                <w:color w:val="auto"/>
              </w:rPr>
            </w:pPr>
            <w:r>
              <w:rPr>
                <w:rFonts w:ascii="Arial" w:cs="Arial" w:eastAsia="Arial" w:hAnsi="Arial"/>
                <w:sz w:val="14"/>
                <w:szCs w:val="14"/>
                <w:color w:val="auto"/>
              </w:rPr>
              <w:t>—</w:t>
            </w:r>
          </w:p>
        </w:tc>
        <w:tc>
          <w:tcPr>
            <w:tcW w:w="820" w:type="dxa"/>
            <w:vAlign w:val="bottom"/>
          </w:tcPr>
          <w:p>
            <w:pPr>
              <w:ind w:left="48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3,992</w:t>
            </w:r>
          </w:p>
        </w:tc>
        <w:tc>
          <w:tcPr>
            <w:tcW w:w="720" w:type="dxa"/>
            <w:vAlign w:val="bottom"/>
          </w:tcPr>
          <w:p>
            <w:pPr>
              <w:jc w:val="right"/>
              <w:spacing w:after="0"/>
              <w:rPr>
                <w:sz w:val="20"/>
                <w:szCs w:val="20"/>
                <w:color w:val="auto"/>
              </w:rPr>
            </w:pPr>
            <w:r>
              <w:rPr>
                <w:rFonts w:ascii="Arial" w:cs="Arial" w:eastAsia="Arial" w:hAnsi="Arial"/>
                <w:sz w:val="14"/>
                <w:szCs w:val="14"/>
                <w:color w:val="auto"/>
              </w:rPr>
              <w:t>7,984</w:t>
            </w:r>
          </w:p>
        </w:tc>
        <w:tc>
          <w:tcPr>
            <w:tcW w:w="110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680" w:type="dxa"/>
            <w:vAlign w:val="bottom"/>
          </w:tcPr>
          <w:p>
            <w:pPr>
              <w:ind w:left="40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456,525(6)</w:t>
            </w: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1000" w:type="dxa"/>
            <w:vAlign w:val="bottom"/>
          </w:tcPr>
          <w:p>
            <w:pPr>
              <w:jc w:val="right"/>
              <w:ind w:right="109"/>
              <w:spacing w:after="0"/>
              <w:rPr>
                <w:sz w:val="20"/>
                <w:szCs w:val="20"/>
                <w:color w:val="auto"/>
              </w:rPr>
            </w:pPr>
            <w:r>
              <w:rPr>
                <w:rFonts w:ascii="Arial" w:cs="Arial" w:eastAsia="Arial" w:hAnsi="Arial"/>
                <w:sz w:val="14"/>
                <w:szCs w:val="14"/>
                <w:color w:val="auto"/>
              </w:rPr>
              <w:t>3/13/2019</w:t>
            </w:r>
          </w:p>
        </w:tc>
        <w:tc>
          <w:tcPr>
            <w:tcW w:w="720" w:type="dxa"/>
            <w:vAlign w:val="bottom"/>
          </w:tcPr>
          <w:p>
            <w:pPr>
              <w:ind w:left="40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840" w:type="dxa"/>
            <w:vAlign w:val="bottom"/>
          </w:tcPr>
          <w:p>
            <w:pPr>
              <w:ind w:left="520"/>
              <w:spacing w:after="0"/>
              <w:rPr>
                <w:sz w:val="20"/>
                <w:szCs w:val="20"/>
                <w:color w:val="auto"/>
              </w:rPr>
            </w:pPr>
            <w:r>
              <w:rPr>
                <w:rFonts w:ascii="Arial" w:cs="Arial" w:eastAsia="Arial" w:hAnsi="Arial"/>
                <w:sz w:val="14"/>
                <w:szCs w:val="14"/>
                <w:color w:val="auto"/>
              </w:rPr>
              <w:t>—</w:t>
            </w:r>
          </w:p>
        </w:tc>
        <w:tc>
          <w:tcPr>
            <w:tcW w:w="820" w:type="dxa"/>
            <w:vAlign w:val="bottom"/>
          </w:tcPr>
          <w:p>
            <w:pPr>
              <w:ind w:left="48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3,992</w:t>
            </w:r>
          </w:p>
        </w:tc>
        <w:tc>
          <w:tcPr>
            <w:tcW w:w="720" w:type="dxa"/>
            <w:vAlign w:val="bottom"/>
          </w:tcPr>
          <w:p>
            <w:pPr>
              <w:jc w:val="right"/>
              <w:spacing w:after="0"/>
              <w:rPr>
                <w:sz w:val="20"/>
                <w:szCs w:val="20"/>
                <w:color w:val="auto"/>
              </w:rPr>
            </w:pPr>
            <w:r>
              <w:rPr>
                <w:rFonts w:ascii="Arial" w:cs="Arial" w:eastAsia="Arial" w:hAnsi="Arial"/>
                <w:sz w:val="14"/>
                <w:szCs w:val="14"/>
                <w:color w:val="auto"/>
              </w:rPr>
              <w:t>7,984</w:t>
            </w:r>
          </w:p>
        </w:tc>
        <w:tc>
          <w:tcPr>
            <w:tcW w:w="110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680" w:type="dxa"/>
            <w:vAlign w:val="bottom"/>
          </w:tcPr>
          <w:p>
            <w:pPr>
              <w:ind w:left="40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367,282(6)</w:t>
            </w: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1000" w:type="dxa"/>
            <w:vAlign w:val="bottom"/>
          </w:tcPr>
          <w:p>
            <w:pPr>
              <w:jc w:val="right"/>
              <w:ind w:right="109"/>
              <w:spacing w:after="0"/>
              <w:rPr>
                <w:sz w:val="20"/>
                <w:szCs w:val="20"/>
                <w:color w:val="auto"/>
              </w:rPr>
            </w:pPr>
            <w:r>
              <w:rPr>
                <w:rFonts w:ascii="Arial" w:cs="Arial" w:eastAsia="Arial" w:hAnsi="Arial"/>
                <w:sz w:val="14"/>
                <w:szCs w:val="14"/>
                <w:color w:val="auto"/>
              </w:rPr>
              <w:t>3/13/2019</w:t>
            </w:r>
          </w:p>
        </w:tc>
        <w:tc>
          <w:tcPr>
            <w:tcW w:w="720" w:type="dxa"/>
            <w:vAlign w:val="bottom"/>
          </w:tcPr>
          <w:p>
            <w:pPr>
              <w:ind w:left="40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840" w:type="dxa"/>
            <w:vAlign w:val="bottom"/>
          </w:tcPr>
          <w:p>
            <w:pPr>
              <w:ind w:left="520"/>
              <w:spacing w:after="0"/>
              <w:rPr>
                <w:sz w:val="20"/>
                <w:szCs w:val="20"/>
                <w:color w:val="auto"/>
              </w:rPr>
            </w:pPr>
            <w:r>
              <w:rPr>
                <w:rFonts w:ascii="Arial" w:cs="Arial" w:eastAsia="Arial" w:hAnsi="Arial"/>
                <w:sz w:val="14"/>
                <w:szCs w:val="14"/>
                <w:color w:val="auto"/>
              </w:rPr>
              <w:t>—</w:t>
            </w:r>
          </w:p>
        </w:tc>
        <w:tc>
          <w:tcPr>
            <w:tcW w:w="820" w:type="dxa"/>
            <w:vAlign w:val="bottom"/>
          </w:tcPr>
          <w:p>
            <w:pPr>
              <w:ind w:left="48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30"/>
              <w:spacing w:after="0"/>
              <w:rPr>
                <w:sz w:val="20"/>
                <w:szCs w:val="20"/>
                <w:color w:val="auto"/>
              </w:rPr>
            </w:pPr>
            <w:r>
              <w:rPr>
                <w:rFonts w:ascii="Arial" w:cs="Arial" w:eastAsia="Arial" w:hAnsi="Arial"/>
                <w:sz w:val="14"/>
                <w:szCs w:val="14"/>
                <w:color w:val="auto"/>
              </w:rPr>
              <w:t>3,992</w:t>
            </w:r>
          </w:p>
        </w:tc>
        <w:tc>
          <w:tcPr>
            <w:tcW w:w="110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680" w:type="dxa"/>
            <w:vAlign w:val="bottom"/>
          </w:tcPr>
          <w:p>
            <w:pPr>
              <w:ind w:left="40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410,737(7)</w:t>
            </w: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1000" w:type="dxa"/>
            <w:vAlign w:val="bottom"/>
          </w:tcPr>
          <w:p>
            <w:pPr>
              <w:jc w:val="right"/>
              <w:ind w:right="109"/>
              <w:spacing w:after="0"/>
              <w:rPr>
                <w:sz w:val="20"/>
                <w:szCs w:val="20"/>
                <w:color w:val="auto"/>
              </w:rPr>
            </w:pPr>
            <w:r>
              <w:rPr>
                <w:rFonts w:ascii="Arial" w:cs="Arial" w:eastAsia="Arial" w:hAnsi="Arial"/>
                <w:sz w:val="14"/>
                <w:szCs w:val="14"/>
                <w:color w:val="auto"/>
              </w:rPr>
              <w:t>3/13/2019</w:t>
            </w:r>
          </w:p>
        </w:tc>
        <w:tc>
          <w:tcPr>
            <w:tcW w:w="720" w:type="dxa"/>
            <w:vAlign w:val="bottom"/>
          </w:tcPr>
          <w:p>
            <w:pPr>
              <w:ind w:left="40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840" w:type="dxa"/>
            <w:vAlign w:val="bottom"/>
          </w:tcPr>
          <w:p>
            <w:pPr>
              <w:ind w:left="520"/>
              <w:spacing w:after="0"/>
              <w:rPr>
                <w:sz w:val="20"/>
                <w:szCs w:val="20"/>
                <w:color w:val="auto"/>
              </w:rPr>
            </w:pPr>
            <w:r>
              <w:rPr>
                <w:rFonts w:ascii="Arial" w:cs="Arial" w:eastAsia="Arial" w:hAnsi="Arial"/>
                <w:sz w:val="14"/>
                <w:szCs w:val="14"/>
                <w:color w:val="auto"/>
              </w:rPr>
              <w:t>—</w:t>
            </w:r>
          </w:p>
        </w:tc>
        <w:tc>
          <w:tcPr>
            <w:tcW w:w="820" w:type="dxa"/>
            <w:vAlign w:val="bottom"/>
          </w:tcPr>
          <w:p>
            <w:pPr>
              <w:ind w:left="48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17,676</w:t>
            </w:r>
          </w:p>
        </w:tc>
        <w:tc>
          <w:tcPr>
            <w:tcW w:w="680" w:type="dxa"/>
            <w:vAlign w:val="bottom"/>
          </w:tcPr>
          <w:p>
            <w:pPr>
              <w:ind w:left="180"/>
              <w:spacing w:after="0"/>
              <w:rPr>
                <w:sz w:val="20"/>
                <w:szCs w:val="20"/>
                <w:color w:val="auto"/>
              </w:rPr>
            </w:pPr>
            <w:r>
              <w:rPr>
                <w:rFonts w:ascii="Arial" w:cs="Arial" w:eastAsia="Arial" w:hAnsi="Arial"/>
                <w:sz w:val="14"/>
                <w:szCs w:val="14"/>
                <w:color w:val="auto"/>
              </w:rPr>
              <w:t>108.08</w:t>
            </w:r>
          </w:p>
        </w:tc>
        <w:tc>
          <w:tcPr>
            <w:tcW w:w="940" w:type="dxa"/>
            <w:vAlign w:val="bottom"/>
          </w:tcPr>
          <w:p>
            <w:pPr>
              <w:jc w:val="right"/>
              <w:spacing w:after="0"/>
              <w:rPr>
                <w:sz w:val="20"/>
                <w:szCs w:val="20"/>
                <w:color w:val="auto"/>
              </w:rPr>
            </w:pPr>
            <w:r>
              <w:rPr>
                <w:rFonts w:ascii="Arial" w:cs="Arial" w:eastAsia="Arial" w:hAnsi="Arial"/>
                <w:sz w:val="14"/>
                <w:szCs w:val="14"/>
                <w:color w:val="auto"/>
              </w:rPr>
              <w:t>414,212(8)</w:t>
            </w:r>
          </w:p>
        </w:tc>
        <w:tc>
          <w:tcPr>
            <w:tcW w:w="0" w:type="dxa"/>
            <w:vAlign w:val="bottom"/>
          </w:tcPr>
          <w:p>
            <w:pPr>
              <w:spacing w:after="0"/>
              <w:rPr>
                <w:sz w:val="1"/>
                <w:szCs w:val="1"/>
                <w:color w:val="auto"/>
              </w:rPr>
            </w:pPr>
          </w:p>
        </w:tc>
      </w:tr>
      <w:tr>
        <w:trPr>
          <w:trHeight w:val="172"/>
        </w:trPr>
        <w:tc>
          <w:tcPr>
            <w:tcW w:w="1580" w:type="dxa"/>
            <w:vAlign w:val="bottom"/>
          </w:tcPr>
          <w:p>
            <w:pPr>
              <w:spacing w:after="0"/>
              <w:rPr>
                <w:sz w:val="14"/>
                <w:szCs w:val="14"/>
                <w:color w:val="auto"/>
              </w:rPr>
            </w:pPr>
          </w:p>
        </w:tc>
        <w:tc>
          <w:tcPr>
            <w:tcW w:w="1000" w:type="dxa"/>
            <w:vAlign w:val="bottom"/>
          </w:tcPr>
          <w:p>
            <w:pPr>
              <w:jc w:val="right"/>
              <w:ind w:right="109"/>
              <w:spacing w:after="0"/>
              <w:rPr>
                <w:sz w:val="20"/>
                <w:szCs w:val="20"/>
                <w:color w:val="auto"/>
              </w:rPr>
            </w:pPr>
            <w:r>
              <w:rPr>
                <w:rFonts w:ascii="Arial" w:cs="Arial" w:eastAsia="Arial" w:hAnsi="Arial"/>
                <w:sz w:val="14"/>
                <w:szCs w:val="14"/>
                <w:color w:val="auto"/>
              </w:rPr>
              <w:t>6/17/2019</w:t>
            </w:r>
          </w:p>
        </w:tc>
        <w:tc>
          <w:tcPr>
            <w:tcW w:w="720" w:type="dxa"/>
            <w:vAlign w:val="bottom"/>
          </w:tcPr>
          <w:p>
            <w:pPr>
              <w:ind w:left="40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840" w:type="dxa"/>
            <w:vAlign w:val="bottom"/>
          </w:tcPr>
          <w:p>
            <w:pPr>
              <w:ind w:left="520"/>
              <w:spacing w:after="0"/>
              <w:rPr>
                <w:sz w:val="20"/>
                <w:szCs w:val="20"/>
                <w:color w:val="auto"/>
              </w:rPr>
            </w:pPr>
            <w:r>
              <w:rPr>
                <w:rFonts w:ascii="Arial" w:cs="Arial" w:eastAsia="Arial" w:hAnsi="Arial"/>
                <w:sz w:val="14"/>
                <w:szCs w:val="14"/>
                <w:color w:val="auto"/>
              </w:rPr>
              <w:t>—</w:t>
            </w:r>
          </w:p>
        </w:tc>
        <w:tc>
          <w:tcPr>
            <w:tcW w:w="820" w:type="dxa"/>
            <w:vAlign w:val="bottom"/>
          </w:tcPr>
          <w:p>
            <w:pPr>
              <w:ind w:left="48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30"/>
              <w:spacing w:after="0"/>
              <w:rPr>
                <w:sz w:val="20"/>
                <w:szCs w:val="20"/>
                <w:color w:val="auto"/>
              </w:rPr>
            </w:pPr>
            <w:r>
              <w:rPr>
                <w:rFonts w:ascii="Arial" w:cs="Arial" w:eastAsia="Arial" w:hAnsi="Arial"/>
                <w:sz w:val="14"/>
                <w:szCs w:val="14"/>
                <w:color w:val="auto"/>
              </w:rPr>
              <w:t>3,849</w:t>
            </w:r>
          </w:p>
        </w:tc>
        <w:tc>
          <w:tcPr>
            <w:tcW w:w="110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680" w:type="dxa"/>
            <w:vAlign w:val="bottom"/>
          </w:tcPr>
          <w:p>
            <w:pPr>
              <w:ind w:left="40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384,323(7)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1780540</wp:posOffset>
            </wp:positionH>
            <wp:positionV relativeFrom="paragraph">
              <wp:posOffset>-3293110</wp:posOffset>
            </wp:positionV>
            <wp:extent cx="290703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90703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76200</wp:posOffset>
            </wp:positionV>
            <wp:extent cx="76327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3" w:lineRule="exact"/>
        <w:rPr>
          <w:sz w:val="20"/>
          <w:szCs w:val="20"/>
          <w:color w:val="auto"/>
        </w:rPr>
      </w:pPr>
    </w:p>
    <w:p>
      <w:pPr>
        <w:ind w:left="640" w:right="220" w:hanging="436"/>
        <w:spacing w:after="0" w:line="239" w:lineRule="auto"/>
        <w:tabs>
          <w:tab w:leader="none" w:pos="6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amounts shown for Messrs. Roche, Mahendra-Rajah, Cotter, Hassett and Pietkiewicz in the threshold, target and maximum columns reflect the minimum, target and maximum amounts payable under our executive performance incentive plan, respectively. Amounts in the maximum column above reflect 300% of the executive’s target bonus, which is the cap under the plan. The actual amounts earned in fiscal 2019 are reflected in the Summary Compensation Table above and were as follows:</w:t>
      </w:r>
    </w:p>
    <w:p>
      <w:pPr>
        <w:spacing w:after="0" w:line="218"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4040" w:type="dxa"/>
            <w:vAlign w:val="bottom"/>
            <w:shd w:val="clear" w:color="auto" w:fill="052B82"/>
          </w:tcPr>
          <w:p>
            <w:pPr>
              <w:spacing w:after="0"/>
              <w:rPr>
                <w:sz w:val="14"/>
                <w:szCs w:val="14"/>
                <w:color w:val="auto"/>
              </w:rPr>
            </w:pPr>
          </w:p>
        </w:tc>
        <w:tc>
          <w:tcPr>
            <w:tcW w:w="3440" w:type="dxa"/>
            <w:vAlign w:val="bottom"/>
            <w:gridSpan w:val="2"/>
            <w:shd w:val="clear" w:color="auto" w:fill="052B82"/>
          </w:tcPr>
          <w:p>
            <w:pPr>
              <w:ind w:left="1820"/>
              <w:spacing w:after="0"/>
              <w:rPr>
                <w:sz w:val="20"/>
                <w:szCs w:val="20"/>
                <w:color w:val="auto"/>
              </w:rPr>
            </w:pPr>
            <w:r>
              <w:rPr>
                <w:rFonts w:ascii="Arial" w:cs="Arial" w:eastAsia="Arial" w:hAnsi="Arial"/>
                <w:sz w:val="14"/>
                <w:szCs w:val="14"/>
                <w:b w:val="1"/>
                <w:bCs w:val="1"/>
                <w:color w:val="FFFFFF"/>
              </w:rPr>
              <w:t>Actual Payout under</w:t>
            </w:r>
          </w:p>
        </w:tc>
      </w:tr>
      <w:tr>
        <w:trPr>
          <w:trHeight w:val="162"/>
        </w:trPr>
        <w:tc>
          <w:tcPr>
            <w:tcW w:w="4040" w:type="dxa"/>
            <w:vAlign w:val="bottom"/>
            <w:shd w:val="clear" w:color="auto" w:fill="052B82"/>
          </w:tcPr>
          <w:p>
            <w:pPr>
              <w:spacing w:after="0"/>
              <w:rPr>
                <w:sz w:val="14"/>
                <w:szCs w:val="14"/>
                <w:color w:val="auto"/>
              </w:rPr>
            </w:pPr>
          </w:p>
        </w:tc>
        <w:tc>
          <w:tcPr>
            <w:tcW w:w="3440" w:type="dxa"/>
            <w:vAlign w:val="bottom"/>
            <w:gridSpan w:val="2"/>
            <w:shd w:val="clear" w:color="auto" w:fill="052B82"/>
          </w:tcPr>
          <w:p>
            <w:pPr>
              <w:ind w:left="1800"/>
              <w:spacing w:after="0"/>
              <w:rPr>
                <w:sz w:val="20"/>
                <w:szCs w:val="20"/>
                <w:color w:val="auto"/>
              </w:rPr>
            </w:pPr>
            <w:r>
              <w:rPr>
                <w:rFonts w:ascii="Arial" w:cs="Arial" w:eastAsia="Arial" w:hAnsi="Arial"/>
                <w:sz w:val="14"/>
                <w:szCs w:val="14"/>
                <w:b w:val="1"/>
                <w:bCs w:val="1"/>
                <w:color w:val="FFFFFF"/>
              </w:rPr>
              <w:t>Non-Equity Incentive</w:t>
            </w:r>
          </w:p>
        </w:tc>
      </w:tr>
      <w:tr>
        <w:trPr>
          <w:trHeight w:val="189"/>
        </w:trPr>
        <w:tc>
          <w:tcPr>
            <w:tcW w:w="4040" w:type="dxa"/>
            <w:vAlign w:val="bottom"/>
            <w:shd w:val="clear" w:color="auto" w:fill="052B82"/>
          </w:tcPr>
          <w:p>
            <w:pPr>
              <w:ind w:left="40"/>
              <w:spacing w:after="0"/>
              <w:rPr>
                <w:sz w:val="20"/>
                <w:szCs w:val="20"/>
                <w:color w:val="auto"/>
              </w:rPr>
            </w:pPr>
            <w:r>
              <w:rPr>
                <w:rFonts w:ascii="Arial" w:cs="Arial" w:eastAsia="Arial" w:hAnsi="Arial"/>
                <w:sz w:val="14"/>
                <w:szCs w:val="14"/>
                <w:b w:val="1"/>
                <w:bCs w:val="1"/>
                <w:color w:val="FFFFFF"/>
              </w:rPr>
              <w:t>Name</w:t>
            </w:r>
          </w:p>
        </w:tc>
        <w:tc>
          <w:tcPr>
            <w:tcW w:w="3440" w:type="dxa"/>
            <w:vAlign w:val="bottom"/>
            <w:gridSpan w:val="2"/>
            <w:shd w:val="clear" w:color="auto" w:fill="052B82"/>
          </w:tcPr>
          <w:p>
            <w:pPr>
              <w:ind w:left="1800"/>
              <w:spacing w:after="0"/>
              <w:rPr>
                <w:sz w:val="20"/>
                <w:szCs w:val="20"/>
                <w:color w:val="auto"/>
              </w:rPr>
            </w:pPr>
            <w:r>
              <w:rPr>
                <w:rFonts w:ascii="Arial" w:cs="Arial" w:eastAsia="Arial" w:hAnsi="Arial"/>
                <w:sz w:val="14"/>
                <w:szCs w:val="14"/>
                <w:b w:val="1"/>
                <w:bCs w:val="1"/>
                <w:color w:val="FFFFFF"/>
              </w:rPr>
              <w:t>Plans for Fiscal 2019</w:t>
            </w:r>
          </w:p>
        </w:tc>
      </w:tr>
      <w:tr>
        <w:trPr>
          <w:trHeight w:val="203"/>
        </w:trPr>
        <w:tc>
          <w:tcPr>
            <w:tcW w:w="4040" w:type="dxa"/>
            <w:vAlign w:val="bottom"/>
          </w:tcPr>
          <w:p>
            <w:pPr>
              <w:ind w:left="40"/>
              <w:spacing w:after="0" w:line="202" w:lineRule="exact"/>
              <w:rPr>
                <w:sz w:val="20"/>
                <w:szCs w:val="20"/>
                <w:color w:val="auto"/>
              </w:rPr>
            </w:pPr>
            <w:r>
              <w:rPr>
                <w:rFonts w:ascii="Arial" w:cs="Arial" w:eastAsia="Arial" w:hAnsi="Arial"/>
                <w:sz w:val="18"/>
                <w:szCs w:val="18"/>
                <w:color w:val="auto"/>
              </w:rPr>
              <w:t>Vincent Roche</w:t>
            </w:r>
          </w:p>
        </w:tc>
        <w:tc>
          <w:tcPr>
            <w:tcW w:w="2160" w:type="dxa"/>
            <w:vAlign w:val="bottom"/>
          </w:tcPr>
          <w:p>
            <w:pPr>
              <w:ind w:left="1800"/>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1,430,337</w:t>
            </w:r>
          </w:p>
        </w:tc>
      </w:tr>
      <w:tr>
        <w:trPr>
          <w:trHeight w:val="203"/>
        </w:trPr>
        <w:tc>
          <w:tcPr>
            <w:tcW w:w="4040" w:type="dxa"/>
            <w:vAlign w:val="bottom"/>
            <w:shd w:val="clear" w:color="auto" w:fill="E8EDF4"/>
          </w:tcPr>
          <w:p>
            <w:pPr>
              <w:ind w:left="40"/>
              <w:spacing w:after="0" w:line="202" w:lineRule="exact"/>
              <w:rPr>
                <w:sz w:val="20"/>
                <w:szCs w:val="20"/>
                <w:color w:val="auto"/>
              </w:rPr>
            </w:pPr>
            <w:r>
              <w:rPr>
                <w:rFonts w:ascii="Arial" w:cs="Arial" w:eastAsia="Arial" w:hAnsi="Arial"/>
                <w:sz w:val="18"/>
                <w:szCs w:val="18"/>
                <w:color w:val="auto"/>
              </w:rPr>
              <w:t>Prashanth Mahendra-Rajah</w:t>
            </w:r>
          </w:p>
        </w:tc>
        <w:tc>
          <w:tcPr>
            <w:tcW w:w="2160" w:type="dxa"/>
            <w:vAlign w:val="bottom"/>
            <w:shd w:val="clear" w:color="auto" w:fill="E8EDF4"/>
          </w:tcPr>
          <w:p>
            <w:pPr>
              <w:ind w:left="1800"/>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E8EDF4"/>
          </w:tcPr>
          <w:p>
            <w:pPr>
              <w:jc w:val="right"/>
              <w:ind w:right="110"/>
              <w:spacing w:after="0" w:line="202" w:lineRule="exact"/>
              <w:rPr>
                <w:sz w:val="20"/>
                <w:szCs w:val="20"/>
                <w:color w:val="auto"/>
              </w:rPr>
            </w:pPr>
            <w:r>
              <w:rPr>
                <w:rFonts w:ascii="Arial" w:cs="Arial" w:eastAsia="Arial" w:hAnsi="Arial"/>
                <w:sz w:val="18"/>
                <w:szCs w:val="18"/>
                <w:color w:val="auto"/>
              </w:rPr>
              <w:t>523,413</w:t>
            </w:r>
          </w:p>
        </w:tc>
      </w:tr>
      <w:tr>
        <w:trPr>
          <w:trHeight w:val="203"/>
        </w:trPr>
        <w:tc>
          <w:tcPr>
            <w:tcW w:w="4040" w:type="dxa"/>
            <w:vAlign w:val="bottom"/>
          </w:tcPr>
          <w:p>
            <w:pPr>
              <w:ind w:left="40"/>
              <w:spacing w:after="0" w:line="202" w:lineRule="exact"/>
              <w:rPr>
                <w:sz w:val="20"/>
                <w:szCs w:val="20"/>
                <w:color w:val="auto"/>
              </w:rPr>
            </w:pPr>
            <w:r>
              <w:rPr>
                <w:rFonts w:ascii="Arial" w:cs="Arial" w:eastAsia="Arial" w:hAnsi="Arial"/>
                <w:sz w:val="18"/>
                <w:szCs w:val="18"/>
                <w:color w:val="auto"/>
              </w:rPr>
              <w:t>Martin Cotter</w:t>
            </w:r>
          </w:p>
        </w:tc>
        <w:tc>
          <w:tcPr>
            <w:tcW w:w="2160" w:type="dxa"/>
            <w:vAlign w:val="bottom"/>
          </w:tcPr>
          <w:p>
            <w:pPr>
              <w:ind w:left="1800"/>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395,809</w:t>
            </w:r>
          </w:p>
        </w:tc>
      </w:tr>
      <w:tr>
        <w:trPr>
          <w:trHeight w:val="203"/>
        </w:trPr>
        <w:tc>
          <w:tcPr>
            <w:tcW w:w="4040" w:type="dxa"/>
            <w:vAlign w:val="bottom"/>
            <w:shd w:val="clear" w:color="auto" w:fill="E8EDF4"/>
          </w:tcPr>
          <w:p>
            <w:pPr>
              <w:ind w:left="40"/>
              <w:spacing w:after="0" w:line="202" w:lineRule="exact"/>
              <w:rPr>
                <w:sz w:val="20"/>
                <w:szCs w:val="20"/>
                <w:color w:val="auto"/>
              </w:rPr>
            </w:pPr>
            <w:r>
              <w:rPr>
                <w:rFonts w:ascii="Arial" w:cs="Arial" w:eastAsia="Arial" w:hAnsi="Arial"/>
                <w:sz w:val="18"/>
                <w:szCs w:val="18"/>
                <w:color w:val="auto"/>
              </w:rPr>
              <w:t>John Hassett</w:t>
            </w:r>
          </w:p>
        </w:tc>
        <w:tc>
          <w:tcPr>
            <w:tcW w:w="2160" w:type="dxa"/>
            <w:vAlign w:val="bottom"/>
            <w:shd w:val="clear" w:color="auto" w:fill="E8EDF4"/>
          </w:tcPr>
          <w:p>
            <w:pPr>
              <w:ind w:left="1800"/>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E8EDF4"/>
          </w:tcPr>
          <w:p>
            <w:pPr>
              <w:jc w:val="right"/>
              <w:ind w:right="110"/>
              <w:spacing w:after="0" w:line="202" w:lineRule="exact"/>
              <w:rPr>
                <w:sz w:val="20"/>
                <w:szCs w:val="20"/>
                <w:color w:val="auto"/>
              </w:rPr>
            </w:pPr>
            <w:r>
              <w:rPr>
                <w:rFonts w:ascii="Arial" w:cs="Arial" w:eastAsia="Arial" w:hAnsi="Arial"/>
                <w:sz w:val="18"/>
                <w:szCs w:val="18"/>
                <w:color w:val="auto"/>
              </w:rPr>
              <w:t>437,875</w:t>
            </w:r>
          </w:p>
        </w:tc>
      </w:tr>
      <w:tr>
        <w:trPr>
          <w:trHeight w:val="217"/>
        </w:trPr>
        <w:tc>
          <w:tcPr>
            <w:tcW w:w="4040" w:type="dxa"/>
            <w:vAlign w:val="bottom"/>
          </w:tcPr>
          <w:p>
            <w:pPr>
              <w:ind w:left="40"/>
              <w:spacing w:after="0"/>
              <w:rPr>
                <w:sz w:val="20"/>
                <w:szCs w:val="20"/>
                <w:color w:val="auto"/>
              </w:rPr>
            </w:pPr>
            <w:r>
              <w:rPr>
                <w:rFonts w:ascii="Arial" w:cs="Arial" w:eastAsia="Arial" w:hAnsi="Arial"/>
                <w:sz w:val="18"/>
                <w:szCs w:val="18"/>
                <w:color w:val="auto"/>
              </w:rPr>
              <w:t>Steve Pietkiewicz</w:t>
            </w:r>
          </w:p>
        </w:tc>
        <w:tc>
          <w:tcPr>
            <w:tcW w:w="2160" w:type="dxa"/>
            <w:vAlign w:val="bottom"/>
          </w:tcPr>
          <w:p>
            <w:pPr>
              <w:ind w:left="180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365,763</w:t>
            </w:r>
          </w:p>
        </w:tc>
      </w:tr>
    </w:tbl>
    <w:p>
      <w:pPr>
        <w:spacing w:after="0" w:line="93" w:lineRule="exact"/>
        <w:rPr>
          <w:sz w:val="20"/>
          <w:szCs w:val="20"/>
          <w:color w:val="auto"/>
        </w:rPr>
      </w:pPr>
    </w:p>
    <w:p>
      <w:pPr>
        <w:ind w:left="640" w:right="100"/>
        <w:spacing w:after="0" w:line="246" w:lineRule="auto"/>
        <w:rPr>
          <w:sz w:val="20"/>
          <w:szCs w:val="20"/>
          <w:color w:val="auto"/>
        </w:rPr>
      </w:pPr>
      <w:r>
        <w:rPr>
          <w:rFonts w:ascii="Arial" w:cs="Arial" w:eastAsia="Arial" w:hAnsi="Arial"/>
          <w:sz w:val="18"/>
          <w:szCs w:val="18"/>
          <w:color w:val="auto"/>
        </w:rPr>
        <w:t>See “—Compensation Discussion and Analysis” above for a discussion of how these amounts were determined under our executive performance incentive plan.</w:t>
      </w:r>
    </w:p>
    <w:p>
      <w:pPr>
        <w:spacing w:after="0" w:line="102" w:lineRule="exact"/>
        <w:rPr>
          <w:sz w:val="20"/>
          <w:szCs w:val="20"/>
          <w:color w:val="auto"/>
        </w:rPr>
      </w:pPr>
    </w:p>
    <w:p>
      <w:pPr>
        <w:ind w:left="640" w:right="240" w:hanging="436"/>
        <w:spacing w:after="0" w:line="239" w:lineRule="auto"/>
        <w:tabs>
          <w:tab w:leader="none" w:pos="6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Represents PRSUs granted under our 2006 Stock Incentive Plan. The relative TSR PRSUs have both a market condition and a service condition, while the financial metric PRSUs have a performance condition and a service condition, and vest, so long as the executive continues to be employed with us, after the applicable three-year performance period. The number of shares of the Company’s common</w:t>
      </w:r>
    </w:p>
    <w:p>
      <w:pPr>
        <w:spacing w:after="0" w:line="132" w:lineRule="exact"/>
        <w:rPr>
          <w:sz w:val="20"/>
          <w:szCs w:val="20"/>
          <w:color w:val="auto"/>
        </w:rPr>
      </w:pPr>
    </w:p>
    <w:p>
      <w:pPr>
        <w:ind w:left="600" w:hanging="396"/>
        <w:spacing w:after="0"/>
        <w:tabs>
          <w:tab w:leader="none" w:pos="600" w:val="left"/>
        </w:tabs>
        <w:numPr>
          <w:ilvl w:val="0"/>
          <w:numId w:val="94"/>
        </w:numPr>
        <w:rPr>
          <w:rFonts w:ascii="Arial" w:cs="Arial" w:eastAsia="Arial" w:hAnsi="Arial"/>
          <w:sz w:val="18"/>
          <w:szCs w:val="18"/>
          <w:color w:val="999999"/>
        </w:rPr>
      </w:pPr>
      <w:r>
        <w:rPr>
          <w:rFonts w:ascii="Arial" w:cs="Arial" w:eastAsia="Arial" w:hAnsi="Arial"/>
          <w:sz w:val="14"/>
          <w:szCs w:val="14"/>
          <w:b w:val="1"/>
          <w:bCs w:val="1"/>
          <w:color w:val="052B82"/>
        </w:rPr>
        <w:t>Analog Devices, Inc.</w:t>
      </w:r>
    </w:p>
    <w:p>
      <w:pPr>
        <w:sectPr>
          <w:pgSz w:w="11900" w:h="16838" w:orient="portrait"/>
          <w:cols w:equalWidth="0" w:num="1">
            <w:col w:w="11240"/>
          </w:cols>
          <w:pgMar w:left="240" w:top="459" w:right="41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205740</wp:posOffset>
            </wp:positionV>
            <wp:extent cx="2649855" cy="1371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40" w:right="100"/>
        <w:spacing w:after="0" w:line="238" w:lineRule="auto"/>
        <w:rPr>
          <w:sz w:val="20"/>
          <w:szCs w:val="20"/>
          <w:color w:val="auto"/>
        </w:rPr>
      </w:pPr>
      <w:r>
        <w:rPr>
          <w:rFonts w:ascii="Arial" w:cs="Arial" w:eastAsia="Arial" w:hAnsi="Arial"/>
          <w:sz w:val="18"/>
          <w:szCs w:val="18"/>
          <w:color w:val="auto"/>
        </w:rPr>
        <w:t>stock to be issued upon vesting of the relative TSR PRSUs will range from 0% to 200% of the target amount, based on the comparison of the Company’s TSR to the median TSR of a specified peer group over a three-year period. The number of shares of the Company’s common stock to be issued upon vesting of the financial metric PRSUs on the third anniversary of the grant date will range from 0% to 200% of the target amount, based on the Company’s attainment of one-year, two-year cumulative and three-year cumulative operating profit dollar targets set by the Compensation Committee.</w:t>
      </w:r>
    </w:p>
    <w:p>
      <w:pPr>
        <w:spacing w:after="0" w:line="108" w:lineRule="exact"/>
        <w:rPr>
          <w:sz w:val="20"/>
          <w:szCs w:val="20"/>
          <w:color w:val="auto"/>
        </w:rPr>
      </w:pPr>
    </w:p>
    <w:p>
      <w:pPr>
        <w:ind w:left="640" w:right="220" w:hanging="436"/>
        <w:spacing w:after="0"/>
        <w:tabs>
          <w:tab w:leader="none" w:pos="6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Represents time-based RSUs granted under our 2006 Stock Incentive Plan. The time-based RSUs vest, so long as the executive continues to be employed with us, in four equal installments on each of the first, second, third and fourth anniversaries of the grant date. Dividends are not payable on unvested RSUs.</w:t>
      </w:r>
    </w:p>
    <w:p>
      <w:pPr>
        <w:spacing w:after="0" w:line="108" w:lineRule="exact"/>
        <w:rPr>
          <w:rFonts w:ascii="Arial" w:cs="Arial" w:eastAsia="Arial" w:hAnsi="Arial"/>
          <w:sz w:val="18"/>
          <w:szCs w:val="18"/>
          <w:color w:val="auto"/>
        </w:rPr>
      </w:pPr>
    </w:p>
    <w:p>
      <w:pPr>
        <w:jc w:val="both"/>
        <w:ind w:left="640" w:right="40" w:hanging="436"/>
        <w:spacing w:after="0"/>
        <w:tabs>
          <w:tab w:leader="none" w:pos="6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Represents stock options granted under our 2006 Stock Incentive Plan. These options become exercisable, so long as the executive continues to be employed with us, in four equal annual installments on each of the first, second, third and fourth anniversaries of the grant date.</w:t>
      </w:r>
    </w:p>
    <w:p>
      <w:pPr>
        <w:spacing w:after="0" w:line="108" w:lineRule="exact"/>
        <w:rPr>
          <w:rFonts w:ascii="Arial" w:cs="Arial" w:eastAsia="Arial" w:hAnsi="Arial"/>
          <w:sz w:val="18"/>
          <w:szCs w:val="18"/>
          <w:color w:val="auto"/>
        </w:rPr>
      </w:pPr>
    </w:p>
    <w:p>
      <w:pPr>
        <w:ind w:left="640" w:hanging="436"/>
        <w:spacing w:after="0"/>
        <w:tabs>
          <w:tab w:leader="none" w:pos="6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exercise price per share is equal to the closing price per share of our common stock on the date of grant.</w:t>
      </w:r>
    </w:p>
    <w:p>
      <w:pPr>
        <w:spacing w:after="0" w:line="117" w:lineRule="exact"/>
        <w:rPr>
          <w:rFonts w:ascii="Arial" w:cs="Arial" w:eastAsia="Arial" w:hAnsi="Arial"/>
          <w:sz w:val="18"/>
          <w:szCs w:val="18"/>
          <w:color w:val="auto"/>
        </w:rPr>
      </w:pPr>
    </w:p>
    <w:p>
      <w:pPr>
        <w:ind w:left="640" w:right="20" w:hanging="436"/>
        <w:spacing w:after="0" w:line="236" w:lineRule="auto"/>
        <w:tabs>
          <w:tab w:leader="none" w:pos="6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This amount does not represent the actual amount paid to or realized by the executives for these awards during the fiscal year. This amount represents the grant date fair value of the PRSUs. The grant date fair value of the relative TSR PRSUs was calculated using the Monte Carlo simulation model which utilizes multiple input variables that determine the probability of satisfying the performance conditions stipulated in the award grant to calculate the fair market value. The Monte Carlo simulation model also uses stock price volatility and other variables to estimate the probability of satisfying the performance conditions, including the possibility that the market condition may not be satisfied, and the resulting fair value of the award. The grant date fair value per share of the relative TSR PRSU awards granted to Messrs. Roche, Mahendra-Rajah, Cotter, Hassett and Pietkiewicz on March 13, 2019 was $114.36. The grant date fair value per share of the relative TSR PRSU awards granted to Mr. Cotter on June 17, 2019 was $116.20. The grant date fair value of financial metric PRSUs represents the value at the grant date based upon the probable outcome of the performance conditions at the date of grant. Mr. Cotter received equity awards on June 17, 2019 to correct an administrative error that occurred in March 2019 where he was not granted the full value of the equity awards that the Compensation Committee had intended to grant. The terms of the June 2019 grants to Mr. Cotter are identical to the terms of the awards granted in March 2019, including the vesting dates, performance conditions and the option exercise price ($108.08), which was higher than the closing price of ADI’s common stock on the June 17, 2019 grant date ($105.10).</w:t>
      </w:r>
    </w:p>
    <w:p>
      <w:pPr>
        <w:spacing w:after="0" w:line="108" w:lineRule="exact"/>
        <w:rPr>
          <w:rFonts w:ascii="Arial" w:cs="Arial" w:eastAsia="Arial" w:hAnsi="Arial"/>
          <w:sz w:val="18"/>
          <w:szCs w:val="18"/>
          <w:color w:val="auto"/>
        </w:rPr>
      </w:pPr>
    </w:p>
    <w:p>
      <w:pPr>
        <w:ind w:left="640" w:right="120" w:hanging="436"/>
        <w:spacing w:after="0" w:line="246" w:lineRule="auto"/>
        <w:tabs>
          <w:tab w:leader="none" w:pos="6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This amount does not represent the actual amount paid to or realized by the executives for these awards during the fiscal year. This amount represents the grant date fair value of the time-based RSUs.</w:t>
      </w:r>
    </w:p>
    <w:p>
      <w:pPr>
        <w:spacing w:after="0" w:line="88" w:lineRule="exact"/>
        <w:rPr>
          <w:rFonts w:ascii="Arial" w:cs="Arial" w:eastAsia="Arial" w:hAnsi="Arial"/>
          <w:sz w:val="18"/>
          <w:szCs w:val="18"/>
          <w:color w:val="auto"/>
        </w:rPr>
      </w:pPr>
    </w:p>
    <w:p>
      <w:pPr>
        <w:ind w:left="640" w:right="40"/>
        <w:spacing w:after="0" w:line="246" w:lineRule="auto"/>
        <w:rPr>
          <w:rFonts w:ascii="Arial" w:cs="Arial" w:eastAsia="Arial" w:hAnsi="Arial"/>
          <w:sz w:val="18"/>
          <w:szCs w:val="18"/>
          <w:color w:val="auto"/>
        </w:rPr>
      </w:pPr>
      <w:r>
        <w:rPr>
          <w:rFonts w:ascii="Arial" w:cs="Arial" w:eastAsia="Arial" w:hAnsi="Arial"/>
          <w:sz w:val="18"/>
          <w:szCs w:val="18"/>
          <w:color w:val="auto"/>
        </w:rPr>
        <w:t>The following table includes the assumptions, rounded to the nearest hundredth, which we used to calculate the grant date fair value amounts: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6300" w:type="dxa"/>
            <w:vAlign w:val="bottom"/>
            <w:shd w:val="clear" w:color="auto" w:fill="052B82"/>
          </w:tcPr>
          <w:p>
            <w:pPr>
              <w:spacing w:after="0"/>
              <w:rPr>
                <w:sz w:val="14"/>
                <w:szCs w:val="14"/>
                <w:color w:val="auto"/>
              </w:rPr>
            </w:pPr>
          </w:p>
        </w:tc>
        <w:tc>
          <w:tcPr>
            <w:tcW w:w="2480" w:type="dxa"/>
            <w:vAlign w:val="bottom"/>
            <w:gridSpan w:val="2"/>
            <w:shd w:val="clear" w:color="auto" w:fill="052B82"/>
          </w:tcPr>
          <w:p>
            <w:pPr>
              <w:jc w:val="right"/>
              <w:ind w:right="439"/>
              <w:spacing w:after="0"/>
              <w:rPr>
                <w:sz w:val="20"/>
                <w:szCs w:val="20"/>
                <w:color w:val="auto"/>
              </w:rPr>
            </w:pPr>
            <w:r>
              <w:rPr>
                <w:rFonts w:ascii="Arial" w:cs="Arial" w:eastAsia="Arial" w:hAnsi="Arial"/>
                <w:sz w:val="14"/>
                <w:szCs w:val="14"/>
                <w:b w:val="1"/>
                <w:bCs w:val="1"/>
                <w:color w:val="FFFFFF"/>
              </w:rPr>
              <w:t>Assumptions</w:t>
            </w:r>
          </w:p>
        </w:tc>
        <w:tc>
          <w:tcPr>
            <w:tcW w:w="1340" w:type="dxa"/>
            <w:vAlign w:val="bottom"/>
            <w:shd w:val="clear" w:color="auto" w:fill="052B82"/>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00" w:type="dxa"/>
            <w:vAlign w:val="bottom"/>
            <w:shd w:val="clear" w:color="auto" w:fill="052B82"/>
          </w:tcPr>
          <w:p>
            <w:pPr>
              <w:spacing w:after="0"/>
              <w:rPr>
                <w:sz w:val="14"/>
                <w:szCs w:val="14"/>
                <w:color w:val="auto"/>
              </w:rPr>
            </w:pPr>
          </w:p>
        </w:tc>
        <w:tc>
          <w:tcPr>
            <w:tcW w:w="1520" w:type="dxa"/>
            <w:vAlign w:val="bottom"/>
            <w:shd w:val="clear" w:color="auto" w:fill="052B82"/>
          </w:tcPr>
          <w:p>
            <w:pPr>
              <w:ind w:left="580"/>
              <w:spacing w:after="0"/>
              <w:rPr>
                <w:sz w:val="20"/>
                <w:szCs w:val="20"/>
                <w:color w:val="auto"/>
              </w:rPr>
            </w:pPr>
            <w:r>
              <w:rPr>
                <w:rFonts w:ascii="Arial" w:cs="Arial" w:eastAsia="Arial" w:hAnsi="Arial"/>
                <w:sz w:val="14"/>
                <w:szCs w:val="14"/>
                <w:b w:val="1"/>
                <w:bCs w:val="1"/>
                <w:color w:val="FFFFFF"/>
              </w:rPr>
              <w:t>Risk-Free</w:t>
            </w:r>
          </w:p>
        </w:tc>
        <w:tc>
          <w:tcPr>
            <w:tcW w:w="960" w:type="dxa"/>
            <w:vAlign w:val="bottom"/>
            <w:shd w:val="clear" w:color="auto" w:fill="052B82"/>
          </w:tcPr>
          <w:p>
            <w:pPr>
              <w:spacing w:after="0"/>
              <w:rPr>
                <w:sz w:val="14"/>
                <w:szCs w:val="14"/>
                <w:color w:val="auto"/>
              </w:rPr>
            </w:pPr>
          </w:p>
        </w:tc>
        <w:tc>
          <w:tcPr>
            <w:tcW w:w="1340" w:type="dxa"/>
            <w:vAlign w:val="bottom"/>
            <w:shd w:val="clear" w:color="auto" w:fill="052B82"/>
          </w:tcPr>
          <w:p>
            <w:pPr>
              <w:jc w:val="center"/>
              <w:ind w:left="120"/>
              <w:spacing w:after="0"/>
              <w:rPr>
                <w:sz w:val="20"/>
                <w:szCs w:val="20"/>
                <w:color w:val="auto"/>
              </w:rPr>
            </w:pPr>
            <w:r>
              <w:rPr>
                <w:rFonts w:ascii="Arial" w:cs="Arial" w:eastAsia="Arial" w:hAnsi="Arial"/>
                <w:sz w:val="14"/>
                <w:szCs w:val="14"/>
                <w:b w:val="1"/>
                <w:bCs w:val="1"/>
                <w:color w:val="FFFFFF"/>
              </w:rPr>
              <w:t>Grant Date</w:t>
            </w:r>
          </w:p>
        </w:tc>
        <w:tc>
          <w:tcPr>
            <w:tcW w:w="0" w:type="dxa"/>
            <w:vAlign w:val="bottom"/>
          </w:tcPr>
          <w:p>
            <w:pPr>
              <w:spacing w:after="0"/>
              <w:rPr>
                <w:sz w:val="1"/>
                <w:szCs w:val="1"/>
                <w:color w:val="auto"/>
              </w:rPr>
            </w:pPr>
          </w:p>
        </w:tc>
      </w:tr>
      <w:tr>
        <w:trPr>
          <w:trHeight w:val="162"/>
        </w:trPr>
        <w:tc>
          <w:tcPr>
            <w:tcW w:w="6300" w:type="dxa"/>
            <w:vAlign w:val="bottom"/>
            <w:shd w:val="clear" w:color="auto" w:fill="052B82"/>
          </w:tcPr>
          <w:p>
            <w:pPr>
              <w:spacing w:after="0"/>
              <w:rPr>
                <w:sz w:val="14"/>
                <w:szCs w:val="14"/>
                <w:color w:val="auto"/>
              </w:rPr>
            </w:pPr>
          </w:p>
        </w:tc>
        <w:tc>
          <w:tcPr>
            <w:tcW w:w="1520" w:type="dxa"/>
            <w:vAlign w:val="bottom"/>
            <w:shd w:val="clear" w:color="auto" w:fill="052B82"/>
          </w:tcPr>
          <w:p>
            <w:pPr>
              <w:jc w:val="center"/>
              <w:ind w:left="201"/>
              <w:spacing w:after="0"/>
              <w:rPr>
                <w:sz w:val="20"/>
                <w:szCs w:val="20"/>
                <w:color w:val="auto"/>
              </w:rPr>
            </w:pPr>
            <w:r>
              <w:rPr>
                <w:rFonts w:ascii="Arial" w:cs="Arial" w:eastAsia="Arial" w:hAnsi="Arial"/>
                <w:sz w:val="14"/>
                <w:szCs w:val="14"/>
                <w:b w:val="1"/>
                <w:bCs w:val="1"/>
                <w:color w:val="FFFFFF"/>
              </w:rPr>
              <w:t>Interest</w:t>
            </w:r>
          </w:p>
        </w:tc>
        <w:tc>
          <w:tcPr>
            <w:tcW w:w="960" w:type="dxa"/>
            <w:vAlign w:val="bottom"/>
            <w:shd w:val="clear" w:color="auto" w:fill="052B82"/>
          </w:tcPr>
          <w:p>
            <w:pPr>
              <w:jc w:val="right"/>
              <w:spacing w:after="0"/>
              <w:rPr>
                <w:sz w:val="20"/>
                <w:szCs w:val="20"/>
                <w:color w:val="auto"/>
              </w:rPr>
            </w:pPr>
            <w:r>
              <w:rPr>
                <w:rFonts w:ascii="Arial" w:cs="Arial" w:eastAsia="Arial" w:hAnsi="Arial"/>
                <w:sz w:val="14"/>
                <w:szCs w:val="14"/>
                <w:b w:val="1"/>
                <w:bCs w:val="1"/>
                <w:color w:val="FFFFFF"/>
              </w:rPr>
              <w:t>Dividend</w:t>
            </w:r>
          </w:p>
        </w:tc>
        <w:tc>
          <w:tcPr>
            <w:tcW w:w="1340" w:type="dxa"/>
            <w:vAlign w:val="bottom"/>
            <w:shd w:val="clear" w:color="auto" w:fill="052B82"/>
          </w:tcPr>
          <w:p>
            <w:pPr>
              <w:jc w:val="center"/>
              <w:ind w:left="100"/>
              <w:spacing w:after="0"/>
              <w:rPr>
                <w:sz w:val="20"/>
                <w:szCs w:val="20"/>
                <w:color w:val="auto"/>
              </w:rPr>
            </w:pPr>
            <w:r>
              <w:rPr>
                <w:rFonts w:ascii="Arial" w:cs="Arial" w:eastAsia="Arial" w:hAnsi="Arial"/>
                <w:sz w:val="14"/>
                <w:szCs w:val="14"/>
                <w:b w:val="1"/>
                <w:bCs w:val="1"/>
                <w:color w:val="FFFFFF"/>
              </w:rPr>
              <w:t>Fair Value</w:t>
            </w:r>
          </w:p>
        </w:tc>
        <w:tc>
          <w:tcPr>
            <w:tcW w:w="0" w:type="dxa"/>
            <w:vAlign w:val="bottom"/>
          </w:tcPr>
          <w:p>
            <w:pPr>
              <w:spacing w:after="0"/>
              <w:rPr>
                <w:sz w:val="1"/>
                <w:szCs w:val="1"/>
                <w:color w:val="auto"/>
              </w:rPr>
            </w:pPr>
          </w:p>
        </w:tc>
      </w:tr>
      <w:tr>
        <w:trPr>
          <w:trHeight w:val="162"/>
        </w:trPr>
        <w:tc>
          <w:tcPr>
            <w:tcW w:w="6300" w:type="dxa"/>
            <w:vAlign w:val="bottom"/>
            <w:vMerge w:val="restart"/>
            <w:shd w:val="clear" w:color="auto" w:fill="052B82"/>
          </w:tcPr>
          <w:p>
            <w:pPr>
              <w:ind w:left="20"/>
              <w:spacing w:after="0"/>
              <w:rPr>
                <w:sz w:val="20"/>
                <w:szCs w:val="20"/>
                <w:color w:val="auto"/>
              </w:rPr>
            </w:pPr>
            <w:r>
              <w:rPr>
                <w:rFonts w:ascii="Arial" w:cs="Arial" w:eastAsia="Arial" w:hAnsi="Arial"/>
                <w:sz w:val="14"/>
                <w:szCs w:val="14"/>
                <w:b w:val="1"/>
                <w:bCs w:val="1"/>
                <w:color w:val="FFFFFF"/>
              </w:rPr>
              <w:t>Grant Date</w:t>
            </w:r>
          </w:p>
        </w:tc>
        <w:tc>
          <w:tcPr>
            <w:tcW w:w="1520" w:type="dxa"/>
            <w:vAlign w:val="bottom"/>
            <w:shd w:val="clear" w:color="auto" w:fill="052B82"/>
          </w:tcPr>
          <w:p>
            <w:pPr>
              <w:jc w:val="center"/>
              <w:ind w:left="221"/>
              <w:spacing w:after="0"/>
              <w:rPr>
                <w:sz w:val="20"/>
                <w:szCs w:val="20"/>
                <w:color w:val="auto"/>
              </w:rPr>
            </w:pPr>
            <w:r>
              <w:rPr>
                <w:rFonts w:ascii="Arial" w:cs="Arial" w:eastAsia="Arial" w:hAnsi="Arial"/>
                <w:sz w:val="14"/>
                <w:szCs w:val="14"/>
                <w:b w:val="1"/>
                <w:bCs w:val="1"/>
                <w:color w:val="FFFFFF"/>
                <w:w w:val="98"/>
              </w:rPr>
              <w:t>Rate</w:t>
            </w:r>
          </w:p>
        </w:tc>
        <w:tc>
          <w:tcPr>
            <w:tcW w:w="960" w:type="dxa"/>
            <w:vAlign w:val="bottom"/>
            <w:shd w:val="clear" w:color="auto" w:fill="052B82"/>
          </w:tcPr>
          <w:p>
            <w:pPr>
              <w:jc w:val="right"/>
              <w:ind w:right="99"/>
              <w:spacing w:after="0"/>
              <w:rPr>
                <w:sz w:val="20"/>
                <w:szCs w:val="20"/>
                <w:color w:val="auto"/>
              </w:rPr>
            </w:pPr>
            <w:r>
              <w:rPr>
                <w:rFonts w:ascii="Arial" w:cs="Arial" w:eastAsia="Arial" w:hAnsi="Arial"/>
                <w:sz w:val="14"/>
                <w:szCs w:val="14"/>
                <w:b w:val="1"/>
                <w:bCs w:val="1"/>
                <w:color w:val="FFFFFF"/>
              </w:rPr>
              <w:t>Yield</w:t>
            </w:r>
          </w:p>
        </w:tc>
        <w:tc>
          <w:tcPr>
            <w:tcW w:w="1340" w:type="dxa"/>
            <w:vAlign w:val="bottom"/>
            <w:shd w:val="clear" w:color="auto" w:fill="052B82"/>
          </w:tcPr>
          <w:p>
            <w:pPr>
              <w:jc w:val="center"/>
              <w:ind w:left="100"/>
              <w:spacing w:after="0"/>
              <w:rPr>
                <w:sz w:val="20"/>
                <w:szCs w:val="20"/>
                <w:color w:val="auto"/>
              </w:rPr>
            </w:pPr>
            <w:r>
              <w:rPr>
                <w:rFonts w:ascii="Arial" w:cs="Arial" w:eastAsia="Arial" w:hAnsi="Arial"/>
                <w:sz w:val="14"/>
                <w:szCs w:val="14"/>
                <w:b w:val="1"/>
                <w:bCs w:val="1"/>
                <w:color w:val="FFFFFF"/>
              </w:rPr>
              <w:t>Per Share</w:t>
            </w:r>
          </w:p>
        </w:tc>
        <w:tc>
          <w:tcPr>
            <w:tcW w:w="0" w:type="dxa"/>
            <w:vAlign w:val="bottom"/>
          </w:tcPr>
          <w:p>
            <w:pPr>
              <w:spacing w:after="0"/>
              <w:rPr>
                <w:sz w:val="1"/>
                <w:szCs w:val="1"/>
                <w:color w:val="auto"/>
              </w:rPr>
            </w:pPr>
          </w:p>
        </w:tc>
      </w:tr>
      <w:tr>
        <w:trPr>
          <w:trHeight w:val="189"/>
        </w:trPr>
        <w:tc>
          <w:tcPr>
            <w:tcW w:w="6300" w:type="dxa"/>
            <w:vAlign w:val="bottom"/>
            <w:vMerge w:val="continue"/>
            <w:shd w:val="clear" w:color="auto" w:fill="052B82"/>
          </w:tcPr>
          <w:p>
            <w:pPr>
              <w:spacing w:after="0"/>
              <w:rPr>
                <w:sz w:val="16"/>
                <w:szCs w:val="16"/>
                <w:color w:val="auto"/>
              </w:rPr>
            </w:pPr>
          </w:p>
        </w:tc>
        <w:tc>
          <w:tcPr>
            <w:tcW w:w="1520" w:type="dxa"/>
            <w:vAlign w:val="bottom"/>
            <w:shd w:val="clear" w:color="auto" w:fill="052B82"/>
          </w:tcPr>
          <w:p>
            <w:pPr>
              <w:jc w:val="center"/>
              <w:ind w:left="221"/>
              <w:spacing w:after="0"/>
              <w:rPr>
                <w:sz w:val="20"/>
                <w:szCs w:val="20"/>
                <w:color w:val="auto"/>
              </w:rPr>
            </w:pPr>
            <w:r>
              <w:rPr>
                <w:rFonts w:ascii="Arial" w:cs="Arial" w:eastAsia="Arial" w:hAnsi="Arial"/>
                <w:sz w:val="14"/>
                <w:szCs w:val="14"/>
                <w:b w:val="1"/>
                <w:bCs w:val="1"/>
                <w:color w:val="FFFFFF"/>
              </w:rPr>
              <w:t>(%)</w:t>
            </w:r>
          </w:p>
        </w:tc>
        <w:tc>
          <w:tcPr>
            <w:tcW w:w="960" w:type="dxa"/>
            <w:vAlign w:val="bottom"/>
            <w:shd w:val="clear" w:color="auto" w:fill="052B82"/>
          </w:tcPr>
          <w:p>
            <w:pPr>
              <w:jc w:val="right"/>
              <w:ind w:right="159"/>
              <w:spacing w:after="0"/>
              <w:rPr>
                <w:sz w:val="20"/>
                <w:szCs w:val="20"/>
                <w:color w:val="auto"/>
              </w:rPr>
            </w:pPr>
            <w:r>
              <w:rPr>
                <w:rFonts w:ascii="Arial" w:cs="Arial" w:eastAsia="Arial" w:hAnsi="Arial"/>
                <w:sz w:val="14"/>
                <w:szCs w:val="14"/>
                <w:b w:val="1"/>
                <w:bCs w:val="1"/>
                <w:color w:val="FFFFFF"/>
              </w:rPr>
              <w:t>(%)</w:t>
            </w:r>
          </w:p>
        </w:tc>
        <w:tc>
          <w:tcPr>
            <w:tcW w:w="1340" w:type="dxa"/>
            <w:vAlign w:val="bottom"/>
            <w:shd w:val="clear" w:color="auto" w:fill="052B82"/>
          </w:tcPr>
          <w:p>
            <w:pPr>
              <w:jc w:val="center"/>
              <w:ind w:left="120"/>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03"/>
        </w:trPr>
        <w:tc>
          <w:tcPr>
            <w:tcW w:w="6300" w:type="dxa"/>
            <w:vAlign w:val="bottom"/>
          </w:tcPr>
          <w:p>
            <w:pPr>
              <w:ind w:left="40"/>
              <w:spacing w:after="0" w:line="202" w:lineRule="exact"/>
              <w:rPr>
                <w:sz w:val="20"/>
                <w:szCs w:val="20"/>
                <w:color w:val="auto"/>
              </w:rPr>
            </w:pPr>
            <w:r>
              <w:rPr>
                <w:rFonts w:ascii="Arial" w:cs="Arial" w:eastAsia="Arial" w:hAnsi="Arial"/>
                <w:sz w:val="18"/>
                <w:szCs w:val="18"/>
                <w:color w:val="auto"/>
              </w:rPr>
              <w:t>3/13/2019</w:t>
            </w:r>
          </w:p>
        </w:tc>
        <w:tc>
          <w:tcPr>
            <w:tcW w:w="1520" w:type="dxa"/>
            <w:vAlign w:val="bottom"/>
          </w:tcPr>
          <w:p>
            <w:pPr>
              <w:ind w:left="580"/>
              <w:spacing w:after="0" w:line="202" w:lineRule="exact"/>
              <w:rPr>
                <w:sz w:val="20"/>
                <w:szCs w:val="20"/>
                <w:color w:val="auto"/>
              </w:rPr>
            </w:pPr>
            <w:r>
              <w:rPr>
                <w:rFonts w:ascii="Arial" w:cs="Arial" w:eastAsia="Arial" w:hAnsi="Arial"/>
                <w:sz w:val="18"/>
                <w:szCs w:val="18"/>
                <w:color w:val="auto"/>
              </w:rPr>
              <w:t>2.42</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2.00</w:t>
            </w:r>
          </w:p>
        </w:tc>
        <w:tc>
          <w:tcPr>
            <w:tcW w:w="1340" w:type="dxa"/>
            <w:vAlign w:val="bottom"/>
          </w:tcPr>
          <w:p>
            <w:pPr>
              <w:jc w:val="right"/>
              <w:ind w:right="120"/>
              <w:spacing w:after="0" w:line="202" w:lineRule="exact"/>
              <w:rPr>
                <w:sz w:val="20"/>
                <w:szCs w:val="20"/>
                <w:color w:val="auto"/>
              </w:rPr>
            </w:pPr>
            <w:r>
              <w:rPr>
                <w:rFonts w:ascii="Arial" w:cs="Arial" w:eastAsia="Arial" w:hAnsi="Arial"/>
                <w:sz w:val="18"/>
                <w:szCs w:val="18"/>
                <w:color w:val="auto"/>
              </w:rPr>
              <w:t>102.89</w:t>
            </w:r>
          </w:p>
        </w:tc>
        <w:tc>
          <w:tcPr>
            <w:tcW w:w="0" w:type="dxa"/>
            <w:vAlign w:val="bottom"/>
          </w:tcPr>
          <w:p>
            <w:pPr>
              <w:spacing w:after="0"/>
              <w:rPr>
                <w:sz w:val="1"/>
                <w:szCs w:val="1"/>
                <w:color w:val="auto"/>
              </w:rPr>
            </w:pPr>
          </w:p>
        </w:tc>
      </w:tr>
      <w:tr>
        <w:trPr>
          <w:trHeight w:val="203"/>
        </w:trPr>
        <w:tc>
          <w:tcPr>
            <w:tcW w:w="6300" w:type="dxa"/>
            <w:vAlign w:val="bottom"/>
            <w:shd w:val="clear" w:color="auto" w:fill="E8EDF4"/>
          </w:tcPr>
          <w:p>
            <w:pPr>
              <w:ind w:left="40"/>
              <w:spacing w:after="0" w:line="202" w:lineRule="exact"/>
              <w:rPr>
                <w:sz w:val="20"/>
                <w:szCs w:val="20"/>
                <w:color w:val="auto"/>
              </w:rPr>
            </w:pPr>
            <w:r>
              <w:rPr>
                <w:rFonts w:ascii="Arial" w:cs="Arial" w:eastAsia="Arial" w:hAnsi="Arial"/>
                <w:sz w:val="18"/>
                <w:szCs w:val="18"/>
                <w:color w:val="auto"/>
              </w:rPr>
              <w:t>6/17/2019</w:t>
            </w:r>
          </w:p>
        </w:tc>
        <w:tc>
          <w:tcPr>
            <w:tcW w:w="1520" w:type="dxa"/>
            <w:vAlign w:val="bottom"/>
            <w:shd w:val="clear" w:color="auto" w:fill="E8EDF4"/>
          </w:tcPr>
          <w:p>
            <w:pPr>
              <w:ind w:left="580"/>
              <w:spacing w:after="0" w:line="202" w:lineRule="exact"/>
              <w:rPr>
                <w:sz w:val="20"/>
                <w:szCs w:val="20"/>
                <w:color w:val="auto"/>
              </w:rPr>
            </w:pPr>
            <w:r>
              <w:rPr>
                <w:rFonts w:ascii="Arial" w:cs="Arial" w:eastAsia="Arial" w:hAnsi="Arial"/>
                <w:sz w:val="18"/>
                <w:szCs w:val="18"/>
                <w:color w:val="auto"/>
              </w:rPr>
              <w:t>1.83</w:t>
            </w:r>
          </w:p>
        </w:tc>
        <w:tc>
          <w:tcPr>
            <w:tcW w:w="960" w:type="dxa"/>
            <w:vAlign w:val="bottom"/>
            <w:shd w:val="clear" w:color="auto" w:fill="E8EDF4"/>
          </w:tcPr>
          <w:p>
            <w:pPr>
              <w:jc w:val="right"/>
              <w:spacing w:after="0" w:line="202" w:lineRule="exact"/>
              <w:rPr>
                <w:sz w:val="20"/>
                <w:szCs w:val="20"/>
                <w:color w:val="auto"/>
              </w:rPr>
            </w:pPr>
            <w:r>
              <w:rPr>
                <w:rFonts w:ascii="Arial" w:cs="Arial" w:eastAsia="Arial" w:hAnsi="Arial"/>
                <w:sz w:val="18"/>
                <w:szCs w:val="18"/>
                <w:color w:val="auto"/>
              </w:rPr>
              <w:t>2.06</w:t>
            </w:r>
          </w:p>
        </w:tc>
        <w:tc>
          <w:tcPr>
            <w:tcW w:w="1340" w:type="dxa"/>
            <w:vAlign w:val="bottom"/>
            <w:shd w:val="clear" w:color="auto" w:fill="E8EDF4"/>
          </w:tcPr>
          <w:p>
            <w:pPr>
              <w:jc w:val="right"/>
              <w:ind w:right="120"/>
              <w:spacing w:after="0" w:line="202" w:lineRule="exact"/>
              <w:rPr>
                <w:sz w:val="20"/>
                <w:szCs w:val="20"/>
                <w:color w:val="auto"/>
              </w:rPr>
            </w:pPr>
            <w:r>
              <w:rPr>
                <w:rFonts w:ascii="Arial" w:cs="Arial" w:eastAsia="Arial" w:hAnsi="Arial"/>
                <w:sz w:val="18"/>
                <w:szCs w:val="18"/>
                <w:color w:val="auto"/>
              </w:rPr>
              <w:t>99.85</w:t>
            </w:r>
          </w:p>
        </w:tc>
        <w:tc>
          <w:tcPr>
            <w:tcW w:w="0" w:type="dxa"/>
            <w:vAlign w:val="bottom"/>
          </w:tcPr>
          <w:p>
            <w:pPr>
              <w:spacing w:after="0"/>
              <w:rPr>
                <w:sz w:val="1"/>
                <w:szCs w:val="1"/>
                <w:color w:val="auto"/>
              </w:rPr>
            </w:pPr>
          </w:p>
        </w:tc>
      </w:tr>
      <w:tr>
        <w:trPr>
          <w:trHeight w:val="217"/>
        </w:trPr>
        <w:tc>
          <w:tcPr>
            <w:tcW w:w="6300" w:type="dxa"/>
            <w:vAlign w:val="bottom"/>
          </w:tcPr>
          <w:p>
            <w:pPr>
              <w:ind w:left="40"/>
              <w:spacing w:after="0"/>
              <w:rPr>
                <w:sz w:val="20"/>
                <w:szCs w:val="20"/>
                <w:color w:val="auto"/>
              </w:rPr>
            </w:pPr>
            <w:r>
              <w:rPr>
                <w:rFonts w:ascii="Arial" w:cs="Arial" w:eastAsia="Arial" w:hAnsi="Arial"/>
                <w:sz w:val="18"/>
                <w:szCs w:val="18"/>
                <w:color w:val="auto"/>
              </w:rPr>
              <w:t>6/17/2019</w:t>
            </w:r>
          </w:p>
        </w:tc>
        <w:tc>
          <w:tcPr>
            <w:tcW w:w="1520" w:type="dxa"/>
            <w:vAlign w:val="bottom"/>
          </w:tcPr>
          <w:p>
            <w:pPr>
              <w:ind w:left="580"/>
              <w:spacing w:after="0"/>
              <w:rPr>
                <w:sz w:val="20"/>
                <w:szCs w:val="20"/>
                <w:color w:val="auto"/>
              </w:rPr>
            </w:pPr>
            <w:r>
              <w:rPr>
                <w:rFonts w:ascii="Arial" w:cs="Arial" w:eastAsia="Arial" w:hAnsi="Arial"/>
                <w:sz w:val="18"/>
                <w:szCs w:val="18"/>
                <w:color w:val="auto"/>
              </w:rPr>
              <w:t>1.83</w:t>
            </w:r>
          </w:p>
        </w:tc>
        <w:tc>
          <w:tcPr>
            <w:tcW w:w="960" w:type="dxa"/>
            <w:vAlign w:val="bottom"/>
          </w:tcPr>
          <w:p>
            <w:pPr>
              <w:jc w:val="right"/>
              <w:spacing w:after="0"/>
              <w:rPr>
                <w:sz w:val="20"/>
                <w:szCs w:val="20"/>
                <w:color w:val="auto"/>
              </w:rPr>
            </w:pPr>
            <w:r>
              <w:rPr>
                <w:rFonts w:ascii="Arial" w:cs="Arial" w:eastAsia="Arial" w:hAnsi="Arial"/>
                <w:sz w:val="18"/>
                <w:szCs w:val="18"/>
                <w:color w:val="auto"/>
              </w:rPr>
              <w:t>2.06</w:t>
            </w:r>
          </w:p>
        </w:tc>
        <w:tc>
          <w:tcPr>
            <w:tcW w:w="1340" w:type="dxa"/>
            <w:vAlign w:val="bottom"/>
          </w:tcPr>
          <w:p>
            <w:pPr>
              <w:jc w:val="right"/>
              <w:ind w:right="120"/>
              <w:spacing w:after="0"/>
              <w:rPr>
                <w:sz w:val="20"/>
                <w:szCs w:val="20"/>
                <w:color w:val="auto"/>
              </w:rPr>
            </w:pPr>
            <w:r>
              <w:rPr>
                <w:rFonts w:ascii="Arial" w:cs="Arial" w:eastAsia="Arial" w:hAnsi="Arial"/>
                <w:sz w:val="18"/>
                <w:szCs w:val="18"/>
                <w:color w:val="auto"/>
              </w:rPr>
              <w:t>100.39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-822960</wp:posOffset>
            </wp:positionV>
            <wp:extent cx="117475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181" w:lineRule="exact"/>
        <w:rPr>
          <w:sz w:val="20"/>
          <w:szCs w:val="20"/>
          <w:color w:val="auto"/>
        </w:rPr>
      </w:pPr>
    </w:p>
    <w:p>
      <w:pPr>
        <w:jc w:val="both"/>
        <w:ind w:left="640" w:right="420"/>
        <w:spacing w:after="0" w:line="246" w:lineRule="auto"/>
        <w:rPr>
          <w:sz w:val="20"/>
          <w:szCs w:val="20"/>
          <w:color w:val="auto"/>
        </w:rPr>
      </w:pPr>
      <w:r>
        <w:rPr>
          <w:rFonts w:ascii="Arial" w:cs="Arial" w:eastAsia="Arial" w:hAnsi="Arial"/>
          <w:sz w:val="18"/>
          <w:szCs w:val="18"/>
          <w:color w:val="auto"/>
        </w:rPr>
        <w:t>The grant date fair value of the time-based RSUs is the value of our common stock on the date of grant, reduced by the present value of dividends expected to be paid on our common stock prior to vesting.</w:t>
      </w:r>
    </w:p>
    <w:p>
      <w:pPr>
        <w:spacing w:after="0" w:line="224" w:lineRule="exact"/>
        <w:rPr>
          <w:sz w:val="20"/>
          <w:szCs w:val="20"/>
          <w:color w:val="auto"/>
        </w:rPr>
      </w:pPr>
    </w:p>
    <w:p>
      <w:pPr>
        <w:ind w:left="640" w:right="140" w:hanging="436"/>
        <w:spacing w:after="0"/>
        <w:tabs>
          <w:tab w:leader="none" w:pos="6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This amount does not represent the actual amount paid to or realized by the executives for these awards during the fiscal year. The grant date fair value of stock options granted were computed using a Black-Scholes valuation methodology. We estimated the full grant date fair value of these stock options using the following assumptions:</w:t>
      </w:r>
    </w:p>
    <w:p>
      <w:pPr>
        <w:spacing w:after="0" w:line="231" w:lineRule="exact"/>
        <w:rPr>
          <w:sz w:val="20"/>
          <w:szCs w:val="20"/>
          <w:color w:val="auto"/>
        </w:rPr>
      </w:pPr>
    </w:p>
    <w:tbl>
      <w:tblPr>
        <w:tblLayout w:type="fixed"/>
        <w:tblInd w:w="660" w:type="dxa"/>
        <w:tblCellMar>
          <w:top w:w="0" w:type="dxa"/>
          <w:left w:w="0" w:type="dxa"/>
          <w:bottom w:w="0" w:type="dxa"/>
          <w:right w:w="0" w:type="dxa"/>
        </w:tblCellMar>
      </w:tblPr>
      <w:tr>
        <w:trPr>
          <w:trHeight w:val="210"/>
        </w:trPr>
        <w:tc>
          <w:tcPr>
            <w:tcW w:w="4800" w:type="dxa"/>
            <w:vAlign w:val="bottom"/>
            <w:shd w:val="clear" w:color="auto" w:fill="052B82"/>
          </w:tcPr>
          <w:p>
            <w:pPr>
              <w:spacing w:after="0"/>
              <w:rPr>
                <w:sz w:val="18"/>
                <w:szCs w:val="18"/>
                <w:color w:val="auto"/>
              </w:rPr>
            </w:pPr>
          </w:p>
        </w:tc>
        <w:tc>
          <w:tcPr>
            <w:tcW w:w="1200" w:type="dxa"/>
            <w:vAlign w:val="bottom"/>
            <w:shd w:val="clear" w:color="auto" w:fill="052B82"/>
          </w:tcPr>
          <w:p>
            <w:pPr>
              <w:spacing w:after="0"/>
              <w:rPr>
                <w:sz w:val="18"/>
                <w:szCs w:val="18"/>
                <w:color w:val="auto"/>
              </w:rPr>
            </w:pPr>
          </w:p>
        </w:tc>
        <w:tc>
          <w:tcPr>
            <w:tcW w:w="2100" w:type="dxa"/>
            <w:vAlign w:val="bottom"/>
            <w:gridSpan w:val="2"/>
            <w:shd w:val="clear" w:color="auto" w:fill="052B82"/>
          </w:tcPr>
          <w:p>
            <w:pPr>
              <w:jc w:val="right"/>
              <w:ind w:right="521"/>
              <w:spacing w:after="0"/>
              <w:rPr>
                <w:sz w:val="20"/>
                <w:szCs w:val="20"/>
                <w:color w:val="auto"/>
              </w:rPr>
            </w:pPr>
            <w:r>
              <w:rPr>
                <w:rFonts w:ascii="Arial" w:cs="Arial" w:eastAsia="Arial" w:hAnsi="Arial"/>
                <w:sz w:val="14"/>
                <w:szCs w:val="14"/>
                <w:b w:val="1"/>
                <w:bCs w:val="1"/>
                <w:color w:val="FFFFFF"/>
              </w:rPr>
              <w:t>Assumptions</w:t>
            </w:r>
          </w:p>
        </w:tc>
        <w:tc>
          <w:tcPr>
            <w:tcW w:w="920" w:type="dxa"/>
            <w:vAlign w:val="bottom"/>
            <w:shd w:val="clear" w:color="auto" w:fill="052B82"/>
          </w:tcPr>
          <w:p>
            <w:pPr>
              <w:spacing w:after="0"/>
              <w:rPr>
                <w:sz w:val="18"/>
                <w:szCs w:val="18"/>
                <w:color w:val="auto"/>
              </w:rPr>
            </w:pPr>
          </w:p>
        </w:tc>
        <w:tc>
          <w:tcPr>
            <w:tcW w:w="1100" w:type="dxa"/>
            <w:vAlign w:val="bottom"/>
            <w:shd w:val="clear" w:color="auto" w:fill="052B82"/>
          </w:tcPr>
          <w:p>
            <w:pPr>
              <w:spacing w:after="0"/>
              <w:rPr>
                <w:sz w:val="18"/>
                <w:szCs w:val="18"/>
                <w:color w:val="auto"/>
              </w:rPr>
            </w:pPr>
          </w:p>
        </w:tc>
      </w:tr>
      <w:tr>
        <w:trPr>
          <w:trHeight w:val="168"/>
        </w:trPr>
        <w:tc>
          <w:tcPr>
            <w:tcW w:w="4800" w:type="dxa"/>
            <w:vAlign w:val="bottom"/>
            <w:shd w:val="clear" w:color="auto" w:fill="052B82"/>
          </w:tcPr>
          <w:p>
            <w:pPr>
              <w:spacing w:after="0"/>
              <w:rPr>
                <w:sz w:val="14"/>
                <w:szCs w:val="14"/>
                <w:color w:val="auto"/>
              </w:rPr>
            </w:pPr>
          </w:p>
        </w:tc>
        <w:tc>
          <w:tcPr>
            <w:tcW w:w="1200" w:type="dxa"/>
            <w:vAlign w:val="bottom"/>
            <w:shd w:val="clear" w:color="auto" w:fill="052B82"/>
          </w:tcPr>
          <w:p>
            <w:pPr>
              <w:jc w:val="center"/>
              <w:ind w:left="62"/>
              <w:spacing w:after="0"/>
              <w:rPr>
                <w:sz w:val="20"/>
                <w:szCs w:val="20"/>
                <w:color w:val="auto"/>
              </w:rPr>
            </w:pPr>
            <w:r>
              <w:rPr>
                <w:rFonts w:ascii="Arial" w:cs="Arial" w:eastAsia="Arial" w:hAnsi="Arial"/>
                <w:sz w:val="14"/>
                <w:szCs w:val="14"/>
                <w:b w:val="1"/>
                <w:bCs w:val="1"/>
                <w:color w:val="FFFFFF"/>
              </w:rPr>
              <w:t>Risk-Free</w:t>
            </w:r>
          </w:p>
        </w:tc>
        <w:tc>
          <w:tcPr>
            <w:tcW w:w="1040" w:type="dxa"/>
            <w:vAlign w:val="bottom"/>
            <w:shd w:val="clear" w:color="auto" w:fill="052B82"/>
          </w:tcPr>
          <w:p>
            <w:pPr>
              <w:spacing w:after="0"/>
              <w:rPr>
                <w:sz w:val="14"/>
                <w:szCs w:val="14"/>
                <w:color w:val="auto"/>
              </w:rPr>
            </w:pPr>
          </w:p>
        </w:tc>
        <w:tc>
          <w:tcPr>
            <w:tcW w:w="1060" w:type="dxa"/>
            <w:vAlign w:val="bottom"/>
            <w:shd w:val="clear" w:color="auto" w:fill="052B82"/>
          </w:tcPr>
          <w:p>
            <w:pPr>
              <w:spacing w:after="0"/>
              <w:rPr>
                <w:sz w:val="14"/>
                <w:szCs w:val="14"/>
                <w:color w:val="auto"/>
              </w:rPr>
            </w:pPr>
          </w:p>
        </w:tc>
        <w:tc>
          <w:tcPr>
            <w:tcW w:w="920" w:type="dxa"/>
            <w:vAlign w:val="bottom"/>
            <w:shd w:val="clear" w:color="auto" w:fill="052B82"/>
          </w:tcPr>
          <w:p>
            <w:pPr>
              <w:spacing w:after="0"/>
              <w:rPr>
                <w:sz w:val="14"/>
                <w:szCs w:val="14"/>
                <w:color w:val="auto"/>
              </w:rPr>
            </w:pPr>
          </w:p>
        </w:tc>
        <w:tc>
          <w:tcPr>
            <w:tcW w:w="1100" w:type="dxa"/>
            <w:vAlign w:val="bottom"/>
            <w:shd w:val="clear" w:color="auto" w:fill="052B82"/>
          </w:tcPr>
          <w:p>
            <w:pPr>
              <w:jc w:val="center"/>
              <w:ind w:left="82"/>
              <w:spacing w:after="0"/>
              <w:rPr>
                <w:sz w:val="20"/>
                <w:szCs w:val="20"/>
                <w:color w:val="auto"/>
              </w:rPr>
            </w:pPr>
            <w:r>
              <w:rPr>
                <w:rFonts w:ascii="Arial" w:cs="Arial" w:eastAsia="Arial" w:hAnsi="Arial"/>
                <w:sz w:val="14"/>
                <w:szCs w:val="14"/>
                <w:b w:val="1"/>
                <w:bCs w:val="1"/>
                <w:color w:val="FFFFFF"/>
              </w:rPr>
              <w:t>Grant Date</w:t>
            </w:r>
          </w:p>
        </w:tc>
      </w:tr>
      <w:tr>
        <w:trPr>
          <w:trHeight w:val="162"/>
        </w:trPr>
        <w:tc>
          <w:tcPr>
            <w:tcW w:w="4800" w:type="dxa"/>
            <w:vAlign w:val="bottom"/>
            <w:shd w:val="clear" w:color="auto" w:fill="052B82"/>
          </w:tcPr>
          <w:p>
            <w:pPr>
              <w:spacing w:after="0"/>
              <w:rPr>
                <w:sz w:val="14"/>
                <w:szCs w:val="14"/>
                <w:color w:val="auto"/>
              </w:rPr>
            </w:pPr>
          </w:p>
        </w:tc>
        <w:tc>
          <w:tcPr>
            <w:tcW w:w="1200" w:type="dxa"/>
            <w:vAlign w:val="bottom"/>
            <w:shd w:val="clear" w:color="auto" w:fill="052B82"/>
          </w:tcPr>
          <w:p>
            <w:pPr>
              <w:jc w:val="center"/>
              <w:ind w:left="42"/>
              <w:spacing w:after="0"/>
              <w:rPr>
                <w:sz w:val="20"/>
                <w:szCs w:val="20"/>
                <w:color w:val="auto"/>
              </w:rPr>
            </w:pPr>
            <w:r>
              <w:rPr>
                <w:rFonts w:ascii="Arial" w:cs="Arial" w:eastAsia="Arial" w:hAnsi="Arial"/>
                <w:sz w:val="14"/>
                <w:szCs w:val="14"/>
                <w:b w:val="1"/>
                <w:bCs w:val="1"/>
                <w:color w:val="FFFFFF"/>
              </w:rPr>
              <w:t>Interest</w:t>
            </w:r>
          </w:p>
        </w:tc>
        <w:tc>
          <w:tcPr>
            <w:tcW w:w="1040" w:type="dxa"/>
            <w:vAlign w:val="bottom"/>
            <w:shd w:val="clear" w:color="auto" w:fill="052B82"/>
          </w:tcPr>
          <w:p>
            <w:pPr>
              <w:jc w:val="right"/>
              <w:ind w:right="142"/>
              <w:spacing w:after="0"/>
              <w:rPr>
                <w:sz w:val="20"/>
                <w:szCs w:val="20"/>
                <w:color w:val="auto"/>
              </w:rPr>
            </w:pPr>
            <w:r>
              <w:rPr>
                <w:rFonts w:ascii="Arial" w:cs="Arial" w:eastAsia="Arial" w:hAnsi="Arial"/>
                <w:sz w:val="14"/>
                <w:szCs w:val="14"/>
                <w:b w:val="1"/>
                <w:bCs w:val="1"/>
                <w:color w:val="FFFFFF"/>
              </w:rPr>
              <w:t>Dividend</w:t>
            </w:r>
          </w:p>
        </w:tc>
        <w:tc>
          <w:tcPr>
            <w:tcW w:w="1060" w:type="dxa"/>
            <w:vAlign w:val="bottom"/>
            <w:shd w:val="clear" w:color="auto" w:fill="052B82"/>
          </w:tcPr>
          <w:p>
            <w:pPr>
              <w:jc w:val="right"/>
              <w:ind w:right="141"/>
              <w:spacing w:after="0"/>
              <w:rPr>
                <w:sz w:val="20"/>
                <w:szCs w:val="20"/>
                <w:color w:val="auto"/>
              </w:rPr>
            </w:pPr>
            <w:r>
              <w:rPr>
                <w:rFonts w:ascii="Arial" w:cs="Arial" w:eastAsia="Arial" w:hAnsi="Arial"/>
                <w:sz w:val="14"/>
                <w:szCs w:val="14"/>
                <w:b w:val="1"/>
                <w:bCs w:val="1"/>
                <w:color w:val="FFFFFF"/>
              </w:rPr>
              <w:t>Expected</w:t>
            </w:r>
          </w:p>
        </w:tc>
        <w:tc>
          <w:tcPr>
            <w:tcW w:w="920" w:type="dxa"/>
            <w:vAlign w:val="bottom"/>
            <w:shd w:val="clear" w:color="auto" w:fill="052B82"/>
          </w:tcPr>
          <w:p>
            <w:pPr>
              <w:jc w:val="right"/>
              <w:spacing w:after="0"/>
              <w:rPr>
                <w:sz w:val="20"/>
                <w:szCs w:val="20"/>
                <w:color w:val="auto"/>
              </w:rPr>
            </w:pPr>
            <w:r>
              <w:rPr>
                <w:rFonts w:ascii="Arial" w:cs="Arial" w:eastAsia="Arial" w:hAnsi="Arial"/>
                <w:sz w:val="14"/>
                <w:szCs w:val="14"/>
                <w:b w:val="1"/>
                <w:bCs w:val="1"/>
                <w:color w:val="FFFFFF"/>
              </w:rPr>
              <w:t>Expected</w:t>
            </w:r>
          </w:p>
        </w:tc>
        <w:tc>
          <w:tcPr>
            <w:tcW w:w="1100" w:type="dxa"/>
            <w:vAlign w:val="bottom"/>
            <w:shd w:val="clear" w:color="auto" w:fill="052B82"/>
          </w:tcPr>
          <w:p>
            <w:pPr>
              <w:jc w:val="center"/>
              <w:ind w:left="102"/>
              <w:spacing w:after="0"/>
              <w:rPr>
                <w:sz w:val="20"/>
                <w:szCs w:val="20"/>
                <w:color w:val="auto"/>
              </w:rPr>
            </w:pPr>
            <w:r>
              <w:rPr>
                <w:rFonts w:ascii="Arial" w:cs="Arial" w:eastAsia="Arial" w:hAnsi="Arial"/>
                <w:sz w:val="14"/>
                <w:szCs w:val="14"/>
                <w:b w:val="1"/>
                <w:bCs w:val="1"/>
                <w:color w:val="FFFFFF"/>
              </w:rPr>
              <w:t>Fair Value</w:t>
            </w:r>
          </w:p>
        </w:tc>
      </w:tr>
      <w:tr>
        <w:trPr>
          <w:trHeight w:val="162"/>
        </w:trPr>
        <w:tc>
          <w:tcPr>
            <w:tcW w:w="4800" w:type="dxa"/>
            <w:vAlign w:val="bottom"/>
            <w:shd w:val="clear" w:color="auto" w:fill="052B82"/>
          </w:tcPr>
          <w:p>
            <w:pPr>
              <w:spacing w:after="0"/>
              <w:rPr>
                <w:sz w:val="14"/>
                <w:szCs w:val="14"/>
                <w:color w:val="auto"/>
              </w:rPr>
            </w:pPr>
          </w:p>
        </w:tc>
        <w:tc>
          <w:tcPr>
            <w:tcW w:w="1200" w:type="dxa"/>
            <w:vAlign w:val="bottom"/>
            <w:shd w:val="clear" w:color="auto" w:fill="052B82"/>
          </w:tcPr>
          <w:p>
            <w:pPr>
              <w:jc w:val="center"/>
              <w:ind w:left="62"/>
              <w:spacing w:after="0"/>
              <w:rPr>
                <w:sz w:val="20"/>
                <w:szCs w:val="20"/>
                <w:color w:val="auto"/>
              </w:rPr>
            </w:pPr>
            <w:r>
              <w:rPr>
                <w:rFonts w:ascii="Arial" w:cs="Arial" w:eastAsia="Arial" w:hAnsi="Arial"/>
                <w:sz w:val="14"/>
                <w:szCs w:val="14"/>
                <w:b w:val="1"/>
                <w:bCs w:val="1"/>
                <w:color w:val="FFFFFF"/>
                <w:w w:val="98"/>
              </w:rPr>
              <w:t>Rate</w:t>
            </w:r>
          </w:p>
        </w:tc>
        <w:tc>
          <w:tcPr>
            <w:tcW w:w="1040" w:type="dxa"/>
            <w:vAlign w:val="bottom"/>
            <w:shd w:val="clear" w:color="auto" w:fill="052B82"/>
          </w:tcPr>
          <w:p>
            <w:pPr>
              <w:jc w:val="right"/>
              <w:ind w:right="282"/>
              <w:spacing w:after="0"/>
              <w:rPr>
                <w:sz w:val="20"/>
                <w:szCs w:val="20"/>
                <w:color w:val="auto"/>
              </w:rPr>
            </w:pPr>
            <w:r>
              <w:rPr>
                <w:rFonts w:ascii="Arial" w:cs="Arial" w:eastAsia="Arial" w:hAnsi="Arial"/>
                <w:sz w:val="14"/>
                <w:szCs w:val="14"/>
                <w:b w:val="1"/>
                <w:bCs w:val="1"/>
                <w:color w:val="FFFFFF"/>
              </w:rPr>
              <w:t>Yield</w:t>
            </w:r>
          </w:p>
        </w:tc>
        <w:tc>
          <w:tcPr>
            <w:tcW w:w="1060" w:type="dxa"/>
            <w:vAlign w:val="bottom"/>
            <w:shd w:val="clear" w:color="auto" w:fill="052B82"/>
          </w:tcPr>
          <w:p>
            <w:pPr>
              <w:jc w:val="right"/>
              <w:ind w:right="161"/>
              <w:spacing w:after="0"/>
              <w:rPr>
                <w:sz w:val="20"/>
                <w:szCs w:val="20"/>
                <w:color w:val="auto"/>
              </w:rPr>
            </w:pPr>
            <w:r>
              <w:rPr>
                <w:rFonts w:ascii="Arial" w:cs="Arial" w:eastAsia="Arial" w:hAnsi="Arial"/>
                <w:sz w:val="14"/>
                <w:szCs w:val="14"/>
                <w:b w:val="1"/>
                <w:bCs w:val="1"/>
                <w:color w:val="FFFFFF"/>
              </w:rPr>
              <w:t>Volatility</w:t>
            </w:r>
          </w:p>
        </w:tc>
        <w:tc>
          <w:tcPr>
            <w:tcW w:w="920" w:type="dxa"/>
            <w:vAlign w:val="bottom"/>
            <w:shd w:val="clear" w:color="auto" w:fill="052B82"/>
          </w:tcPr>
          <w:p>
            <w:pPr>
              <w:jc w:val="right"/>
              <w:ind w:right="181"/>
              <w:spacing w:after="0"/>
              <w:rPr>
                <w:sz w:val="20"/>
                <w:szCs w:val="20"/>
                <w:color w:val="auto"/>
              </w:rPr>
            </w:pPr>
            <w:r>
              <w:rPr>
                <w:rFonts w:ascii="Arial" w:cs="Arial" w:eastAsia="Arial" w:hAnsi="Arial"/>
                <w:sz w:val="14"/>
                <w:szCs w:val="14"/>
                <w:b w:val="1"/>
                <w:bCs w:val="1"/>
                <w:color w:val="FFFFFF"/>
              </w:rPr>
              <w:t>Life</w:t>
            </w:r>
          </w:p>
        </w:tc>
        <w:tc>
          <w:tcPr>
            <w:tcW w:w="1100" w:type="dxa"/>
            <w:vAlign w:val="bottom"/>
            <w:shd w:val="clear" w:color="auto" w:fill="052B82"/>
          </w:tcPr>
          <w:p>
            <w:pPr>
              <w:jc w:val="center"/>
              <w:ind w:left="82"/>
              <w:spacing w:after="0"/>
              <w:rPr>
                <w:sz w:val="20"/>
                <w:szCs w:val="20"/>
                <w:color w:val="auto"/>
              </w:rPr>
            </w:pPr>
            <w:r>
              <w:rPr>
                <w:rFonts w:ascii="Arial" w:cs="Arial" w:eastAsia="Arial" w:hAnsi="Arial"/>
                <w:sz w:val="14"/>
                <w:szCs w:val="14"/>
                <w:b w:val="1"/>
                <w:bCs w:val="1"/>
                <w:color w:val="FFFFFF"/>
              </w:rPr>
              <w:t>Per Share</w:t>
            </w:r>
          </w:p>
        </w:tc>
      </w:tr>
      <w:tr>
        <w:trPr>
          <w:trHeight w:val="223"/>
        </w:trPr>
        <w:tc>
          <w:tcPr>
            <w:tcW w:w="4800" w:type="dxa"/>
            <w:vAlign w:val="bottom"/>
            <w:tcBorders>
              <w:bottom w:val="single" w:sz="8" w:color="052B82"/>
            </w:tcBorders>
            <w:shd w:val="clear" w:color="auto" w:fill="052B82"/>
          </w:tcPr>
          <w:p>
            <w:pPr>
              <w:ind w:left="20"/>
              <w:spacing w:after="0"/>
              <w:rPr>
                <w:sz w:val="20"/>
                <w:szCs w:val="20"/>
                <w:color w:val="auto"/>
              </w:rPr>
            </w:pPr>
            <w:r>
              <w:rPr>
                <w:rFonts w:ascii="Arial" w:cs="Arial" w:eastAsia="Arial" w:hAnsi="Arial"/>
                <w:sz w:val="14"/>
                <w:szCs w:val="14"/>
                <w:b w:val="1"/>
                <w:bCs w:val="1"/>
                <w:color w:val="FFFFFF"/>
              </w:rPr>
              <w:t>Grant Date</w:t>
            </w:r>
          </w:p>
        </w:tc>
        <w:tc>
          <w:tcPr>
            <w:tcW w:w="1200" w:type="dxa"/>
            <w:vAlign w:val="bottom"/>
            <w:tcBorders>
              <w:bottom w:val="single" w:sz="8" w:color="052B82"/>
            </w:tcBorders>
            <w:shd w:val="clear" w:color="auto" w:fill="052B82"/>
          </w:tcPr>
          <w:p>
            <w:pPr>
              <w:jc w:val="center"/>
              <w:ind w:left="62"/>
              <w:spacing w:after="0"/>
              <w:rPr>
                <w:sz w:val="20"/>
                <w:szCs w:val="20"/>
                <w:color w:val="auto"/>
              </w:rPr>
            </w:pPr>
            <w:r>
              <w:rPr>
                <w:rFonts w:ascii="Arial" w:cs="Arial" w:eastAsia="Arial" w:hAnsi="Arial"/>
                <w:sz w:val="14"/>
                <w:szCs w:val="14"/>
                <w:b w:val="1"/>
                <w:bCs w:val="1"/>
                <w:color w:val="FFFFFF"/>
              </w:rPr>
              <w:t>(%)</w:t>
            </w:r>
          </w:p>
        </w:tc>
        <w:tc>
          <w:tcPr>
            <w:tcW w:w="1040" w:type="dxa"/>
            <w:vAlign w:val="bottom"/>
            <w:tcBorders>
              <w:bottom w:val="single" w:sz="8" w:color="052B82"/>
            </w:tcBorders>
            <w:shd w:val="clear" w:color="auto" w:fill="052B82"/>
          </w:tcPr>
          <w:p>
            <w:pPr>
              <w:jc w:val="right"/>
              <w:ind w:right="322"/>
              <w:spacing w:after="0"/>
              <w:rPr>
                <w:sz w:val="20"/>
                <w:szCs w:val="20"/>
                <w:color w:val="auto"/>
              </w:rPr>
            </w:pPr>
            <w:r>
              <w:rPr>
                <w:rFonts w:ascii="Arial" w:cs="Arial" w:eastAsia="Arial" w:hAnsi="Arial"/>
                <w:sz w:val="14"/>
                <w:szCs w:val="14"/>
                <w:b w:val="1"/>
                <w:bCs w:val="1"/>
                <w:color w:val="FFFFFF"/>
              </w:rPr>
              <w:t>(%)</w:t>
            </w:r>
          </w:p>
        </w:tc>
        <w:tc>
          <w:tcPr>
            <w:tcW w:w="1060" w:type="dxa"/>
            <w:vAlign w:val="bottom"/>
            <w:tcBorders>
              <w:bottom w:val="single" w:sz="8" w:color="052B82"/>
            </w:tcBorders>
            <w:shd w:val="clear" w:color="auto" w:fill="052B82"/>
          </w:tcPr>
          <w:p>
            <w:pPr>
              <w:jc w:val="right"/>
              <w:ind w:right="341"/>
              <w:spacing w:after="0"/>
              <w:rPr>
                <w:sz w:val="20"/>
                <w:szCs w:val="20"/>
                <w:color w:val="auto"/>
              </w:rPr>
            </w:pPr>
            <w:r>
              <w:rPr>
                <w:rFonts w:ascii="Arial" w:cs="Arial" w:eastAsia="Arial" w:hAnsi="Arial"/>
                <w:sz w:val="14"/>
                <w:szCs w:val="14"/>
                <w:b w:val="1"/>
                <w:bCs w:val="1"/>
                <w:color w:val="FFFFFF"/>
              </w:rPr>
              <w:t>(%)</w:t>
            </w:r>
          </w:p>
        </w:tc>
        <w:tc>
          <w:tcPr>
            <w:tcW w:w="920" w:type="dxa"/>
            <w:vAlign w:val="bottom"/>
            <w:tcBorders>
              <w:bottom w:val="single" w:sz="8" w:color="052B82"/>
            </w:tcBorders>
            <w:shd w:val="clear" w:color="auto" w:fill="052B82"/>
          </w:tcPr>
          <w:p>
            <w:pPr>
              <w:jc w:val="right"/>
              <w:ind w:right="61"/>
              <w:spacing w:after="0"/>
              <w:rPr>
                <w:sz w:val="20"/>
                <w:szCs w:val="20"/>
                <w:color w:val="auto"/>
              </w:rPr>
            </w:pPr>
            <w:r>
              <w:rPr>
                <w:rFonts w:ascii="Arial" w:cs="Arial" w:eastAsia="Arial" w:hAnsi="Arial"/>
                <w:sz w:val="14"/>
                <w:szCs w:val="14"/>
                <w:b w:val="1"/>
                <w:bCs w:val="1"/>
                <w:color w:val="FFFFFF"/>
              </w:rPr>
              <w:t>(Years)</w:t>
            </w:r>
          </w:p>
        </w:tc>
        <w:tc>
          <w:tcPr>
            <w:tcW w:w="1100" w:type="dxa"/>
            <w:vAlign w:val="bottom"/>
            <w:tcBorders>
              <w:bottom w:val="single" w:sz="8" w:color="052B82"/>
            </w:tcBorders>
            <w:shd w:val="clear" w:color="auto" w:fill="052B82"/>
          </w:tcPr>
          <w:p>
            <w:pPr>
              <w:jc w:val="center"/>
              <w:ind w:left="82"/>
              <w:spacing w:after="0"/>
              <w:rPr>
                <w:sz w:val="20"/>
                <w:szCs w:val="20"/>
                <w:color w:val="auto"/>
              </w:rPr>
            </w:pPr>
            <w:r>
              <w:rPr>
                <w:rFonts w:ascii="Arial" w:cs="Arial" w:eastAsia="Arial" w:hAnsi="Arial"/>
                <w:sz w:val="14"/>
                <w:szCs w:val="14"/>
                <w:b w:val="1"/>
                <w:bCs w:val="1"/>
                <w:color w:val="FFFFFF"/>
              </w:rPr>
              <w:t>($)</w:t>
            </w:r>
          </w:p>
        </w:tc>
      </w:tr>
      <w:tr>
        <w:trPr>
          <w:trHeight w:val="203"/>
        </w:trPr>
        <w:tc>
          <w:tcPr>
            <w:tcW w:w="4800" w:type="dxa"/>
            <w:vAlign w:val="bottom"/>
          </w:tcPr>
          <w:p>
            <w:pPr>
              <w:ind w:left="40"/>
              <w:spacing w:after="0" w:line="202" w:lineRule="exact"/>
              <w:rPr>
                <w:sz w:val="20"/>
                <w:szCs w:val="20"/>
                <w:color w:val="auto"/>
              </w:rPr>
            </w:pPr>
            <w:r>
              <w:rPr>
                <w:rFonts w:ascii="Arial" w:cs="Arial" w:eastAsia="Arial" w:hAnsi="Arial"/>
                <w:sz w:val="18"/>
                <w:szCs w:val="18"/>
                <w:color w:val="auto"/>
              </w:rPr>
              <w:t>3/13/2019</w:t>
            </w:r>
          </w:p>
        </w:tc>
        <w:tc>
          <w:tcPr>
            <w:tcW w:w="1200" w:type="dxa"/>
            <w:vAlign w:val="bottom"/>
          </w:tcPr>
          <w:p>
            <w:pPr>
              <w:jc w:val="right"/>
              <w:ind w:right="122"/>
              <w:spacing w:after="0" w:line="202" w:lineRule="exact"/>
              <w:rPr>
                <w:sz w:val="20"/>
                <w:szCs w:val="20"/>
                <w:color w:val="auto"/>
              </w:rPr>
            </w:pPr>
            <w:r>
              <w:rPr>
                <w:rFonts w:ascii="Arial" w:cs="Arial" w:eastAsia="Arial" w:hAnsi="Arial"/>
                <w:sz w:val="18"/>
                <w:szCs w:val="18"/>
                <w:color w:val="auto"/>
              </w:rPr>
              <w:t>2.42</w:t>
            </w:r>
          </w:p>
        </w:tc>
        <w:tc>
          <w:tcPr>
            <w:tcW w:w="1040" w:type="dxa"/>
            <w:vAlign w:val="bottom"/>
          </w:tcPr>
          <w:p>
            <w:pPr>
              <w:jc w:val="right"/>
              <w:ind w:right="142"/>
              <w:spacing w:after="0" w:line="202" w:lineRule="exact"/>
              <w:rPr>
                <w:sz w:val="20"/>
                <w:szCs w:val="20"/>
                <w:color w:val="auto"/>
              </w:rPr>
            </w:pPr>
            <w:r>
              <w:rPr>
                <w:rFonts w:ascii="Arial" w:cs="Arial" w:eastAsia="Arial" w:hAnsi="Arial"/>
                <w:sz w:val="18"/>
                <w:szCs w:val="18"/>
                <w:color w:val="auto"/>
              </w:rPr>
              <w:t>2.00</w:t>
            </w:r>
          </w:p>
        </w:tc>
        <w:tc>
          <w:tcPr>
            <w:tcW w:w="1060" w:type="dxa"/>
            <w:vAlign w:val="bottom"/>
          </w:tcPr>
          <w:p>
            <w:pPr>
              <w:jc w:val="right"/>
              <w:ind w:right="121"/>
              <w:spacing w:after="0" w:line="202" w:lineRule="exact"/>
              <w:rPr>
                <w:sz w:val="20"/>
                <w:szCs w:val="20"/>
                <w:color w:val="auto"/>
              </w:rPr>
            </w:pPr>
            <w:r>
              <w:rPr>
                <w:rFonts w:ascii="Arial" w:cs="Arial" w:eastAsia="Arial" w:hAnsi="Arial"/>
                <w:sz w:val="18"/>
                <w:szCs w:val="18"/>
                <w:color w:val="auto"/>
              </w:rPr>
              <w:t>26.32</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5.00</w:t>
            </w:r>
          </w:p>
        </w:tc>
        <w:tc>
          <w:tcPr>
            <w:tcW w:w="1100" w:type="dxa"/>
            <w:vAlign w:val="bottom"/>
          </w:tcPr>
          <w:p>
            <w:pPr>
              <w:jc w:val="right"/>
              <w:ind w:right="22"/>
              <w:spacing w:after="0" w:line="202" w:lineRule="exact"/>
              <w:rPr>
                <w:sz w:val="20"/>
                <w:szCs w:val="20"/>
                <w:color w:val="auto"/>
              </w:rPr>
            </w:pPr>
            <w:r>
              <w:rPr>
                <w:rFonts w:ascii="Arial" w:cs="Arial" w:eastAsia="Arial" w:hAnsi="Arial"/>
                <w:sz w:val="18"/>
                <w:szCs w:val="18"/>
                <w:color w:val="auto"/>
              </w:rPr>
              <w:t>23.43</w:t>
            </w:r>
          </w:p>
        </w:tc>
      </w:tr>
      <w:tr>
        <w:trPr>
          <w:trHeight w:val="203"/>
        </w:trPr>
        <w:tc>
          <w:tcPr>
            <w:tcW w:w="4800" w:type="dxa"/>
            <w:vAlign w:val="bottom"/>
            <w:shd w:val="clear" w:color="auto" w:fill="E8EDF4"/>
          </w:tcPr>
          <w:p>
            <w:pPr>
              <w:ind w:left="40"/>
              <w:spacing w:after="0" w:line="202" w:lineRule="exact"/>
              <w:rPr>
                <w:sz w:val="20"/>
                <w:szCs w:val="20"/>
                <w:color w:val="auto"/>
              </w:rPr>
            </w:pPr>
            <w:r>
              <w:rPr>
                <w:rFonts w:ascii="Arial" w:cs="Arial" w:eastAsia="Arial" w:hAnsi="Arial"/>
                <w:sz w:val="18"/>
                <w:szCs w:val="18"/>
                <w:color w:val="auto"/>
              </w:rPr>
              <w:t>6/17/2019</w:t>
            </w:r>
          </w:p>
        </w:tc>
        <w:tc>
          <w:tcPr>
            <w:tcW w:w="1200" w:type="dxa"/>
            <w:vAlign w:val="bottom"/>
            <w:shd w:val="clear" w:color="auto" w:fill="E8EDF4"/>
          </w:tcPr>
          <w:p>
            <w:pPr>
              <w:jc w:val="right"/>
              <w:ind w:right="122"/>
              <w:spacing w:after="0" w:line="202" w:lineRule="exact"/>
              <w:rPr>
                <w:sz w:val="20"/>
                <w:szCs w:val="20"/>
                <w:color w:val="auto"/>
              </w:rPr>
            </w:pPr>
            <w:r>
              <w:rPr>
                <w:rFonts w:ascii="Arial" w:cs="Arial" w:eastAsia="Arial" w:hAnsi="Arial"/>
                <w:sz w:val="18"/>
                <w:szCs w:val="18"/>
                <w:color w:val="auto"/>
              </w:rPr>
              <w:t>1.83</w:t>
            </w:r>
          </w:p>
        </w:tc>
        <w:tc>
          <w:tcPr>
            <w:tcW w:w="1040" w:type="dxa"/>
            <w:vAlign w:val="bottom"/>
            <w:shd w:val="clear" w:color="auto" w:fill="E8EDF4"/>
          </w:tcPr>
          <w:p>
            <w:pPr>
              <w:jc w:val="right"/>
              <w:ind w:right="142"/>
              <w:spacing w:after="0" w:line="202" w:lineRule="exact"/>
              <w:rPr>
                <w:sz w:val="20"/>
                <w:szCs w:val="20"/>
                <w:color w:val="auto"/>
              </w:rPr>
            </w:pPr>
            <w:r>
              <w:rPr>
                <w:rFonts w:ascii="Arial" w:cs="Arial" w:eastAsia="Arial" w:hAnsi="Arial"/>
                <w:sz w:val="18"/>
                <w:szCs w:val="18"/>
                <w:color w:val="auto"/>
              </w:rPr>
              <w:t>2.10</w:t>
            </w:r>
          </w:p>
        </w:tc>
        <w:tc>
          <w:tcPr>
            <w:tcW w:w="1060" w:type="dxa"/>
            <w:vAlign w:val="bottom"/>
            <w:shd w:val="clear" w:color="auto" w:fill="E8EDF4"/>
          </w:tcPr>
          <w:p>
            <w:pPr>
              <w:jc w:val="right"/>
              <w:ind w:right="121"/>
              <w:spacing w:after="0" w:line="202" w:lineRule="exact"/>
              <w:rPr>
                <w:sz w:val="20"/>
                <w:szCs w:val="20"/>
                <w:color w:val="auto"/>
              </w:rPr>
            </w:pPr>
            <w:r>
              <w:rPr>
                <w:rFonts w:ascii="Arial" w:cs="Arial" w:eastAsia="Arial" w:hAnsi="Arial"/>
                <w:sz w:val="18"/>
                <w:szCs w:val="18"/>
                <w:color w:val="auto"/>
              </w:rPr>
              <w:t>28.90</w:t>
            </w:r>
          </w:p>
        </w:tc>
        <w:tc>
          <w:tcPr>
            <w:tcW w:w="920" w:type="dxa"/>
            <w:vAlign w:val="bottom"/>
            <w:shd w:val="clear" w:color="auto" w:fill="E8EDF4"/>
          </w:tcPr>
          <w:p>
            <w:pPr>
              <w:jc w:val="right"/>
              <w:spacing w:after="0" w:line="202" w:lineRule="exact"/>
              <w:rPr>
                <w:sz w:val="20"/>
                <w:szCs w:val="20"/>
                <w:color w:val="auto"/>
              </w:rPr>
            </w:pPr>
            <w:r>
              <w:rPr>
                <w:rFonts w:ascii="Arial" w:cs="Arial" w:eastAsia="Arial" w:hAnsi="Arial"/>
                <w:sz w:val="18"/>
                <w:szCs w:val="18"/>
                <w:color w:val="auto"/>
              </w:rPr>
              <w:t>5.00</w:t>
            </w:r>
          </w:p>
        </w:tc>
        <w:tc>
          <w:tcPr>
            <w:tcW w:w="1100" w:type="dxa"/>
            <w:vAlign w:val="bottom"/>
            <w:shd w:val="clear" w:color="auto" w:fill="E8EDF4"/>
          </w:tcPr>
          <w:p>
            <w:pPr>
              <w:jc w:val="right"/>
              <w:ind w:right="22"/>
              <w:spacing w:after="0" w:line="202" w:lineRule="exact"/>
              <w:rPr>
                <w:sz w:val="20"/>
                <w:szCs w:val="20"/>
                <w:color w:val="auto"/>
              </w:rPr>
            </w:pPr>
            <w:r>
              <w:rPr>
                <w:rFonts w:ascii="Arial" w:cs="Arial" w:eastAsia="Arial" w:hAnsi="Arial"/>
                <w:sz w:val="18"/>
                <w:szCs w:val="18"/>
                <w:color w:val="auto"/>
              </w:rPr>
              <w:t>22.69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-719455</wp:posOffset>
            </wp:positionV>
            <wp:extent cx="242697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28"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4"/>
          <w:szCs w:val="14"/>
          <w:b w:val="1"/>
          <w:bCs w:val="1"/>
          <w:color w:val="052B82"/>
        </w:rPr>
        <w:t>2020 Proxy Statement</w:t>
      </w:r>
      <w:r>
        <w:rPr>
          <w:sz w:val="20"/>
          <w:szCs w:val="20"/>
          <w:color w:val="auto"/>
        </w:rPr>
        <w:tab/>
      </w:r>
      <w:r>
        <w:rPr>
          <w:rFonts w:ascii="Arial" w:cs="Arial" w:eastAsia="Arial" w:hAnsi="Arial"/>
          <w:sz w:val="17"/>
          <w:szCs w:val="17"/>
          <w:color w:val="999999"/>
        </w:rPr>
        <w:t>59</w:t>
      </w:r>
    </w:p>
    <w:p>
      <w:pPr>
        <w:sectPr>
          <w:pgSz w:w="11900" w:h="16838" w:orient="portrait"/>
          <w:cols w:equalWidth="0" w:num="1">
            <w:col w:w="11220"/>
          </w:cols>
          <w:pgMar w:left="24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2649855" cy="1371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52B82"/>
        </w:rPr>
        <w:t>OUTSTANDING EQUITY AWARDS AT FISCAL YEAR-END 2019</w:t>
      </w:r>
    </w:p>
    <w:p>
      <w:pPr>
        <w:spacing w:after="0" w:line="126" w:lineRule="exact"/>
        <w:rPr>
          <w:sz w:val="20"/>
          <w:szCs w:val="20"/>
          <w:color w:val="auto"/>
        </w:rPr>
      </w:pPr>
    </w:p>
    <w:p>
      <w:pPr>
        <w:ind w:left="200" w:right="100"/>
        <w:spacing w:after="0" w:line="246" w:lineRule="auto"/>
        <w:rPr>
          <w:sz w:val="20"/>
          <w:szCs w:val="20"/>
          <w:color w:val="auto"/>
        </w:rPr>
      </w:pPr>
      <w:r>
        <w:rPr>
          <w:rFonts w:ascii="Arial" w:cs="Arial" w:eastAsia="Arial" w:hAnsi="Arial"/>
          <w:sz w:val="18"/>
          <w:szCs w:val="18"/>
          <w:color w:val="auto"/>
        </w:rPr>
        <w:t>The following table provides information with respect to outstanding stock options and unvested time-based RSUs and PRSUs for each of our named executive officers as of November 2, 2019:</w:t>
      </w:r>
    </w:p>
    <w:p>
      <w:pPr>
        <w:spacing w:after="0" w:line="225"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020" w:type="dxa"/>
            <w:vAlign w:val="bottom"/>
            <w:shd w:val="clear" w:color="auto" w:fill="052B82"/>
          </w:tcPr>
          <w:p>
            <w:pPr>
              <w:spacing w:after="0"/>
              <w:rPr>
                <w:sz w:val="14"/>
                <w:szCs w:val="14"/>
                <w:color w:val="auto"/>
              </w:rPr>
            </w:pPr>
          </w:p>
        </w:tc>
        <w:tc>
          <w:tcPr>
            <w:tcW w:w="1140" w:type="dxa"/>
            <w:vAlign w:val="bottom"/>
            <w:shd w:val="clear" w:color="auto" w:fill="052B82"/>
          </w:tcPr>
          <w:p>
            <w:pPr>
              <w:spacing w:after="0"/>
              <w:rPr>
                <w:sz w:val="14"/>
                <w:szCs w:val="14"/>
                <w:color w:val="auto"/>
              </w:rPr>
            </w:pPr>
          </w:p>
        </w:tc>
        <w:tc>
          <w:tcPr>
            <w:tcW w:w="1100" w:type="dxa"/>
            <w:vAlign w:val="bottom"/>
            <w:shd w:val="clear" w:color="auto" w:fill="052B82"/>
          </w:tcPr>
          <w:p>
            <w:pPr>
              <w:spacing w:after="0"/>
              <w:rPr>
                <w:sz w:val="14"/>
                <w:szCs w:val="14"/>
                <w:color w:val="auto"/>
              </w:rPr>
            </w:pPr>
          </w:p>
        </w:tc>
        <w:tc>
          <w:tcPr>
            <w:tcW w:w="2180" w:type="dxa"/>
            <w:vAlign w:val="bottom"/>
            <w:gridSpan w:val="2"/>
            <w:shd w:val="clear" w:color="auto" w:fill="052B82"/>
          </w:tcPr>
          <w:p>
            <w:pPr>
              <w:jc w:val="right"/>
              <w:ind w:right="568"/>
              <w:spacing w:after="0"/>
              <w:rPr>
                <w:sz w:val="20"/>
                <w:szCs w:val="20"/>
                <w:color w:val="auto"/>
              </w:rPr>
            </w:pPr>
            <w:r>
              <w:rPr>
                <w:rFonts w:ascii="Arial" w:cs="Arial" w:eastAsia="Arial" w:hAnsi="Arial"/>
                <w:sz w:val="14"/>
                <w:szCs w:val="14"/>
                <w:b w:val="1"/>
                <w:bCs w:val="1"/>
                <w:color w:val="FFFFFF"/>
              </w:rPr>
              <w:t>Option Awards</w:t>
            </w:r>
          </w:p>
        </w:tc>
        <w:tc>
          <w:tcPr>
            <w:tcW w:w="940" w:type="dxa"/>
            <w:vAlign w:val="bottom"/>
            <w:shd w:val="clear" w:color="auto" w:fill="052B82"/>
          </w:tcPr>
          <w:p>
            <w:pPr>
              <w:spacing w:after="0"/>
              <w:rPr>
                <w:sz w:val="14"/>
                <w:szCs w:val="14"/>
                <w:color w:val="auto"/>
              </w:rPr>
            </w:pPr>
          </w:p>
        </w:tc>
        <w:tc>
          <w:tcPr>
            <w:tcW w:w="1060" w:type="dxa"/>
            <w:vAlign w:val="bottom"/>
            <w:shd w:val="clear" w:color="auto" w:fill="052B82"/>
          </w:tcPr>
          <w:p>
            <w:pPr>
              <w:spacing w:after="0"/>
              <w:rPr>
                <w:sz w:val="14"/>
                <w:szCs w:val="14"/>
                <w:color w:val="auto"/>
              </w:rPr>
            </w:pPr>
          </w:p>
        </w:tc>
        <w:tc>
          <w:tcPr>
            <w:tcW w:w="1740" w:type="dxa"/>
            <w:vAlign w:val="bottom"/>
            <w:gridSpan w:val="2"/>
            <w:shd w:val="clear" w:color="auto" w:fill="052B82"/>
          </w:tcPr>
          <w:p>
            <w:pPr>
              <w:jc w:val="right"/>
              <w:ind w:right="408"/>
              <w:spacing w:after="0"/>
              <w:rPr>
                <w:sz w:val="20"/>
                <w:szCs w:val="20"/>
                <w:color w:val="auto"/>
              </w:rPr>
            </w:pPr>
            <w:r>
              <w:rPr>
                <w:rFonts w:ascii="Arial" w:cs="Arial" w:eastAsia="Arial" w:hAnsi="Arial"/>
                <w:sz w:val="14"/>
                <w:szCs w:val="14"/>
                <w:b w:val="1"/>
                <w:bCs w:val="1"/>
                <w:color w:val="FFFFFF"/>
              </w:rPr>
              <w:t>Stock Awards</w:t>
            </w:r>
          </w:p>
        </w:tc>
        <w:tc>
          <w:tcPr>
            <w:tcW w:w="840" w:type="dxa"/>
            <w:vAlign w:val="bottom"/>
            <w:vMerge w:val="restart"/>
            <w:shd w:val="clear" w:color="auto" w:fill="052B82"/>
          </w:tcPr>
          <w:p>
            <w:pPr>
              <w:jc w:val="center"/>
              <w:spacing w:after="0"/>
              <w:rPr>
                <w:sz w:val="20"/>
                <w:szCs w:val="20"/>
                <w:color w:val="auto"/>
              </w:rPr>
            </w:pPr>
            <w:r>
              <w:rPr>
                <w:rFonts w:ascii="Arial" w:cs="Arial" w:eastAsia="Arial" w:hAnsi="Arial"/>
                <w:sz w:val="14"/>
                <w:szCs w:val="14"/>
                <w:b w:val="1"/>
                <w:bCs w:val="1"/>
                <w:color w:val="FFFFFF"/>
              </w:rPr>
              <w:t>Equity</w:t>
            </w:r>
          </w:p>
        </w:tc>
        <w:tc>
          <w:tcPr>
            <w:tcW w:w="0" w:type="dxa"/>
            <w:vAlign w:val="bottom"/>
          </w:tcPr>
          <w:p>
            <w:pPr>
              <w:spacing w:after="0"/>
              <w:rPr>
                <w:sz w:val="1"/>
                <w:szCs w:val="1"/>
                <w:color w:val="auto"/>
              </w:rPr>
            </w:pPr>
          </w:p>
        </w:tc>
      </w:tr>
      <w:tr>
        <w:trPr>
          <w:trHeight w:val="162"/>
        </w:trPr>
        <w:tc>
          <w:tcPr>
            <w:tcW w:w="2020" w:type="dxa"/>
            <w:vAlign w:val="bottom"/>
            <w:shd w:val="clear" w:color="auto" w:fill="052B82"/>
          </w:tcPr>
          <w:p>
            <w:pPr>
              <w:spacing w:after="0"/>
              <w:rPr>
                <w:sz w:val="14"/>
                <w:szCs w:val="14"/>
                <w:color w:val="auto"/>
              </w:rPr>
            </w:pPr>
          </w:p>
        </w:tc>
        <w:tc>
          <w:tcPr>
            <w:tcW w:w="1140" w:type="dxa"/>
            <w:vAlign w:val="bottom"/>
            <w:shd w:val="clear" w:color="auto" w:fill="052B82"/>
          </w:tcPr>
          <w:p>
            <w:pPr>
              <w:spacing w:after="0"/>
              <w:rPr>
                <w:sz w:val="14"/>
                <w:szCs w:val="14"/>
                <w:color w:val="auto"/>
              </w:rPr>
            </w:pPr>
          </w:p>
        </w:tc>
        <w:tc>
          <w:tcPr>
            <w:tcW w:w="1100" w:type="dxa"/>
            <w:vAlign w:val="bottom"/>
            <w:shd w:val="clear" w:color="auto" w:fill="052B82"/>
          </w:tcPr>
          <w:p>
            <w:pPr>
              <w:spacing w:after="0"/>
              <w:rPr>
                <w:sz w:val="14"/>
                <w:szCs w:val="14"/>
                <w:color w:val="auto"/>
              </w:rPr>
            </w:pPr>
          </w:p>
        </w:tc>
        <w:tc>
          <w:tcPr>
            <w:tcW w:w="1380" w:type="dxa"/>
            <w:vAlign w:val="bottom"/>
            <w:shd w:val="clear" w:color="auto" w:fill="052B82"/>
          </w:tcPr>
          <w:p>
            <w:pPr>
              <w:spacing w:after="0"/>
              <w:rPr>
                <w:sz w:val="14"/>
                <w:szCs w:val="14"/>
                <w:color w:val="auto"/>
              </w:rPr>
            </w:pPr>
          </w:p>
        </w:tc>
        <w:tc>
          <w:tcPr>
            <w:tcW w:w="800" w:type="dxa"/>
            <w:vAlign w:val="bottom"/>
            <w:shd w:val="clear" w:color="auto" w:fill="052B82"/>
          </w:tcPr>
          <w:p>
            <w:pPr>
              <w:spacing w:after="0"/>
              <w:rPr>
                <w:sz w:val="14"/>
                <w:szCs w:val="14"/>
                <w:color w:val="auto"/>
              </w:rPr>
            </w:pPr>
          </w:p>
        </w:tc>
        <w:tc>
          <w:tcPr>
            <w:tcW w:w="940" w:type="dxa"/>
            <w:vAlign w:val="bottom"/>
            <w:shd w:val="clear" w:color="auto" w:fill="052B82"/>
          </w:tcPr>
          <w:p>
            <w:pPr>
              <w:spacing w:after="0"/>
              <w:rPr>
                <w:sz w:val="14"/>
                <w:szCs w:val="14"/>
                <w:color w:val="auto"/>
              </w:rPr>
            </w:pPr>
          </w:p>
        </w:tc>
        <w:tc>
          <w:tcPr>
            <w:tcW w:w="1060" w:type="dxa"/>
            <w:vAlign w:val="bottom"/>
            <w:shd w:val="clear" w:color="auto" w:fill="052B82"/>
          </w:tcPr>
          <w:p>
            <w:pPr>
              <w:spacing w:after="0"/>
              <w:rPr>
                <w:sz w:val="14"/>
                <w:szCs w:val="14"/>
                <w:color w:val="auto"/>
              </w:rPr>
            </w:pPr>
          </w:p>
        </w:tc>
        <w:tc>
          <w:tcPr>
            <w:tcW w:w="880" w:type="dxa"/>
            <w:vAlign w:val="bottom"/>
            <w:shd w:val="clear" w:color="auto" w:fill="052B82"/>
          </w:tcPr>
          <w:p>
            <w:pPr>
              <w:spacing w:after="0"/>
              <w:rPr>
                <w:sz w:val="14"/>
                <w:szCs w:val="14"/>
                <w:color w:val="auto"/>
              </w:rPr>
            </w:pPr>
          </w:p>
        </w:tc>
        <w:tc>
          <w:tcPr>
            <w:tcW w:w="860" w:type="dxa"/>
            <w:vAlign w:val="bottom"/>
            <w:shd w:val="clear" w:color="auto" w:fill="052B82"/>
          </w:tcPr>
          <w:p>
            <w:pPr>
              <w:spacing w:after="0"/>
              <w:rPr>
                <w:sz w:val="14"/>
                <w:szCs w:val="14"/>
                <w:color w:val="auto"/>
              </w:rPr>
            </w:pPr>
          </w:p>
        </w:tc>
        <w:tc>
          <w:tcPr>
            <w:tcW w:w="840" w:type="dxa"/>
            <w:vAlign w:val="bottom"/>
            <w:vMerge w:val="continue"/>
            <w:shd w:val="clear" w:color="auto" w:fill="052B82"/>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20" w:type="dxa"/>
            <w:vAlign w:val="bottom"/>
            <w:shd w:val="clear" w:color="auto" w:fill="052B82"/>
          </w:tcPr>
          <w:p>
            <w:pPr>
              <w:spacing w:after="0"/>
              <w:rPr>
                <w:sz w:val="14"/>
                <w:szCs w:val="14"/>
                <w:color w:val="auto"/>
              </w:rPr>
            </w:pPr>
          </w:p>
        </w:tc>
        <w:tc>
          <w:tcPr>
            <w:tcW w:w="1140" w:type="dxa"/>
            <w:vAlign w:val="bottom"/>
            <w:shd w:val="clear" w:color="auto" w:fill="052B82"/>
          </w:tcPr>
          <w:p>
            <w:pPr>
              <w:spacing w:after="0"/>
              <w:rPr>
                <w:sz w:val="14"/>
                <w:szCs w:val="14"/>
                <w:color w:val="auto"/>
              </w:rPr>
            </w:pPr>
          </w:p>
        </w:tc>
        <w:tc>
          <w:tcPr>
            <w:tcW w:w="1100" w:type="dxa"/>
            <w:vAlign w:val="bottom"/>
            <w:shd w:val="clear" w:color="auto" w:fill="052B82"/>
          </w:tcPr>
          <w:p>
            <w:pPr>
              <w:spacing w:after="0"/>
              <w:rPr>
                <w:sz w:val="14"/>
                <w:szCs w:val="14"/>
                <w:color w:val="auto"/>
              </w:rPr>
            </w:pPr>
          </w:p>
        </w:tc>
        <w:tc>
          <w:tcPr>
            <w:tcW w:w="1380" w:type="dxa"/>
            <w:vAlign w:val="bottom"/>
            <w:shd w:val="clear" w:color="auto" w:fill="052B82"/>
          </w:tcPr>
          <w:p>
            <w:pPr>
              <w:spacing w:after="0"/>
              <w:rPr>
                <w:sz w:val="14"/>
                <w:szCs w:val="14"/>
                <w:color w:val="auto"/>
              </w:rPr>
            </w:pPr>
          </w:p>
        </w:tc>
        <w:tc>
          <w:tcPr>
            <w:tcW w:w="800" w:type="dxa"/>
            <w:vAlign w:val="bottom"/>
            <w:shd w:val="clear" w:color="auto" w:fill="052B82"/>
          </w:tcPr>
          <w:p>
            <w:pPr>
              <w:spacing w:after="0"/>
              <w:rPr>
                <w:sz w:val="14"/>
                <w:szCs w:val="14"/>
                <w:color w:val="auto"/>
              </w:rPr>
            </w:pPr>
          </w:p>
        </w:tc>
        <w:tc>
          <w:tcPr>
            <w:tcW w:w="940" w:type="dxa"/>
            <w:vAlign w:val="bottom"/>
            <w:shd w:val="clear" w:color="auto" w:fill="052B82"/>
          </w:tcPr>
          <w:p>
            <w:pPr>
              <w:spacing w:after="0"/>
              <w:rPr>
                <w:sz w:val="14"/>
                <w:szCs w:val="14"/>
                <w:color w:val="auto"/>
              </w:rPr>
            </w:pPr>
          </w:p>
        </w:tc>
        <w:tc>
          <w:tcPr>
            <w:tcW w:w="1060" w:type="dxa"/>
            <w:vAlign w:val="bottom"/>
            <w:shd w:val="clear" w:color="auto" w:fill="052B82"/>
          </w:tcPr>
          <w:p>
            <w:pPr>
              <w:spacing w:after="0"/>
              <w:rPr>
                <w:sz w:val="14"/>
                <w:szCs w:val="14"/>
                <w:color w:val="auto"/>
              </w:rPr>
            </w:pPr>
          </w:p>
        </w:tc>
        <w:tc>
          <w:tcPr>
            <w:tcW w:w="880" w:type="dxa"/>
            <w:vAlign w:val="bottom"/>
            <w:shd w:val="clear" w:color="auto" w:fill="052B82"/>
          </w:tcPr>
          <w:p>
            <w:pPr>
              <w:spacing w:after="0"/>
              <w:rPr>
                <w:sz w:val="14"/>
                <w:szCs w:val="14"/>
                <w:color w:val="auto"/>
              </w:rPr>
            </w:pPr>
          </w:p>
        </w:tc>
        <w:tc>
          <w:tcPr>
            <w:tcW w:w="8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Equity</w:t>
            </w:r>
          </w:p>
        </w:tc>
        <w:tc>
          <w:tcPr>
            <w:tcW w:w="84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Incentive</w:t>
            </w:r>
          </w:p>
        </w:tc>
        <w:tc>
          <w:tcPr>
            <w:tcW w:w="0" w:type="dxa"/>
            <w:vAlign w:val="bottom"/>
          </w:tcPr>
          <w:p>
            <w:pPr>
              <w:spacing w:after="0"/>
              <w:rPr>
                <w:sz w:val="1"/>
                <w:szCs w:val="1"/>
                <w:color w:val="auto"/>
              </w:rPr>
            </w:pPr>
          </w:p>
        </w:tc>
      </w:tr>
      <w:tr>
        <w:trPr>
          <w:trHeight w:val="162"/>
        </w:trPr>
        <w:tc>
          <w:tcPr>
            <w:tcW w:w="2020" w:type="dxa"/>
            <w:vAlign w:val="bottom"/>
            <w:shd w:val="clear" w:color="auto" w:fill="052B82"/>
          </w:tcPr>
          <w:p>
            <w:pPr>
              <w:spacing w:after="0"/>
              <w:rPr>
                <w:sz w:val="14"/>
                <w:szCs w:val="14"/>
                <w:color w:val="auto"/>
              </w:rPr>
            </w:pPr>
          </w:p>
        </w:tc>
        <w:tc>
          <w:tcPr>
            <w:tcW w:w="1140" w:type="dxa"/>
            <w:vAlign w:val="bottom"/>
            <w:shd w:val="clear" w:color="auto" w:fill="052B82"/>
          </w:tcPr>
          <w:p>
            <w:pPr>
              <w:spacing w:after="0"/>
              <w:rPr>
                <w:sz w:val="14"/>
                <w:szCs w:val="14"/>
                <w:color w:val="auto"/>
              </w:rPr>
            </w:pPr>
          </w:p>
        </w:tc>
        <w:tc>
          <w:tcPr>
            <w:tcW w:w="1100" w:type="dxa"/>
            <w:vAlign w:val="bottom"/>
            <w:shd w:val="clear" w:color="auto" w:fill="052B82"/>
          </w:tcPr>
          <w:p>
            <w:pPr>
              <w:spacing w:after="0"/>
              <w:rPr>
                <w:sz w:val="14"/>
                <w:szCs w:val="14"/>
                <w:color w:val="auto"/>
              </w:rPr>
            </w:pPr>
          </w:p>
        </w:tc>
        <w:tc>
          <w:tcPr>
            <w:tcW w:w="1380" w:type="dxa"/>
            <w:vAlign w:val="bottom"/>
            <w:shd w:val="clear" w:color="auto" w:fill="052B82"/>
          </w:tcPr>
          <w:p>
            <w:pPr>
              <w:spacing w:after="0"/>
              <w:rPr>
                <w:sz w:val="14"/>
                <w:szCs w:val="14"/>
                <w:color w:val="auto"/>
              </w:rPr>
            </w:pPr>
          </w:p>
        </w:tc>
        <w:tc>
          <w:tcPr>
            <w:tcW w:w="800" w:type="dxa"/>
            <w:vAlign w:val="bottom"/>
            <w:shd w:val="clear" w:color="auto" w:fill="052B82"/>
          </w:tcPr>
          <w:p>
            <w:pPr>
              <w:spacing w:after="0"/>
              <w:rPr>
                <w:sz w:val="14"/>
                <w:szCs w:val="14"/>
                <w:color w:val="auto"/>
              </w:rPr>
            </w:pPr>
          </w:p>
        </w:tc>
        <w:tc>
          <w:tcPr>
            <w:tcW w:w="940" w:type="dxa"/>
            <w:vAlign w:val="bottom"/>
            <w:shd w:val="clear" w:color="auto" w:fill="052B82"/>
          </w:tcPr>
          <w:p>
            <w:pPr>
              <w:spacing w:after="0"/>
              <w:rPr>
                <w:sz w:val="14"/>
                <w:szCs w:val="14"/>
                <w:color w:val="auto"/>
              </w:rPr>
            </w:pPr>
          </w:p>
        </w:tc>
        <w:tc>
          <w:tcPr>
            <w:tcW w:w="1060" w:type="dxa"/>
            <w:vAlign w:val="bottom"/>
            <w:shd w:val="clear" w:color="auto" w:fill="052B82"/>
          </w:tcPr>
          <w:p>
            <w:pPr>
              <w:spacing w:after="0"/>
              <w:rPr>
                <w:sz w:val="14"/>
                <w:szCs w:val="14"/>
                <w:color w:val="auto"/>
              </w:rPr>
            </w:pPr>
          </w:p>
        </w:tc>
        <w:tc>
          <w:tcPr>
            <w:tcW w:w="880" w:type="dxa"/>
            <w:vAlign w:val="bottom"/>
            <w:shd w:val="clear" w:color="auto" w:fill="052B82"/>
          </w:tcPr>
          <w:p>
            <w:pPr>
              <w:spacing w:after="0"/>
              <w:rPr>
                <w:sz w:val="14"/>
                <w:szCs w:val="14"/>
                <w:color w:val="auto"/>
              </w:rPr>
            </w:pPr>
          </w:p>
        </w:tc>
        <w:tc>
          <w:tcPr>
            <w:tcW w:w="8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Incentive</w:t>
            </w:r>
          </w:p>
        </w:tc>
        <w:tc>
          <w:tcPr>
            <w:tcW w:w="84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Plan</w:t>
            </w:r>
          </w:p>
        </w:tc>
        <w:tc>
          <w:tcPr>
            <w:tcW w:w="0" w:type="dxa"/>
            <w:vAlign w:val="bottom"/>
          </w:tcPr>
          <w:p>
            <w:pPr>
              <w:spacing w:after="0"/>
              <w:rPr>
                <w:sz w:val="1"/>
                <w:szCs w:val="1"/>
                <w:color w:val="auto"/>
              </w:rPr>
            </w:pPr>
          </w:p>
        </w:tc>
      </w:tr>
      <w:tr>
        <w:trPr>
          <w:trHeight w:val="162"/>
        </w:trPr>
        <w:tc>
          <w:tcPr>
            <w:tcW w:w="2020" w:type="dxa"/>
            <w:vAlign w:val="bottom"/>
            <w:shd w:val="clear" w:color="auto" w:fill="052B82"/>
          </w:tcPr>
          <w:p>
            <w:pPr>
              <w:spacing w:after="0"/>
              <w:rPr>
                <w:sz w:val="14"/>
                <w:szCs w:val="14"/>
                <w:color w:val="auto"/>
              </w:rPr>
            </w:pPr>
          </w:p>
        </w:tc>
        <w:tc>
          <w:tcPr>
            <w:tcW w:w="1140" w:type="dxa"/>
            <w:vAlign w:val="bottom"/>
            <w:shd w:val="clear" w:color="auto" w:fill="052B82"/>
          </w:tcPr>
          <w:p>
            <w:pPr>
              <w:spacing w:after="0"/>
              <w:rPr>
                <w:sz w:val="14"/>
                <w:szCs w:val="14"/>
                <w:color w:val="auto"/>
              </w:rPr>
            </w:pPr>
          </w:p>
        </w:tc>
        <w:tc>
          <w:tcPr>
            <w:tcW w:w="1100" w:type="dxa"/>
            <w:vAlign w:val="bottom"/>
            <w:shd w:val="clear" w:color="auto" w:fill="052B82"/>
          </w:tcPr>
          <w:p>
            <w:pPr>
              <w:spacing w:after="0"/>
              <w:rPr>
                <w:sz w:val="14"/>
                <w:szCs w:val="14"/>
                <w:color w:val="auto"/>
              </w:rPr>
            </w:pPr>
          </w:p>
        </w:tc>
        <w:tc>
          <w:tcPr>
            <w:tcW w:w="1380" w:type="dxa"/>
            <w:vAlign w:val="bottom"/>
            <w:shd w:val="clear" w:color="auto" w:fill="052B82"/>
          </w:tcPr>
          <w:p>
            <w:pPr>
              <w:spacing w:after="0"/>
              <w:rPr>
                <w:sz w:val="14"/>
                <w:szCs w:val="14"/>
                <w:color w:val="auto"/>
              </w:rPr>
            </w:pPr>
          </w:p>
        </w:tc>
        <w:tc>
          <w:tcPr>
            <w:tcW w:w="800" w:type="dxa"/>
            <w:vAlign w:val="bottom"/>
            <w:shd w:val="clear" w:color="auto" w:fill="052B82"/>
          </w:tcPr>
          <w:p>
            <w:pPr>
              <w:spacing w:after="0"/>
              <w:rPr>
                <w:sz w:val="14"/>
                <w:szCs w:val="14"/>
                <w:color w:val="auto"/>
              </w:rPr>
            </w:pPr>
          </w:p>
        </w:tc>
        <w:tc>
          <w:tcPr>
            <w:tcW w:w="940" w:type="dxa"/>
            <w:vAlign w:val="bottom"/>
            <w:shd w:val="clear" w:color="auto" w:fill="052B82"/>
          </w:tcPr>
          <w:p>
            <w:pPr>
              <w:spacing w:after="0"/>
              <w:rPr>
                <w:sz w:val="14"/>
                <w:szCs w:val="14"/>
                <w:color w:val="auto"/>
              </w:rPr>
            </w:pPr>
          </w:p>
        </w:tc>
        <w:tc>
          <w:tcPr>
            <w:tcW w:w="1060" w:type="dxa"/>
            <w:vAlign w:val="bottom"/>
            <w:shd w:val="clear" w:color="auto" w:fill="052B82"/>
          </w:tcPr>
          <w:p>
            <w:pPr>
              <w:spacing w:after="0"/>
              <w:rPr>
                <w:sz w:val="14"/>
                <w:szCs w:val="14"/>
                <w:color w:val="auto"/>
              </w:rPr>
            </w:pPr>
          </w:p>
        </w:tc>
        <w:tc>
          <w:tcPr>
            <w:tcW w:w="880" w:type="dxa"/>
            <w:vAlign w:val="bottom"/>
            <w:shd w:val="clear" w:color="auto" w:fill="052B82"/>
          </w:tcPr>
          <w:p>
            <w:pPr>
              <w:spacing w:after="0"/>
              <w:rPr>
                <w:sz w:val="14"/>
                <w:szCs w:val="14"/>
                <w:color w:val="auto"/>
              </w:rPr>
            </w:pPr>
          </w:p>
        </w:tc>
        <w:tc>
          <w:tcPr>
            <w:tcW w:w="8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Plan</w:t>
            </w:r>
          </w:p>
        </w:tc>
        <w:tc>
          <w:tcPr>
            <w:tcW w:w="84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Awards:</w:t>
            </w:r>
          </w:p>
        </w:tc>
        <w:tc>
          <w:tcPr>
            <w:tcW w:w="0" w:type="dxa"/>
            <w:vAlign w:val="bottom"/>
          </w:tcPr>
          <w:p>
            <w:pPr>
              <w:spacing w:after="0"/>
              <w:rPr>
                <w:sz w:val="1"/>
                <w:szCs w:val="1"/>
                <w:color w:val="auto"/>
              </w:rPr>
            </w:pPr>
          </w:p>
        </w:tc>
      </w:tr>
      <w:tr>
        <w:trPr>
          <w:trHeight w:val="162"/>
        </w:trPr>
        <w:tc>
          <w:tcPr>
            <w:tcW w:w="2020" w:type="dxa"/>
            <w:vAlign w:val="bottom"/>
            <w:shd w:val="clear" w:color="auto" w:fill="052B82"/>
          </w:tcPr>
          <w:p>
            <w:pPr>
              <w:spacing w:after="0"/>
              <w:rPr>
                <w:sz w:val="14"/>
                <w:szCs w:val="14"/>
                <w:color w:val="auto"/>
              </w:rPr>
            </w:pPr>
          </w:p>
        </w:tc>
        <w:tc>
          <w:tcPr>
            <w:tcW w:w="1140" w:type="dxa"/>
            <w:vAlign w:val="bottom"/>
            <w:shd w:val="clear" w:color="auto" w:fill="052B82"/>
          </w:tcPr>
          <w:p>
            <w:pPr>
              <w:spacing w:after="0"/>
              <w:rPr>
                <w:sz w:val="14"/>
                <w:szCs w:val="14"/>
                <w:color w:val="auto"/>
              </w:rPr>
            </w:pPr>
          </w:p>
        </w:tc>
        <w:tc>
          <w:tcPr>
            <w:tcW w:w="1100" w:type="dxa"/>
            <w:vAlign w:val="bottom"/>
            <w:shd w:val="clear" w:color="auto" w:fill="052B82"/>
          </w:tcPr>
          <w:p>
            <w:pPr>
              <w:spacing w:after="0"/>
              <w:rPr>
                <w:sz w:val="14"/>
                <w:szCs w:val="14"/>
                <w:color w:val="auto"/>
              </w:rPr>
            </w:pPr>
          </w:p>
        </w:tc>
        <w:tc>
          <w:tcPr>
            <w:tcW w:w="1380" w:type="dxa"/>
            <w:vAlign w:val="bottom"/>
            <w:shd w:val="clear" w:color="auto" w:fill="052B82"/>
          </w:tcPr>
          <w:p>
            <w:pPr>
              <w:spacing w:after="0"/>
              <w:rPr>
                <w:sz w:val="14"/>
                <w:szCs w:val="14"/>
                <w:color w:val="auto"/>
              </w:rPr>
            </w:pPr>
          </w:p>
        </w:tc>
        <w:tc>
          <w:tcPr>
            <w:tcW w:w="800" w:type="dxa"/>
            <w:vAlign w:val="bottom"/>
            <w:shd w:val="clear" w:color="auto" w:fill="052B82"/>
          </w:tcPr>
          <w:p>
            <w:pPr>
              <w:spacing w:after="0"/>
              <w:rPr>
                <w:sz w:val="14"/>
                <w:szCs w:val="14"/>
                <w:color w:val="auto"/>
              </w:rPr>
            </w:pPr>
          </w:p>
        </w:tc>
        <w:tc>
          <w:tcPr>
            <w:tcW w:w="940" w:type="dxa"/>
            <w:vAlign w:val="bottom"/>
            <w:shd w:val="clear" w:color="auto" w:fill="052B82"/>
          </w:tcPr>
          <w:p>
            <w:pPr>
              <w:spacing w:after="0"/>
              <w:rPr>
                <w:sz w:val="14"/>
                <w:szCs w:val="14"/>
                <w:color w:val="auto"/>
              </w:rPr>
            </w:pPr>
          </w:p>
        </w:tc>
        <w:tc>
          <w:tcPr>
            <w:tcW w:w="1060" w:type="dxa"/>
            <w:vAlign w:val="bottom"/>
            <w:shd w:val="clear" w:color="auto" w:fill="052B82"/>
          </w:tcPr>
          <w:p>
            <w:pPr>
              <w:spacing w:after="0"/>
              <w:rPr>
                <w:sz w:val="14"/>
                <w:szCs w:val="14"/>
                <w:color w:val="auto"/>
              </w:rPr>
            </w:pPr>
          </w:p>
        </w:tc>
        <w:tc>
          <w:tcPr>
            <w:tcW w:w="880" w:type="dxa"/>
            <w:vAlign w:val="bottom"/>
            <w:shd w:val="clear" w:color="auto" w:fill="052B82"/>
          </w:tcPr>
          <w:p>
            <w:pPr>
              <w:spacing w:after="0"/>
              <w:rPr>
                <w:sz w:val="14"/>
                <w:szCs w:val="14"/>
                <w:color w:val="auto"/>
              </w:rPr>
            </w:pPr>
          </w:p>
        </w:tc>
        <w:tc>
          <w:tcPr>
            <w:tcW w:w="8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Awards:</w:t>
            </w:r>
          </w:p>
        </w:tc>
        <w:tc>
          <w:tcPr>
            <w:tcW w:w="84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Market or</w:t>
            </w:r>
          </w:p>
        </w:tc>
        <w:tc>
          <w:tcPr>
            <w:tcW w:w="0" w:type="dxa"/>
            <w:vAlign w:val="bottom"/>
          </w:tcPr>
          <w:p>
            <w:pPr>
              <w:spacing w:after="0"/>
              <w:rPr>
                <w:sz w:val="1"/>
                <w:szCs w:val="1"/>
                <w:color w:val="auto"/>
              </w:rPr>
            </w:pPr>
          </w:p>
        </w:tc>
      </w:tr>
      <w:tr>
        <w:trPr>
          <w:trHeight w:val="162"/>
        </w:trPr>
        <w:tc>
          <w:tcPr>
            <w:tcW w:w="2020" w:type="dxa"/>
            <w:vAlign w:val="bottom"/>
            <w:shd w:val="clear" w:color="auto" w:fill="052B82"/>
          </w:tcPr>
          <w:p>
            <w:pPr>
              <w:spacing w:after="0"/>
              <w:rPr>
                <w:sz w:val="14"/>
                <w:szCs w:val="14"/>
                <w:color w:val="auto"/>
              </w:rPr>
            </w:pPr>
          </w:p>
        </w:tc>
        <w:tc>
          <w:tcPr>
            <w:tcW w:w="1140" w:type="dxa"/>
            <w:vAlign w:val="bottom"/>
            <w:shd w:val="clear" w:color="auto" w:fill="052B82"/>
          </w:tcPr>
          <w:p>
            <w:pPr>
              <w:spacing w:after="0"/>
              <w:rPr>
                <w:sz w:val="14"/>
                <w:szCs w:val="14"/>
                <w:color w:val="auto"/>
              </w:rPr>
            </w:pPr>
          </w:p>
        </w:tc>
        <w:tc>
          <w:tcPr>
            <w:tcW w:w="1100" w:type="dxa"/>
            <w:vAlign w:val="bottom"/>
            <w:shd w:val="clear" w:color="auto" w:fill="052B82"/>
          </w:tcPr>
          <w:p>
            <w:pPr>
              <w:spacing w:after="0"/>
              <w:rPr>
                <w:sz w:val="14"/>
                <w:szCs w:val="14"/>
                <w:color w:val="auto"/>
              </w:rPr>
            </w:pPr>
          </w:p>
        </w:tc>
        <w:tc>
          <w:tcPr>
            <w:tcW w:w="1380" w:type="dxa"/>
            <w:vAlign w:val="bottom"/>
            <w:shd w:val="clear" w:color="auto" w:fill="052B82"/>
          </w:tcPr>
          <w:p>
            <w:pPr>
              <w:spacing w:after="0"/>
              <w:rPr>
                <w:sz w:val="14"/>
                <w:szCs w:val="14"/>
                <w:color w:val="auto"/>
              </w:rPr>
            </w:pPr>
          </w:p>
        </w:tc>
        <w:tc>
          <w:tcPr>
            <w:tcW w:w="800" w:type="dxa"/>
            <w:vAlign w:val="bottom"/>
            <w:shd w:val="clear" w:color="auto" w:fill="052B82"/>
          </w:tcPr>
          <w:p>
            <w:pPr>
              <w:spacing w:after="0"/>
              <w:rPr>
                <w:sz w:val="14"/>
                <w:szCs w:val="14"/>
                <w:color w:val="auto"/>
              </w:rPr>
            </w:pPr>
          </w:p>
        </w:tc>
        <w:tc>
          <w:tcPr>
            <w:tcW w:w="940" w:type="dxa"/>
            <w:vAlign w:val="bottom"/>
            <w:shd w:val="clear" w:color="auto" w:fill="052B82"/>
          </w:tcPr>
          <w:p>
            <w:pPr>
              <w:spacing w:after="0"/>
              <w:rPr>
                <w:sz w:val="14"/>
                <w:szCs w:val="14"/>
                <w:color w:val="auto"/>
              </w:rPr>
            </w:pPr>
          </w:p>
        </w:tc>
        <w:tc>
          <w:tcPr>
            <w:tcW w:w="1060" w:type="dxa"/>
            <w:vAlign w:val="bottom"/>
            <w:shd w:val="clear" w:color="auto" w:fill="052B82"/>
          </w:tcPr>
          <w:p>
            <w:pPr>
              <w:spacing w:after="0"/>
              <w:rPr>
                <w:sz w:val="14"/>
                <w:szCs w:val="14"/>
                <w:color w:val="auto"/>
              </w:rPr>
            </w:pPr>
          </w:p>
        </w:tc>
        <w:tc>
          <w:tcPr>
            <w:tcW w:w="880" w:type="dxa"/>
            <w:vAlign w:val="bottom"/>
            <w:shd w:val="clear" w:color="auto" w:fill="052B82"/>
          </w:tcPr>
          <w:p>
            <w:pPr>
              <w:spacing w:after="0"/>
              <w:rPr>
                <w:sz w:val="14"/>
                <w:szCs w:val="14"/>
                <w:color w:val="auto"/>
              </w:rPr>
            </w:pPr>
          </w:p>
        </w:tc>
        <w:tc>
          <w:tcPr>
            <w:tcW w:w="8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Number</w:t>
            </w:r>
          </w:p>
        </w:tc>
        <w:tc>
          <w:tcPr>
            <w:tcW w:w="84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Payout</w:t>
            </w:r>
          </w:p>
        </w:tc>
        <w:tc>
          <w:tcPr>
            <w:tcW w:w="0" w:type="dxa"/>
            <w:vAlign w:val="bottom"/>
          </w:tcPr>
          <w:p>
            <w:pPr>
              <w:spacing w:after="0"/>
              <w:rPr>
                <w:sz w:val="1"/>
                <w:szCs w:val="1"/>
                <w:color w:val="auto"/>
              </w:rPr>
            </w:pPr>
          </w:p>
        </w:tc>
      </w:tr>
      <w:tr>
        <w:trPr>
          <w:trHeight w:val="162"/>
        </w:trPr>
        <w:tc>
          <w:tcPr>
            <w:tcW w:w="2020" w:type="dxa"/>
            <w:vAlign w:val="bottom"/>
            <w:shd w:val="clear" w:color="auto" w:fill="052B82"/>
          </w:tcPr>
          <w:p>
            <w:pPr>
              <w:spacing w:after="0"/>
              <w:rPr>
                <w:sz w:val="14"/>
                <w:szCs w:val="14"/>
                <w:color w:val="auto"/>
              </w:rPr>
            </w:pPr>
          </w:p>
        </w:tc>
        <w:tc>
          <w:tcPr>
            <w:tcW w:w="1140" w:type="dxa"/>
            <w:vAlign w:val="bottom"/>
            <w:shd w:val="clear" w:color="auto" w:fill="052B82"/>
          </w:tcPr>
          <w:p>
            <w:pPr>
              <w:spacing w:after="0"/>
              <w:rPr>
                <w:sz w:val="14"/>
                <w:szCs w:val="14"/>
                <w:color w:val="auto"/>
              </w:rPr>
            </w:pPr>
          </w:p>
        </w:tc>
        <w:tc>
          <w:tcPr>
            <w:tcW w:w="1100" w:type="dxa"/>
            <w:vAlign w:val="bottom"/>
            <w:shd w:val="clear" w:color="auto" w:fill="052B82"/>
          </w:tcPr>
          <w:p>
            <w:pPr>
              <w:spacing w:after="0"/>
              <w:rPr>
                <w:sz w:val="14"/>
                <w:szCs w:val="14"/>
                <w:color w:val="auto"/>
              </w:rPr>
            </w:pPr>
          </w:p>
        </w:tc>
        <w:tc>
          <w:tcPr>
            <w:tcW w:w="1380" w:type="dxa"/>
            <w:vAlign w:val="bottom"/>
            <w:shd w:val="clear" w:color="auto" w:fill="052B82"/>
          </w:tcPr>
          <w:p>
            <w:pPr>
              <w:spacing w:after="0"/>
              <w:rPr>
                <w:sz w:val="14"/>
                <w:szCs w:val="14"/>
                <w:color w:val="auto"/>
              </w:rPr>
            </w:pPr>
          </w:p>
        </w:tc>
        <w:tc>
          <w:tcPr>
            <w:tcW w:w="800" w:type="dxa"/>
            <w:vAlign w:val="bottom"/>
            <w:shd w:val="clear" w:color="auto" w:fill="052B82"/>
          </w:tcPr>
          <w:p>
            <w:pPr>
              <w:spacing w:after="0"/>
              <w:rPr>
                <w:sz w:val="14"/>
                <w:szCs w:val="14"/>
                <w:color w:val="auto"/>
              </w:rPr>
            </w:pPr>
          </w:p>
        </w:tc>
        <w:tc>
          <w:tcPr>
            <w:tcW w:w="940" w:type="dxa"/>
            <w:vAlign w:val="bottom"/>
            <w:shd w:val="clear" w:color="auto" w:fill="052B82"/>
          </w:tcPr>
          <w:p>
            <w:pPr>
              <w:spacing w:after="0"/>
              <w:rPr>
                <w:sz w:val="14"/>
                <w:szCs w:val="14"/>
                <w:color w:val="auto"/>
              </w:rPr>
            </w:pPr>
          </w:p>
        </w:tc>
        <w:tc>
          <w:tcPr>
            <w:tcW w:w="1060" w:type="dxa"/>
            <w:vAlign w:val="bottom"/>
            <w:shd w:val="clear" w:color="auto" w:fill="052B82"/>
          </w:tcPr>
          <w:p>
            <w:pPr>
              <w:spacing w:after="0"/>
              <w:rPr>
                <w:sz w:val="14"/>
                <w:szCs w:val="14"/>
                <w:color w:val="auto"/>
              </w:rPr>
            </w:pPr>
          </w:p>
        </w:tc>
        <w:tc>
          <w:tcPr>
            <w:tcW w:w="88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Market</w:t>
            </w:r>
          </w:p>
        </w:tc>
        <w:tc>
          <w:tcPr>
            <w:tcW w:w="8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of</w:t>
            </w:r>
          </w:p>
        </w:tc>
        <w:tc>
          <w:tcPr>
            <w:tcW w:w="84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Value of</w:t>
            </w:r>
          </w:p>
        </w:tc>
        <w:tc>
          <w:tcPr>
            <w:tcW w:w="0" w:type="dxa"/>
            <w:vAlign w:val="bottom"/>
          </w:tcPr>
          <w:p>
            <w:pPr>
              <w:spacing w:after="0"/>
              <w:rPr>
                <w:sz w:val="1"/>
                <w:szCs w:val="1"/>
                <w:color w:val="auto"/>
              </w:rPr>
            </w:pPr>
          </w:p>
        </w:tc>
      </w:tr>
      <w:tr>
        <w:trPr>
          <w:trHeight w:val="162"/>
        </w:trPr>
        <w:tc>
          <w:tcPr>
            <w:tcW w:w="2020" w:type="dxa"/>
            <w:vAlign w:val="bottom"/>
            <w:shd w:val="clear" w:color="auto" w:fill="052B82"/>
          </w:tcPr>
          <w:p>
            <w:pPr>
              <w:spacing w:after="0"/>
              <w:rPr>
                <w:sz w:val="14"/>
                <w:szCs w:val="14"/>
                <w:color w:val="auto"/>
              </w:rPr>
            </w:pPr>
          </w:p>
        </w:tc>
        <w:tc>
          <w:tcPr>
            <w:tcW w:w="1140" w:type="dxa"/>
            <w:vAlign w:val="bottom"/>
            <w:shd w:val="clear" w:color="auto" w:fill="052B82"/>
          </w:tcPr>
          <w:p>
            <w:pPr>
              <w:spacing w:after="0"/>
              <w:rPr>
                <w:sz w:val="14"/>
                <w:szCs w:val="14"/>
                <w:color w:val="auto"/>
              </w:rPr>
            </w:pPr>
          </w:p>
        </w:tc>
        <w:tc>
          <w:tcPr>
            <w:tcW w:w="1100" w:type="dxa"/>
            <w:vAlign w:val="bottom"/>
            <w:shd w:val="clear" w:color="auto" w:fill="052B82"/>
          </w:tcPr>
          <w:p>
            <w:pPr>
              <w:spacing w:after="0"/>
              <w:rPr>
                <w:sz w:val="14"/>
                <w:szCs w:val="14"/>
                <w:color w:val="auto"/>
              </w:rPr>
            </w:pPr>
          </w:p>
        </w:tc>
        <w:tc>
          <w:tcPr>
            <w:tcW w:w="1380" w:type="dxa"/>
            <w:vAlign w:val="bottom"/>
            <w:shd w:val="clear" w:color="auto" w:fill="052B82"/>
          </w:tcPr>
          <w:p>
            <w:pPr>
              <w:spacing w:after="0"/>
              <w:rPr>
                <w:sz w:val="14"/>
                <w:szCs w:val="14"/>
                <w:color w:val="auto"/>
              </w:rPr>
            </w:pPr>
          </w:p>
        </w:tc>
        <w:tc>
          <w:tcPr>
            <w:tcW w:w="800" w:type="dxa"/>
            <w:vAlign w:val="bottom"/>
            <w:shd w:val="clear" w:color="auto" w:fill="052B82"/>
          </w:tcPr>
          <w:p>
            <w:pPr>
              <w:spacing w:after="0"/>
              <w:rPr>
                <w:sz w:val="14"/>
                <w:szCs w:val="14"/>
                <w:color w:val="auto"/>
              </w:rPr>
            </w:pPr>
          </w:p>
        </w:tc>
        <w:tc>
          <w:tcPr>
            <w:tcW w:w="940" w:type="dxa"/>
            <w:vAlign w:val="bottom"/>
            <w:shd w:val="clear" w:color="auto" w:fill="052B82"/>
          </w:tcPr>
          <w:p>
            <w:pPr>
              <w:spacing w:after="0"/>
              <w:rPr>
                <w:sz w:val="14"/>
                <w:szCs w:val="14"/>
                <w:color w:val="auto"/>
              </w:rPr>
            </w:pPr>
          </w:p>
        </w:tc>
        <w:tc>
          <w:tcPr>
            <w:tcW w:w="1060" w:type="dxa"/>
            <w:vAlign w:val="bottom"/>
            <w:shd w:val="clear" w:color="auto" w:fill="052B82"/>
          </w:tcPr>
          <w:p>
            <w:pPr>
              <w:spacing w:after="0"/>
              <w:rPr>
                <w:sz w:val="14"/>
                <w:szCs w:val="14"/>
                <w:color w:val="auto"/>
              </w:rPr>
            </w:pPr>
          </w:p>
        </w:tc>
        <w:tc>
          <w:tcPr>
            <w:tcW w:w="88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Value of</w:t>
            </w:r>
          </w:p>
        </w:tc>
        <w:tc>
          <w:tcPr>
            <w:tcW w:w="8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Unearned</w:t>
            </w:r>
          </w:p>
        </w:tc>
        <w:tc>
          <w:tcPr>
            <w:tcW w:w="84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Unearned</w:t>
            </w:r>
          </w:p>
        </w:tc>
        <w:tc>
          <w:tcPr>
            <w:tcW w:w="0" w:type="dxa"/>
            <w:vAlign w:val="bottom"/>
          </w:tcPr>
          <w:p>
            <w:pPr>
              <w:spacing w:after="0"/>
              <w:rPr>
                <w:sz w:val="1"/>
                <w:szCs w:val="1"/>
                <w:color w:val="auto"/>
              </w:rPr>
            </w:pPr>
          </w:p>
        </w:tc>
      </w:tr>
      <w:tr>
        <w:trPr>
          <w:trHeight w:val="162"/>
        </w:trPr>
        <w:tc>
          <w:tcPr>
            <w:tcW w:w="2020" w:type="dxa"/>
            <w:vAlign w:val="bottom"/>
            <w:shd w:val="clear" w:color="auto" w:fill="052B82"/>
          </w:tcPr>
          <w:p>
            <w:pPr>
              <w:spacing w:after="0"/>
              <w:rPr>
                <w:sz w:val="14"/>
                <w:szCs w:val="14"/>
                <w:color w:val="auto"/>
              </w:rPr>
            </w:pPr>
          </w:p>
        </w:tc>
        <w:tc>
          <w:tcPr>
            <w:tcW w:w="1140" w:type="dxa"/>
            <w:vAlign w:val="bottom"/>
            <w:shd w:val="clear" w:color="auto" w:fill="052B82"/>
          </w:tcPr>
          <w:p>
            <w:pPr>
              <w:spacing w:after="0"/>
              <w:rPr>
                <w:sz w:val="14"/>
                <w:szCs w:val="14"/>
                <w:color w:val="auto"/>
              </w:rPr>
            </w:pPr>
          </w:p>
        </w:tc>
        <w:tc>
          <w:tcPr>
            <w:tcW w:w="1100" w:type="dxa"/>
            <w:vAlign w:val="bottom"/>
            <w:shd w:val="clear" w:color="auto" w:fill="052B82"/>
          </w:tcPr>
          <w:p>
            <w:pPr>
              <w:spacing w:after="0"/>
              <w:rPr>
                <w:sz w:val="14"/>
                <w:szCs w:val="14"/>
                <w:color w:val="auto"/>
              </w:rPr>
            </w:pPr>
          </w:p>
        </w:tc>
        <w:tc>
          <w:tcPr>
            <w:tcW w:w="1380" w:type="dxa"/>
            <w:vAlign w:val="bottom"/>
            <w:shd w:val="clear" w:color="auto" w:fill="052B82"/>
          </w:tcPr>
          <w:p>
            <w:pPr>
              <w:spacing w:after="0"/>
              <w:rPr>
                <w:sz w:val="14"/>
                <w:szCs w:val="14"/>
                <w:color w:val="auto"/>
              </w:rPr>
            </w:pPr>
          </w:p>
        </w:tc>
        <w:tc>
          <w:tcPr>
            <w:tcW w:w="800" w:type="dxa"/>
            <w:vAlign w:val="bottom"/>
            <w:shd w:val="clear" w:color="auto" w:fill="052B82"/>
          </w:tcPr>
          <w:p>
            <w:pPr>
              <w:spacing w:after="0"/>
              <w:rPr>
                <w:sz w:val="14"/>
                <w:szCs w:val="14"/>
                <w:color w:val="auto"/>
              </w:rPr>
            </w:pPr>
          </w:p>
        </w:tc>
        <w:tc>
          <w:tcPr>
            <w:tcW w:w="940" w:type="dxa"/>
            <w:vAlign w:val="bottom"/>
            <w:shd w:val="clear" w:color="auto" w:fill="052B82"/>
          </w:tcPr>
          <w:p>
            <w:pPr>
              <w:spacing w:after="0"/>
              <w:rPr>
                <w:sz w:val="14"/>
                <w:szCs w:val="14"/>
                <w:color w:val="auto"/>
              </w:rPr>
            </w:pPr>
          </w:p>
        </w:tc>
        <w:tc>
          <w:tcPr>
            <w:tcW w:w="10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Number of</w:t>
            </w:r>
          </w:p>
        </w:tc>
        <w:tc>
          <w:tcPr>
            <w:tcW w:w="88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Shares</w:t>
            </w:r>
          </w:p>
        </w:tc>
        <w:tc>
          <w:tcPr>
            <w:tcW w:w="860" w:type="dxa"/>
            <w:vAlign w:val="bottom"/>
            <w:shd w:val="clear" w:color="auto" w:fill="052B82"/>
          </w:tcPr>
          <w:p>
            <w:pPr>
              <w:jc w:val="right"/>
              <w:ind w:right="108"/>
              <w:spacing w:after="0"/>
              <w:rPr>
                <w:sz w:val="20"/>
                <w:szCs w:val="20"/>
                <w:color w:val="auto"/>
              </w:rPr>
            </w:pPr>
            <w:r>
              <w:rPr>
                <w:rFonts w:ascii="Arial" w:cs="Arial" w:eastAsia="Arial" w:hAnsi="Arial"/>
                <w:sz w:val="14"/>
                <w:szCs w:val="14"/>
                <w:b w:val="1"/>
                <w:bCs w:val="1"/>
                <w:color w:val="FFFFFF"/>
              </w:rPr>
              <w:t>Shares,</w:t>
            </w:r>
          </w:p>
        </w:tc>
        <w:tc>
          <w:tcPr>
            <w:tcW w:w="840" w:type="dxa"/>
            <w:vAlign w:val="bottom"/>
            <w:shd w:val="clear" w:color="auto" w:fill="052B82"/>
          </w:tcPr>
          <w:p>
            <w:pPr>
              <w:jc w:val="right"/>
              <w:ind w:right="68"/>
              <w:spacing w:after="0"/>
              <w:rPr>
                <w:sz w:val="20"/>
                <w:szCs w:val="20"/>
                <w:color w:val="auto"/>
              </w:rPr>
            </w:pPr>
            <w:r>
              <w:rPr>
                <w:rFonts w:ascii="Arial" w:cs="Arial" w:eastAsia="Arial" w:hAnsi="Arial"/>
                <w:sz w:val="14"/>
                <w:szCs w:val="14"/>
                <w:b w:val="1"/>
                <w:bCs w:val="1"/>
                <w:color w:val="FFFFFF"/>
              </w:rPr>
              <w:t>Shares,</w:t>
            </w:r>
          </w:p>
        </w:tc>
        <w:tc>
          <w:tcPr>
            <w:tcW w:w="0" w:type="dxa"/>
            <w:vAlign w:val="bottom"/>
          </w:tcPr>
          <w:p>
            <w:pPr>
              <w:spacing w:after="0"/>
              <w:rPr>
                <w:sz w:val="1"/>
                <w:szCs w:val="1"/>
                <w:color w:val="auto"/>
              </w:rPr>
            </w:pPr>
          </w:p>
        </w:tc>
      </w:tr>
      <w:tr>
        <w:trPr>
          <w:trHeight w:val="162"/>
        </w:trPr>
        <w:tc>
          <w:tcPr>
            <w:tcW w:w="2020" w:type="dxa"/>
            <w:vAlign w:val="bottom"/>
            <w:shd w:val="clear" w:color="auto" w:fill="052B82"/>
          </w:tcPr>
          <w:p>
            <w:pPr>
              <w:spacing w:after="0"/>
              <w:rPr>
                <w:sz w:val="14"/>
                <w:szCs w:val="14"/>
                <w:color w:val="auto"/>
              </w:rPr>
            </w:pPr>
          </w:p>
        </w:tc>
        <w:tc>
          <w:tcPr>
            <w:tcW w:w="1140" w:type="dxa"/>
            <w:vAlign w:val="bottom"/>
            <w:shd w:val="clear" w:color="auto" w:fill="052B82"/>
          </w:tcPr>
          <w:p>
            <w:pPr>
              <w:spacing w:after="0"/>
              <w:rPr>
                <w:sz w:val="14"/>
                <w:szCs w:val="14"/>
                <w:color w:val="auto"/>
              </w:rPr>
            </w:pPr>
          </w:p>
        </w:tc>
        <w:tc>
          <w:tcPr>
            <w:tcW w:w="1100" w:type="dxa"/>
            <w:vAlign w:val="bottom"/>
            <w:shd w:val="clear" w:color="auto" w:fill="052B82"/>
          </w:tcPr>
          <w:p>
            <w:pPr>
              <w:spacing w:after="0"/>
              <w:rPr>
                <w:sz w:val="14"/>
                <w:szCs w:val="14"/>
                <w:color w:val="auto"/>
              </w:rPr>
            </w:pPr>
          </w:p>
        </w:tc>
        <w:tc>
          <w:tcPr>
            <w:tcW w:w="1380" w:type="dxa"/>
            <w:vAlign w:val="bottom"/>
            <w:shd w:val="clear" w:color="auto" w:fill="052B82"/>
          </w:tcPr>
          <w:p>
            <w:pPr>
              <w:spacing w:after="0"/>
              <w:rPr>
                <w:sz w:val="14"/>
                <w:szCs w:val="14"/>
                <w:color w:val="auto"/>
              </w:rPr>
            </w:pPr>
          </w:p>
        </w:tc>
        <w:tc>
          <w:tcPr>
            <w:tcW w:w="800" w:type="dxa"/>
            <w:vAlign w:val="bottom"/>
            <w:shd w:val="clear" w:color="auto" w:fill="052B82"/>
          </w:tcPr>
          <w:p>
            <w:pPr>
              <w:spacing w:after="0"/>
              <w:rPr>
                <w:sz w:val="14"/>
                <w:szCs w:val="14"/>
                <w:color w:val="auto"/>
              </w:rPr>
            </w:pPr>
          </w:p>
        </w:tc>
        <w:tc>
          <w:tcPr>
            <w:tcW w:w="940" w:type="dxa"/>
            <w:vAlign w:val="bottom"/>
            <w:shd w:val="clear" w:color="auto" w:fill="052B82"/>
          </w:tcPr>
          <w:p>
            <w:pPr>
              <w:spacing w:after="0"/>
              <w:rPr>
                <w:sz w:val="14"/>
                <w:szCs w:val="14"/>
                <w:color w:val="auto"/>
              </w:rPr>
            </w:pPr>
          </w:p>
        </w:tc>
        <w:tc>
          <w:tcPr>
            <w:tcW w:w="10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Shares or</w:t>
            </w:r>
          </w:p>
        </w:tc>
        <w:tc>
          <w:tcPr>
            <w:tcW w:w="88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or Units/</w:t>
            </w:r>
          </w:p>
        </w:tc>
        <w:tc>
          <w:tcPr>
            <w:tcW w:w="8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Units, or</w:t>
            </w:r>
          </w:p>
        </w:tc>
        <w:tc>
          <w:tcPr>
            <w:tcW w:w="840" w:type="dxa"/>
            <w:vAlign w:val="bottom"/>
            <w:shd w:val="clear" w:color="auto" w:fill="052B82"/>
          </w:tcPr>
          <w:p>
            <w:pPr>
              <w:jc w:val="right"/>
              <w:ind w:right="48"/>
              <w:spacing w:after="0"/>
              <w:rPr>
                <w:sz w:val="20"/>
                <w:szCs w:val="20"/>
                <w:color w:val="auto"/>
              </w:rPr>
            </w:pPr>
            <w:r>
              <w:rPr>
                <w:rFonts w:ascii="Arial" w:cs="Arial" w:eastAsia="Arial" w:hAnsi="Arial"/>
                <w:sz w:val="14"/>
                <w:szCs w:val="14"/>
                <w:b w:val="1"/>
                <w:bCs w:val="1"/>
                <w:color w:val="FFFFFF"/>
              </w:rPr>
              <w:t>Units or</w:t>
            </w:r>
          </w:p>
        </w:tc>
        <w:tc>
          <w:tcPr>
            <w:tcW w:w="0" w:type="dxa"/>
            <w:vAlign w:val="bottom"/>
          </w:tcPr>
          <w:p>
            <w:pPr>
              <w:spacing w:after="0"/>
              <w:rPr>
                <w:sz w:val="1"/>
                <w:szCs w:val="1"/>
                <w:color w:val="auto"/>
              </w:rPr>
            </w:pPr>
          </w:p>
        </w:tc>
      </w:tr>
      <w:tr>
        <w:trPr>
          <w:trHeight w:val="162"/>
        </w:trPr>
        <w:tc>
          <w:tcPr>
            <w:tcW w:w="2020" w:type="dxa"/>
            <w:vAlign w:val="bottom"/>
            <w:shd w:val="clear" w:color="auto" w:fill="052B82"/>
          </w:tcPr>
          <w:p>
            <w:pPr>
              <w:spacing w:after="0"/>
              <w:rPr>
                <w:sz w:val="14"/>
                <w:szCs w:val="14"/>
                <w:color w:val="auto"/>
              </w:rPr>
            </w:pPr>
          </w:p>
        </w:tc>
        <w:tc>
          <w:tcPr>
            <w:tcW w:w="1140" w:type="dxa"/>
            <w:vAlign w:val="bottom"/>
            <w:shd w:val="clear" w:color="auto" w:fill="052B82"/>
          </w:tcPr>
          <w:p>
            <w:pPr>
              <w:spacing w:after="0"/>
              <w:rPr>
                <w:sz w:val="14"/>
                <w:szCs w:val="14"/>
                <w:color w:val="auto"/>
              </w:rPr>
            </w:pPr>
          </w:p>
        </w:tc>
        <w:tc>
          <w:tcPr>
            <w:tcW w:w="110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Number of</w:t>
            </w:r>
          </w:p>
        </w:tc>
        <w:tc>
          <w:tcPr>
            <w:tcW w:w="138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Number of</w:t>
            </w:r>
          </w:p>
        </w:tc>
        <w:tc>
          <w:tcPr>
            <w:tcW w:w="800" w:type="dxa"/>
            <w:vAlign w:val="bottom"/>
            <w:shd w:val="clear" w:color="auto" w:fill="052B82"/>
          </w:tcPr>
          <w:p>
            <w:pPr>
              <w:spacing w:after="0"/>
              <w:rPr>
                <w:sz w:val="14"/>
                <w:szCs w:val="14"/>
                <w:color w:val="auto"/>
              </w:rPr>
            </w:pPr>
          </w:p>
        </w:tc>
        <w:tc>
          <w:tcPr>
            <w:tcW w:w="940" w:type="dxa"/>
            <w:vAlign w:val="bottom"/>
            <w:shd w:val="clear" w:color="auto" w:fill="052B82"/>
          </w:tcPr>
          <w:p>
            <w:pPr>
              <w:spacing w:after="0"/>
              <w:rPr>
                <w:sz w:val="14"/>
                <w:szCs w:val="14"/>
                <w:color w:val="auto"/>
              </w:rPr>
            </w:pPr>
          </w:p>
        </w:tc>
        <w:tc>
          <w:tcPr>
            <w:tcW w:w="10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Units/</w:t>
            </w:r>
          </w:p>
        </w:tc>
        <w:tc>
          <w:tcPr>
            <w:tcW w:w="880" w:type="dxa"/>
            <w:vAlign w:val="bottom"/>
            <w:shd w:val="clear" w:color="auto" w:fill="052B82"/>
          </w:tcPr>
          <w:p>
            <w:pPr>
              <w:jc w:val="right"/>
              <w:ind w:right="108"/>
              <w:spacing w:after="0"/>
              <w:rPr>
                <w:sz w:val="20"/>
                <w:szCs w:val="20"/>
                <w:color w:val="auto"/>
              </w:rPr>
            </w:pPr>
            <w:r>
              <w:rPr>
                <w:rFonts w:ascii="Arial" w:cs="Arial" w:eastAsia="Arial" w:hAnsi="Arial"/>
                <w:sz w:val="14"/>
                <w:szCs w:val="14"/>
                <w:b w:val="1"/>
                <w:bCs w:val="1"/>
                <w:color w:val="FFFFFF"/>
              </w:rPr>
              <w:t>Awards</w:t>
            </w:r>
          </w:p>
        </w:tc>
        <w:tc>
          <w:tcPr>
            <w:tcW w:w="8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Other</w:t>
            </w:r>
          </w:p>
        </w:tc>
        <w:tc>
          <w:tcPr>
            <w:tcW w:w="84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Other</w:t>
            </w:r>
          </w:p>
        </w:tc>
        <w:tc>
          <w:tcPr>
            <w:tcW w:w="0" w:type="dxa"/>
            <w:vAlign w:val="bottom"/>
          </w:tcPr>
          <w:p>
            <w:pPr>
              <w:spacing w:after="0"/>
              <w:rPr>
                <w:sz w:val="1"/>
                <w:szCs w:val="1"/>
                <w:color w:val="auto"/>
              </w:rPr>
            </w:pPr>
          </w:p>
        </w:tc>
      </w:tr>
      <w:tr>
        <w:trPr>
          <w:trHeight w:val="162"/>
        </w:trPr>
        <w:tc>
          <w:tcPr>
            <w:tcW w:w="2020" w:type="dxa"/>
            <w:vAlign w:val="bottom"/>
            <w:shd w:val="clear" w:color="auto" w:fill="052B82"/>
          </w:tcPr>
          <w:p>
            <w:pPr>
              <w:spacing w:after="0"/>
              <w:rPr>
                <w:sz w:val="14"/>
                <w:szCs w:val="14"/>
                <w:color w:val="auto"/>
              </w:rPr>
            </w:pPr>
          </w:p>
        </w:tc>
        <w:tc>
          <w:tcPr>
            <w:tcW w:w="1140" w:type="dxa"/>
            <w:vAlign w:val="bottom"/>
            <w:shd w:val="clear" w:color="auto" w:fill="052B82"/>
          </w:tcPr>
          <w:p>
            <w:pPr>
              <w:spacing w:after="0"/>
              <w:rPr>
                <w:sz w:val="14"/>
                <w:szCs w:val="14"/>
                <w:color w:val="auto"/>
              </w:rPr>
            </w:pPr>
          </w:p>
        </w:tc>
        <w:tc>
          <w:tcPr>
            <w:tcW w:w="110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Securities</w:t>
            </w:r>
          </w:p>
        </w:tc>
        <w:tc>
          <w:tcPr>
            <w:tcW w:w="138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Securities</w:t>
            </w:r>
          </w:p>
        </w:tc>
        <w:tc>
          <w:tcPr>
            <w:tcW w:w="800" w:type="dxa"/>
            <w:vAlign w:val="bottom"/>
            <w:shd w:val="clear" w:color="auto" w:fill="052B82"/>
          </w:tcPr>
          <w:p>
            <w:pPr>
              <w:spacing w:after="0"/>
              <w:rPr>
                <w:sz w:val="14"/>
                <w:szCs w:val="14"/>
                <w:color w:val="auto"/>
              </w:rPr>
            </w:pPr>
          </w:p>
        </w:tc>
        <w:tc>
          <w:tcPr>
            <w:tcW w:w="940" w:type="dxa"/>
            <w:vAlign w:val="bottom"/>
            <w:shd w:val="clear" w:color="auto" w:fill="052B82"/>
          </w:tcPr>
          <w:p>
            <w:pPr>
              <w:spacing w:after="0"/>
              <w:rPr>
                <w:sz w:val="14"/>
                <w:szCs w:val="14"/>
                <w:color w:val="auto"/>
              </w:rPr>
            </w:pPr>
          </w:p>
        </w:tc>
        <w:tc>
          <w:tcPr>
            <w:tcW w:w="1060" w:type="dxa"/>
            <w:vAlign w:val="bottom"/>
            <w:shd w:val="clear" w:color="auto" w:fill="052B82"/>
          </w:tcPr>
          <w:p>
            <w:pPr>
              <w:jc w:val="right"/>
              <w:ind w:right="108"/>
              <w:spacing w:after="0"/>
              <w:rPr>
                <w:sz w:val="20"/>
                <w:szCs w:val="20"/>
                <w:color w:val="auto"/>
              </w:rPr>
            </w:pPr>
            <w:r>
              <w:rPr>
                <w:rFonts w:ascii="Arial" w:cs="Arial" w:eastAsia="Arial" w:hAnsi="Arial"/>
                <w:sz w:val="14"/>
                <w:szCs w:val="14"/>
                <w:b w:val="1"/>
                <w:bCs w:val="1"/>
                <w:color w:val="FFFFFF"/>
              </w:rPr>
              <w:t>Awards of</w:t>
            </w:r>
          </w:p>
        </w:tc>
        <w:tc>
          <w:tcPr>
            <w:tcW w:w="88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of Stock</w:t>
            </w:r>
          </w:p>
        </w:tc>
        <w:tc>
          <w:tcPr>
            <w:tcW w:w="8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Rights</w:t>
            </w:r>
          </w:p>
        </w:tc>
        <w:tc>
          <w:tcPr>
            <w:tcW w:w="84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Rights</w:t>
            </w:r>
          </w:p>
        </w:tc>
        <w:tc>
          <w:tcPr>
            <w:tcW w:w="0" w:type="dxa"/>
            <w:vAlign w:val="bottom"/>
          </w:tcPr>
          <w:p>
            <w:pPr>
              <w:spacing w:after="0"/>
              <w:rPr>
                <w:sz w:val="1"/>
                <w:szCs w:val="1"/>
                <w:color w:val="auto"/>
              </w:rPr>
            </w:pPr>
          </w:p>
        </w:tc>
      </w:tr>
      <w:tr>
        <w:trPr>
          <w:trHeight w:val="162"/>
        </w:trPr>
        <w:tc>
          <w:tcPr>
            <w:tcW w:w="2020" w:type="dxa"/>
            <w:vAlign w:val="bottom"/>
            <w:shd w:val="clear" w:color="auto" w:fill="052B82"/>
          </w:tcPr>
          <w:p>
            <w:pPr>
              <w:spacing w:after="0"/>
              <w:rPr>
                <w:sz w:val="14"/>
                <w:szCs w:val="14"/>
                <w:color w:val="auto"/>
              </w:rPr>
            </w:pPr>
          </w:p>
        </w:tc>
        <w:tc>
          <w:tcPr>
            <w:tcW w:w="1140" w:type="dxa"/>
            <w:vAlign w:val="bottom"/>
            <w:shd w:val="clear" w:color="auto" w:fill="052B82"/>
          </w:tcPr>
          <w:p>
            <w:pPr>
              <w:spacing w:after="0"/>
              <w:rPr>
                <w:sz w:val="14"/>
                <w:szCs w:val="14"/>
                <w:color w:val="auto"/>
              </w:rPr>
            </w:pPr>
          </w:p>
        </w:tc>
        <w:tc>
          <w:tcPr>
            <w:tcW w:w="110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Underlying</w:t>
            </w:r>
          </w:p>
        </w:tc>
        <w:tc>
          <w:tcPr>
            <w:tcW w:w="138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Underlying</w:t>
            </w:r>
          </w:p>
        </w:tc>
        <w:tc>
          <w:tcPr>
            <w:tcW w:w="800" w:type="dxa"/>
            <w:vAlign w:val="bottom"/>
            <w:shd w:val="clear" w:color="auto" w:fill="052B82"/>
          </w:tcPr>
          <w:p>
            <w:pPr>
              <w:spacing w:after="0"/>
              <w:rPr>
                <w:sz w:val="14"/>
                <w:szCs w:val="14"/>
                <w:color w:val="auto"/>
              </w:rPr>
            </w:pPr>
          </w:p>
        </w:tc>
        <w:tc>
          <w:tcPr>
            <w:tcW w:w="940" w:type="dxa"/>
            <w:vAlign w:val="bottom"/>
            <w:shd w:val="clear" w:color="auto" w:fill="052B82"/>
          </w:tcPr>
          <w:p>
            <w:pPr>
              <w:spacing w:after="0"/>
              <w:rPr>
                <w:sz w:val="14"/>
                <w:szCs w:val="14"/>
                <w:color w:val="auto"/>
              </w:rPr>
            </w:pPr>
          </w:p>
        </w:tc>
        <w:tc>
          <w:tcPr>
            <w:tcW w:w="10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w w:val="99"/>
              </w:rPr>
              <w:t>Stock</w:t>
            </w:r>
          </w:p>
        </w:tc>
        <w:tc>
          <w:tcPr>
            <w:tcW w:w="88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That</w:t>
            </w:r>
          </w:p>
        </w:tc>
        <w:tc>
          <w:tcPr>
            <w:tcW w:w="8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That</w:t>
            </w:r>
          </w:p>
        </w:tc>
        <w:tc>
          <w:tcPr>
            <w:tcW w:w="84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That</w:t>
            </w:r>
          </w:p>
        </w:tc>
        <w:tc>
          <w:tcPr>
            <w:tcW w:w="0" w:type="dxa"/>
            <w:vAlign w:val="bottom"/>
          </w:tcPr>
          <w:p>
            <w:pPr>
              <w:spacing w:after="0"/>
              <w:rPr>
                <w:sz w:val="1"/>
                <w:szCs w:val="1"/>
                <w:color w:val="auto"/>
              </w:rPr>
            </w:pPr>
          </w:p>
        </w:tc>
      </w:tr>
      <w:tr>
        <w:trPr>
          <w:trHeight w:val="162"/>
        </w:trPr>
        <w:tc>
          <w:tcPr>
            <w:tcW w:w="2020" w:type="dxa"/>
            <w:vAlign w:val="bottom"/>
            <w:shd w:val="clear" w:color="auto" w:fill="052B82"/>
          </w:tcPr>
          <w:p>
            <w:pPr>
              <w:spacing w:after="0"/>
              <w:rPr>
                <w:sz w:val="14"/>
                <w:szCs w:val="14"/>
                <w:color w:val="auto"/>
              </w:rPr>
            </w:pPr>
          </w:p>
        </w:tc>
        <w:tc>
          <w:tcPr>
            <w:tcW w:w="1140" w:type="dxa"/>
            <w:vAlign w:val="bottom"/>
            <w:shd w:val="clear" w:color="auto" w:fill="052B82"/>
          </w:tcPr>
          <w:p>
            <w:pPr>
              <w:spacing w:after="0"/>
              <w:rPr>
                <w:sz w:val="14"/>
                <w:szCs w:val="14"/>
                <w:color w:val="auto"/>
              </w:rPr>
            </w:pPr>
          </w:p>
        </w:tc>
        <w:tc>
          <w:tcPr>
            <w:tcW w:w="110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Unexercised</w:t>
            </w:r>
          </w:p>
        </w:tc>
        <w:tc>
          <w:tcPr>
            <w:tcW w:w="138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Unexercised</w:t>
            </w:r>
          </w:p>
        </w:tc>
        <w:tc>
          <w:tcPr>
            <w:tcW w:w="80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Option</w:t>
            </w:r>
          </w:p>
        </w:tc>
        <w:tc>
          <w:tcPr>
            <w:tcW w:w="94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Option</w:t>
            </w:r>
          </w:p>
        </w:tc>
        <w:tc>
          <w:tcPr>
            <w:tcW w:w="1060" w:type="dxa"/>
            <w:vAlign w:val="bottom"/>
            <w:shd w:val="clear" w:color="auto" w:fill="052B82"/>
          </w:tcPr>
          <w:p>
            <w:pPr>
              <w:jc w:val="right"/>
              <w:ind w:right="108"/>
              <w:spacing w:after="0"/>
              <w:rPr>
                <w:sz w:val="20"/>
                <w:szCs w:val="20"/>
                <w:color w:val="auto"/>
              </w:rPr>
            </w:pPr>
            <w:r>
              <w:rPr>
                <w:rFonts w:ascii="Arial" w:cs="Arial" w:eastAsia="Arial" w:hAnsi="Arial"/>
                <w:sz w:val="14"/>
                <w:szCs w:val="14"/>
                <w:b w:val="1"/>
                <w:bCs w:val="1"/>
                <w:color w:val="FFFFFF"/>
              </w:rPr>
              <w:t>That Have</w:t>
            </w:r>
          </w:p>
        </w:tc>
        <w:tc>
          <w:tcPr>
            <w:tcW w:w="88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Have Not</w:t>
            </w:r>
          </w:p>
        </w:tc>
        <w:tc>
          <w:tcPr>
            <w:tcW w:w="8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Have Not</w:t>
            </w:r>
          </w:p>
        </w:tc>
        <w:tc>
          <w:tcPr>
            <w:tcW w:w="84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Have Not</w:t>
            </w:r>
          </w:p>
        </w:tc>
        <w:tc>
          <w:tcPr>
            <w:tcW w:w="0" w:type="dxa"/>
            <w:vAlign w:val="bottom"/>
          </w:tcPr>
          <w:p>
            <w:pPr>
              <w:spacing w:after="0"/>
              <w:rPr>
                <w:sz w:val="1"/>
                <w:szCs w:val="1"/>
                <w:color w:val="auto"/>
              </w:rPr>
            </w:pPr>
          </w:p>
        </w:tc>
      </w:tr>
      <w:tr>
        <w:trPr>
          <w:trHeight w:val="162"/>
        </w:trPr>
        <w:tc>
          <w:tcPr>
            <w:tcW w:w="2020" w:type="dxa"/>
            <w:vAlign w:val="bottom"/>
            <w:shd w:val="clear" w:color="auto" w:fill="052B82"/>
          </w:tcPr>
          <w:p>
            <w:pPr>
              <w:spacing w:after="0"/>
              <w:rPr>
                <w:sz w:val="14"/>
                <w:szCs w:val="14"/>
                <w:color w:val="auto"/>
              </w:rPr>
            </w:pPr>
          </w:p>
        </w:tc>
        <w:tc>
          <w:tcPr>
            <w:tcW w:w="1140" w:type="dxa"/>
            <w:vAlign w:val="bottom"/>
            <w:shd w:val="clear" w:color="auto" w:fill="052B82"/>
          </w:tcPr>
          <w:p>
            <w:pPr>
              <w:jc w:val="right"/>
              <w:ind w:right="348"/>
              <w:spacing w:after="0"/>
              <w:rPr>
                <w:sz w:val="20"/>
                <w:szCs w:val="20"/>
                <w:color w:val="auto"/>
              </w:rPr>
            </w:pPr>
            <w:r>
              <w:rPr>
                <w:rFonts w:ascii="Arial" w:cs="Arial" w:eastAsia="Arial" w:hAnsi="Arial"/>
                <w:sz w:val="14"/>
                <w:szCs w:val="14"/>
                <w:b w:val="1"/>
                <w:bCs w:val="1"/>
                <w:color w:val="FFFFFF"/>
              </w:rPr>
              <w:t>Grant</w:t>
            </w:r>
          </w:p>
        </w:tc>
        <w:tc>
          <w:tcPr>
            <w:tcW w:w="110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Options (#)</w:t>
            </w:r>
          </w:p>
        </w:tc>
        <w:tc>
          <w:tcPr>
            <w:tcW w:w="138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Options (#)</w:t>
            </w:r>
          </w:p>
        </w:tc>
        <w:tc>
          <w:tcPr>
            <w:tcW w:w="80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Exercise</w:t>
            </w:r>
          </w:p>
        </w:tc>
        <w:tc>
          <w:tcPr>
            <w:tcW w:w="94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Expiration</w:t>
            </w:r>
          </w:p>
        </w:tc>
        <w:tc>
          <w:tcPr>
            <w:tcW w:w="10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Not</w:t>
            </w:r>
          </w:p>
        </w:tc>
        <w:tc>
          <w:tcPr>
            <w:tcW w:w="88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Vested</w:t>
            </w:r>
          </w:p>
        </w:tc>
        <w:tc>
          <w:tcPr>
            <w:tcW w:w="8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Vested</w:t>
            </w:r>
          </w:p>
        </w:tc>
        <w:tc>
          <w:tcPr>
            <w:tcW w:w="84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Vested</w:t>
            </w:r>
          </w:p>
        </w:tc>
        <w:tc>
          <w:tcPr>
            <w:tcW w:w="0" w:type="dxa"/>
            <w:vAlign w:val="bottom"/>
          </w:tcPr>
          <w:p>
            <w:pPr>
              <w:spacing w:after="0"/>
              <w:rPr>
                <w:sz w:val="1"/>
                <w:szCs w:val="1"/>
                <w:color w:val="auto"/>
              </w:rPr>
            </w:pPr>
          </w:p>
        </w:tc>
      </w:tr>
      <w:tr>
        <w:trPr>
          <w:trHeight w:val="189"/>
        </w:trPr>
        <w:tc>
          <w:tcPr>
            <w:tcW w:w="2020" w:type="dxa"/>
            <w:vAlign w:val="bottom"/>
            <w:shd w:val="clear" w:color="auto" w:fill="052B82"/>
          </w:tcPr>
          <w:p>
            <w:pPr>
              <w:ind w:left="20"/>
              <w:spacing w:after="0"/>
              <w:rPr>
                <w:sz w:val="20"/>
                <w:szCs w:val="20"/>
                <w:color w:val="auto"/>
              </w:rPr>
            </w:pPr>
            <w:r>
              <w:rPr>
                <w:rFonts w:ascii="Arial" w:cs="Arial" w:eastAsia="Arial" w:hAnsi="Arial"/>
                <w:sz w:val="14"/>
                <w:szCs w:val="14"/>
                <w:b w:val="1"/>
                <w:bCs w:val="1"/>
                <w:color w:val="FFFFFF"/>
              </w:rPr>
              <w:t>Name</w:t>
            </w:r>
          </w:p>
        </w:tc>
        <w:tc>
          <w:tcPr>
            <w:tcW w:w="1140" w:type="dxa"/>
            <w:vAlign w:val="bottom"/>
            <w:shd w:val="clear" w:color="auto" w:fill="052B82"/>
          </w:tcPr>
          <w:p>
            <w:pPr>
              <w:jc w:val="right"/>
              <w:ind w:right="388"/>
              <w:spacing w:after="0"/>
              <w:rPr>
                <w:sz w:val="20"/>
                <w:szCs w:val="20"/>
                <w:color w:val="auto"/>
              </w:rPr>
            </w:pPr>
            <w:r>
              <w:rPr>
                <w:rFonts w:ascii="Arial" w:cs="Arial" w:eastAsia="Arial" w:hAnsi="Arial"/>
                <w:sz w:val="14"/>
                <w:szCs w:val="14"/>
                <w:b w:val="1"/>
                <w:bCs w:val="1"/>
                <w:color w:val="FFFFFF"/>
              </w:rPr>
              <w:t>Date</w:t>
            </w:r>
          </w:p>
        </w:tc>
        <w:tc>
          <w:tcPr>
            <w:tcW w:w="110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Exercisable</w:t>
            </w:r>
          </w:p>
        </w:tc>
        <w:tc>
          <w:tcPr>
            <w:tcW w:w="138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Unexercisable (1)</w:t>
            </w:r>
          </w:p>
        </w:tc>
        <w:tc>
          <w:tcPr>
            <w:tcW w:w="80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Price ($)</w:t>
            </w:r>
          </w:p>
        </w:tc>
        <w:tc>
          <w:tcPr>
            <w:tcW w:w="94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Date (2)</w:t>
            </w:r>
          </w:p>
        </w:tc>
        <w:tc>
          <w:tcPr>
            <w:tcW w:w="10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Vested (#)(3)</w:t>
            </w:r>
          </w:p>
        </w:tc>
        <w:tc>
          <w:tcPr>
            <w:tcW w:w="88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($)(4)</w:t>
            </w:r>
          </w:p>
        </w:tc>
        <w:tc>
          <w:tcPr>
            <w:tcW w:w="8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w w:val="99"/>
              </w:rPr>
              <w:t>(#)(5)</w:t>
            </w:r>
          </w:p>
        </w:tc>
        <w:tc>
          <w:tcPr>
            <w:tcW w:w="84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($)(4)</w:t>
            </w:r>
          </w:p>
        </w:tc>
        <w:tc>
          <w:tcPr>
            <w:tcW w:w="0" w:type="dxa"/>
            <w:vAlign w:val="bottom"/>
          </w:tcPr>
          <w:p>
            <w:pPr>
              <w:spacing w:after="0"/>
              <w:rPr>
                <w:sz w:val="1"/>
                <w:szCs w:val="1"/>
                <w:color w:val="auto"/>
              </w:rPr>
            </w:pPr>
          </w:p>
        </w:tc>
      </w:tr>
      <w:tr>
        <w:trPr>
          <w:trHeight w:val="189"/>
        </w:trPr>
        <w:tc>
          <w:tcPr>
            <w:tcW w:w="2020" w:type="dxa"/>
            <w:vAlign w:val="bottom"/>
            <w:shd w:val="clear" w:color="auto" w:fill="E8EDF4"/>
          </w:tcPr>
          <w:p>
            <w:pPr>
              <w:ind w:left="20"/>
              <w:spacing w:after="0"/>
              <w:rPr>
                <w:sz w:val="20"/>
                <w:szCs w:val="20"/>
                <w:color w:val="auto"/>
              </w:rPr>
            </w:pPr>
            <w:r>
              <w:rPr>
                <w:rFonts w:ascii="Arial" w:cs="Arial" w:eastAsia="Arial" w:hAnsi="Arial"/>
                <w:sz w:val="14"/>
                <w:szCs w:val="14"/>
                <w:color w:val="auto"/>
              </w:rPr>
              <w:t>Vincent Roche</w:t>
            </w:r>
          </w:p>
        </w:tc>
        <w:tc>
          <w:tcPr>
            <w:tcW w:w="1140" w:type="dxa"/>
            <w:vAlign w:val="bottom"/>
            <w:shd w:val="clear" w:color="auto" w:fill="E8EDF4"/>
          </w:tcPr>
          <w:p>
            <w:pPr>
              <w:jc w:val="right"/>
              <w:ind w:right="168"/>
              <w:spacing w:after="0"/>
              <w:rPr>
                <w:sz w:val="20"/>
                <w:szCs w:val="20"/>
                <w:color w:val="auto"/>
              </w:rPr>
            </w:pPr>
            <w:r>
              <w:rPr>
                <w:rFonts w:ascii="Arial" w:cs="Arial" w:eastAsia="Arial" w:hAnsi="Arial"/>
                <w:sz w:val="14"/>
                <w:szCs w:val="14"/>
                <w:color w:val="auto"/>
              </w:rPr>
              <w:t>3/12/2014</w:t>
            </w:r>
          </w:p>
        </w:tc>
        <w:tc>
          <w:tcPr>
            <w:tcW w:w="110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18,876</w:t>
            </w:r>
          </w:p>
        </w:tc>
        <w:tc>
          <w:tcPr>
            <w:tcW w:w="1380" w:type="dxa"/>
            <w:vAlign w:val="bottom"/>
            <w:shd w:val="clear" w:color="auto" w:fill="E8EDF4"/>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51.73</w:t>
            </w:r>
          </w:p>
        </w:tc>
        <w:tc>
          <w:tcPr>
            <w:tcW w:w="940" w:type="dxa"/>
            <w:vAlign w:val="bottom"/>
            <w:shd w:val="clear" w:color="auto" w:fill="E8EDF4"/>
          </w:tcPr>
          <w:p>
            <w:pPr>
              <w:jc w:val="right"/>
              <w:ind w:right="8"/>
              <w:spacing w:after="0"/>
              <w:rPr>
                <w:sz w:val="20"/>
                <w:szCs w:val="20"/>
                <w:color w:val="auto"/>
              </w:rPr>
            </w:pPr>
            <w:r>
              <w:rPr>
                <w:rFonts w:ascii="Arial" w:cs="Arial" w:eastAsia="Arial" w:hAnsi="Arial"/>
                <w:sz w:val="14"/>
                <w:szCs w:val="14"/>
                <w:color w:val="auto"/>
              </w:rPr>
              <w:t>3/12/2024</w:t>
            </w:r>
          </w:p>
        </w:tc>
        <w:tc>
          <w:tcPr>
            <w:tcW w:w="1060" w:type="dxa"/>
            <w:vAlign w:val="bottom"/>
            <w:shd w:val="clear" w:color="auto" w:fill="E8EDF4"/>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shd w:val="clear" w:color="auto" w:fill="E8EDF4"/>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shd w:val="clear" w:color="auto" w:fill="E8EDF4"/>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shd w:val="clear" w:color="auto" w:fill="E8EDF4"/>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20" w:type="dxa"/>
            <w:vAlign w:val="bottom"/>
          </w:tcPr>
          <w:p>
            <w:pPr>
              <w:spacing w:after="0"/>
              <w:rPr>
                <w:sz w:val="14"/>
                <w:szCs w:val="14"/>
                <w:color w:val="auto"/>
              </w:rPr>
            </w:pPr>
          </w:p>
        </w:tc>
        <w:tc>
          <w:tcPr>
            <w:tcW w:w="1140" w:type="dxa"/>
            <w:vAlign w:val="bottom"/>
          </w:tcPr>
          <w:p>
            <w:pPr>
              <w:jc w:val="right"/>
              <w:ind w:right="168"/>
              <w:spacing w:after="0"/>
              <w:rPr>
                <w:sz w:val="20"/>
                <w:szCs w:val="20"/>
                <w:color w:val="auto"/>
              </w:rPr>
            </w:pPr>
            <w:r>
              <w:rPr>
                <w:rFonts w:ascii="Arial" w:cs="Arial" w:eastAsia="Arial" w:hAnsi="Arial"/>
                <w:sz w:val="14"/>
                <w:szCs w:val="14"/>
                <w:color w:val="auto"/>
              </w:rPr>
              <w:t>3/11/2015</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12,564</w:t>
            </w: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22,954</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57.29</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3/11/2025</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20" w:type="dxa"/>
            <w:vAlign w:val="bottom"/>
            <w:shd w:val="clear" w:color="auto" w:fill="E8EDF4"/>
          </w:tcPr>
          <w:p>
            <w:pPr>
              <w:spacing w:after="0"/>
              <w:rPr>
                <w:sz w:val="14"/>
                <w:szCs w:val="14"/>
                <w:color w:val="auto"/>
              </w:rPr>
            </w:pPr>
          </w:p>
        </w:tc>
        <w:tc>
          <w:tcPr>
            <w:tcW w:w="1140" w:type="dxa"/>
            <w:vAlign w:val="bottom"/>
            <w:shd w:val="clear" w:color="auto" w:fill="E8EDF4"/>
          </w:tcPr>
          <w:p>
            <w:pPr>
              <w:jc w:val="right"/>
              <w:ind w:right="168"/>
              <w:spacing w:after="0"/>
              <w:rPr>
                <w:sz w:val="20"/>
                <w:szCs w:val="20"/>
                <w:color w:val="auto"/>
              </w:rPr>
            </w:pPr>
            <w:r>
              <w:rPr>
                <w:rFonts w:ascii="Arial" w:cs="Arial" w:eastAsia="Arial" w:hAnsi="Arial"/>
                <w:sz w:val="14"/>
                <w:szCs w:val="14"/>
                <w:color w:val="auto"/>
              </w:rPr>
              <w:t>3/9/2016</w:t>
            </w:r>
          </w:p>
        </w:tc>
        <w:tc>
          <w:tcPr>
            <w:tcW w:w="110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53,436</w:t>
            </w:r>
          </w:p>
        </w:tc>
        <w:tc>
          <w:tcPr>
            <w:tcW w:w="138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40,706</w:t>
            </w:r>
          </w:p>
        </w:tc>
        <w:tc>
          <w:tcPr>
            <w:tcW w:w="80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54.93</w:t>
            </w:r>
          </w:p>
        </w:tc>
        <w:tc>
          <w:tcPr>
            <w:tcW w:w="940" w:type="dxa"/>
            <w:vAlign w:val="bottom"/>
            <w:shd w:val="clear" w:color="auto" w:fill="E8EDF4"/>
          </w:tcPr>
          <w:p>
            <w:pPr>
              <w:jc w:val="right"/>
              <w:ind w:right="8"/>
              <w:spacing w:after="0"/>
              <w:rPr>
                <w:sz w:val="20"/>
                <w:szCs w:val="20"/>
                <w:color w:val="auto"/>
              </w:rPr>
            </w:pPr>
            <w:r>
              <w:rPr>
                <w:rFonts w:ascii="Arial" w:cs="Arial" w:eastAsia="Arial" w:hAnsi="Arial"/>
                <w:sz w:val="14"/>
                <w:szCs w:val="14"/>
                <w:color w:val="auto"/>
              </w:rPr>
              <w:t>3/9/2026</w:t>
            </w:r>
          </w:p>
        </w:tc>
        <w:tc>
          <w:tcPr>
            <w:tcW w:w="1060" w:type="dxa"/>
            <w:vAlign w:val="bottom"/>
            <w:shd w:val="clear" w:color="auto" w:fill="E8EDF4"/>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shd w:val="clear" w:color="auto" w:fill="E8EDF4"/>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shd w:val="clear" w:color="auto" w:fill="E8EDF4"/>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shd w:val="clear" w:color="auto" w:fill="E8EDF4"/>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20" w:type="dxa"/>
            <w:vAlign w:val="bottom"/>
          </w:tcPr>
          <w:p>
            <w:pPr>
              <w:spacing w:after="0"/>
              <w:rPr>
                <w:sz w:val="14"/>
                <w:szCs w:val="14"/>
                <w:color w:val="auto"/>
              </w:rPr>
            </w:pPr>
          </w:p>
        </w:tc>
        <w:tc>
          <w:tcPr>
            <w:tcW w:w="1140" w:type="dxa"/>
            <w:vAlign w:val="bottom"/>
          </w:tcPr>
          <w:p>
            <w:pPr>
              <w:jc w:val="right"/>
              <w:ind w:right="168"/>
              <w:spacing w:after="0"/>
              <w:rPr>
                <w:sz w:val="20"/>
                <w:szCs w:val="20"/>
                <w:color w:val="auto"/>
              </w:rPr>
            </w:pPr>
            <w:r>
              <w:rPr>
                <w:rFonts w:ascii="Arial" w:cs="Arial" w:eastAsia="Arial" w:hAnsi="Arial"/>
                <w:sz w:val="14"/>
                <w:szCs w:val="14"/>
                <w:color w:val="auto"/>
              </w:rPr>
              <w:t>3/8/2017</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45,742</w:t>
            </w: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68,614</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83.48</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3/8/2027</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25,026</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2,737,094</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25,026</w:t>
            </w:r>
          </w:p>
        </w:tc>
        <w:tc>
          <w:tcPr>
            <w:tcW w:w="840" w:type="dxa"/>
            <w:vAlign w:val="bottom"/>
          </w:tcPr>
          <w:p>
            <w:pPr>
              <w:jc w:val="right"/>
              <w:spacing w:after="0"/>
              <w:rPr>
                <w:sz w:val="20"/>
                <w:szCs w:val="20"/>
                <w:color w:val="auto"/>
              </w:rPr>
            </w:pPr>
            <w:r>
              <w:rPr>
                <w:rFonts w:ascii="Arial" w:cs="Arial" w:eastAsia="Arial" w:hAnsi="Arial"/>
                <w:sz w:val="14"/>
                <w:szCs w:val="14"/>
                <w:color w:val="auto"/>
              </w:rPr>
              <w:t>2,737,094</w:t>
            </w:r>
          </w:p>
        </w:tc>
        <w:tc>
          <w:tcPr>
            <w:tcW w:w="0" w:type="dxa"/>
            <w:vAlign w:val="bottom"/>
          </w:tcPr>
          <w:p>
            <w:pPr>
              <w:spacing w:after="0"/>
              <w:rPr>
                <w:sz w:val="1"/>
                <w:szCs w:val="1"/>
                <w:color w:val="auto"/>
              </w:rPr>
            </w:pPr>
          </w:p>
        </w:tc>
      </w:tr>
      <w:tr>
        <w:trPr>
          <w:trHeight w:val="162"/>
        </w:trPr>
        <w:tc>
          <w:tcPr>
            <w:tcW w:w="2020" w:type="dxa"/>
            <w:vAlign w:val="bottom"/>
            <w:shd w:val="clear" w:color="auto" w:fill="E8EDF4"/>
          </w:tcPr>
          <w:p>
            <w:pPr>
              <w:spacing w:after="0"/>
              <w:rPr>
                <w:sz w:val="14"/>
                <w:szCs w:val="14"/>
                <w:color w:val="auto"/>
              </w:rPr>
            </w:pPr>
          </w:p>
        </w:tc>
        <w:tc>
          <w:tcPr>
            <w:tcW w:w="1140" w:type="dxa"/>
            <w:vAlign w:val="bottom"/>
            <w:shd w:val="clear" w:color="auto" w:fill="E8EDF4"/>
          </w:tcPr>
          <w:p>
            <w:pPr>
              <w:jc w:val="right"/>
              <w:ind w:right="168"/>
              <w:spacing w:after="0"/>
              <w:rPr>
                <w:sz w:val="20"/>
                <w:szCs w:val="20"/>
                <w:color w:val="auto"/>
              </w:rPr>
            </w:pPr>
            <w:r>
              <w:rPr>
                <w:rFonts w:ascii="Arial" w:cs="Arial" w:eastAsia="Arial" w:hAnsi="Arial"/>
                <w:sz w:val="14"/>
                <w:szCs w:val="14"/>
                <w:color w:val="auto"/>
              </w:rPr>
              <w:t>3/29/2018</w:t>
            </w:r>
          </w:p>
        </w:tc>
        <w:tc>
          <w:tcPr>
            <w:tcW w:w="110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27,665</w:t>
            </w:r>
          </w:p>
        </w:tc>
        <w:tc>
          <w:tcPr>
            <w:tcW w:w="138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82,996</w:t>
            </w:r>
          </w:p>
        </w:tc>
        <w:tc>
          <w:tcPr>
            <w:tcW w:w="80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91.13</w:t>
            </w:r>
          </w:p>
        </w:tc>
        <w:tc>
          <w:tcPr>
            <w:tcW w:w="940" w:type="dxa"/>
            <w:vAlign w:val="bottom"/>
            <w:shd w:val="clear" w:color="auto" w:fill="E8EDF4"/>
          </w:tcPr>
          <w:p>
            <w:pPr>
              <w:jc w:val="right"/>
              <w:ind w:right="8"/>
              <w:spacing w:after="0"/>
              <w:rPr>
                <w:sz w:val="20"/>
                <w:szCs w:val="20"/>
                <w:color w:val="auto"/>
              </w:rPr>
            </w:pPr>
            <w:r>
              <w:rPr>
                <w:rFonts w:ascii="Arial" w:cs="Arial" w:eastAsia="Arial" w:hAnsi="Arial"/>
                <w:sz w:val="14"/>
                <w:szCs w:val="14"/>
                <w:color w:val="auto"/>
              </w:rPr>
              <w:t>3/29/2028</w:t>
            </w:r>
          </w:p>
        </w:tc>
        <w:tc>
          <w:tcPr>
            <w:tcW w:w="106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19,775</w:t>
            </w:r>
          </w:p>
        </w:tc>
        <w:tc>
          <w:tcPr>
            <w:tcW w:w="88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2,162,792</w:t>
            </w:r>
          </w:p>
        </w:tc>
        <w:tc>
          <w:tcPr>
            <w:tcW w:w="86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26,366</w:t>
            </w:r>
          </w:p>
        </w:tc>
        <w:tc>
          <w:tcPr>
            <w:tcW w:w="840" w:type="dxa"/>
            <w:vAlign w:val="bottom"/>
            <w:shd w:val="clear" w:color="auto" w:fill="E8EDF4"/>
          </w:tcPr>
          <w:p>
            <w:pPr>
              <w:jc w:val="right"/>
              <w:spacing w:after="0"/>
              <w:rPr>
                <w:sz w:val="20"/>
                <w:szCs w:val="20"/>
                <w:color w:val="auto"/>
              </w:rPr>
            </w:pPr>
            <w:r>
              <w:rPr>
                <w:rFonts w:ascii="Arial" w:cs="Arial" w:eastAsia="Arial" w:hAnsi="Arial"/>
                <w:sz w:val="14"/>
                <w:szCs w:val="14"/>
                <w:color w:val="auto"/>
              </w:rPr>
              <w:t>2,883,649</w:t>
            </w:r>
          </w:p>
        </w:tc>
        <w:tc>
          <w:tcPr>
            <w:tcW w:w="0" w:type="dxa"/>
            <w:vAlign w:val="bottom"/>
          </w:tcPr>
          <w:p>
            <w:pPr>
              <w:spacing w:after="0"/>
              <w:rPr>
                <w:sz w:val="1"/>
                <w:szCs w:val="1"/>
                <w:color w:val="auto"/>
              </w:rPr>
            </w:pPr>
          </w:p>
        </w:tc>
      </w:tr>
      <w:tr>
        <w:trPr>
          <w:trHeight w:val="162"/>
        </w:trPr>
        <w:tc>
          <w:tcPr>
            <w:tcW w:w="2020" w:type="dxa"/>
            <w:vAlign w:val="bottom"/>
          </w:tcPr>
          <w:p>
            <w:pPr>
              <w:spacing w:after="0"/>
              <w:rPr>
                <w:sz w:val="14"/>
                <w:szCs w:val="14"/>
                <w:color w:val="auto"/>
              </w:rPr>
            </w:pPr>
          </w:p>
        </w:tc>
        <w:tc>
          <w:tcPr>
            <w:tcW w:w="1140" w:type="dxa"/>
            <w:vAlign w:val="bottom"/>
          </w:tcPr>
          <w:p>
            <w:pPr>
              <w:jc w:val="right"/>
              <w:ind w:right="168"/>
              <w:spacing w:after="0"/>
              <w:rPr>
                <w:sz w:val="20"/>
                <w:szCs w:val="20"/>
                <w:color w:val="auto"/>
              </w:rPr>
            </w:pPr>
            <w:r>
              <w:rPr>
                <w:rFonts w:ascii="Arial" w:cs="Arial" w:eastAsia="Arial" w:hAnsi="Arial"/>
                <w:sz w:val="14"/>
                <w:szCs w:val="14"/>
                <w:color w:val="auto"/>
              </w:rPr>
              <w:t>3/13/2019</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100,803</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108.08</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3/13/2029</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22,763</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2,489,589</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37,938</w:t>
            </w:r>
          </w:p>
        </w:tc>
        <w:tc>
          <w:tcPr>
            <w:tcW w:w="840" w:type="dxa"/>
            <w:vAlign w:val="bottom"/>
          </w:tcPr>
          <w:p>
            <w:pPr>
              <w:jc w:val="right"/>
              <w:spacing w:after="0"/>
              <w:rPr>
                <w:sz w:val="20"/>
                <w:szCs w:val="20"/>
                <w:color w:val="auto"/>
              </w:rPr>
            </w:pPr>
            <w:r>
              <w:rPr>
                <w:rFonts w:ascii="Arial" w:cs="Arial" w:eastAsia="Arial" w:hAnsi="Arial"/>
                <w:sz w:val="14"/>
                <w:szCs w:val="14"/>
                <w:color w:val="auto"/>
              </w:rPr>
              <w:t>4,149,279</w:t>
            </w:r>
          </w:p>
        </w:tc>
        <w:tc>
          <w:tcPr>
            <w:tcW w:w="0" w:type="dxa"/>
            <w:vAlign w:val="bottom"/>
          </w:tcPr>
          <w:p>
            <w:pPr>
              <w:spacing w:after="0"/>
              <w:rPr>
                <w:sz w:val="1"/>
                <w:szCs w:val="1"/>
                <w:color w:val="auto"/>
              </w:rPr>
            </w:pPr>
          </w:p>
        </w:tc>
      </w:tr>
      <w:tr>
        <w:trPr>
          <w:trHeight w:val="230"/>
        </w:trPr>
        <w:tc>
          <w:tcPr>
            <w:tcW w:w="2020" w:type="dxa"/>
            <w:vAlign w:val="bottom"/>
            <w:shd w:val="clear" w:color="auto" w:fill="E8EDF4"/>
          </w:tcPr>
          <w:p>
            <w:pPr>
              <w:ind w:left="20"/>
              <w:spacing w:after="0"/>
              <w:rPr>
                <w:sz w:val="20"/>
                <w:szCs w:val="20"/>
                <w:color w:val="auto"/>
              </w:rPr>
            </w:pPr>
            <w:r>
              <w:rPr>
                <w:rFonts w:ascii="Arial" w:cs="Arial" w:eastAsia="Arial" w:hAnsi="Arial"/>
                <w:sz w:val="14"/>
                <w:szCs w:val="14"/>
                <w:color w:val="auto"/>
              </w:rPr>
              <w:t>Prashanth Mahendra-Rajah</w:t>
            </w:r>
          </w:p>
        </w:tc>
        <w:tc>
          <w:tcPr>
            <w:tcW w:w="1140" w:type="dxa"/>
            <w:vAlign w:val="bottom"/>
            <w:shd w:val="clear" w:color="auto" w:fill="E8EDF4"/>
          </w:tcPr>
          <w:p>
            <w:pPr>
              <w:jc w:val="right"/>
              <w:ind w:right="168"/>
              <w:spacing w:after="0"/>
              <w:rPr>
                <w:sz w:val="20"/>
                <w:szCs w:val="20"/>
                <w:color w:val="auto"/>
              </w:rPr>
            </w:pPr>
            <w:r>
              <w:rPr>
                <w:rFonts w:ascii="Arial" w:cs="Arial" w:eastAsia="Arial" w:hAnsi="Arial"/>
                <w:sz w:val="14"/>
                <w:szCs w:val="14"/>
                <w:color w:val="auto"/>
              </w:rPr>
              <w:t>10/16/2017</w:t>
            </w:r>
          </w:p>
        </w:tc>
        <w:tc>
          <w:tcPr>
            <w:tcW w:w="1100" w:type="dxa"/>
            <w:vAlign w:val="bottom"/>
            <w:shd w:val="clear" w:color="auto" w:fill="E8EDF4"/>
          </w:tcPr>
          <w:p>
            <w:pPr>
              <w:jc w:val="right"/>
              <w:ind w:right="108"/>
              <w:spacing w:after="0"/>
              <w:rPr>
                <w:sz w:val="20"/>
                <w:szCs w:val="20"/>
                <w:color w:val="auto"/>
              </w:rPr>
            </w:pPr>
            <w:r>
              <w:rPr>
                <w:rFonts w:ascii="Arial" w:cs="Arial" w:eastAsia="Arial" w:hAnsi="Arial"/>
                <w:sz w:val="14"/>
                <w:szCs w:val="14"/>
                <w:color w:val="auto"/>
              </w:rPr>
              <w:t>—</w:t>
            </w:r>
          </w:p>
        </w:tc>
        <w:tc>
          <w:tcPr>
            <w:tcW w:w="1380" w:type="dxa"/>
            <w:vAlign w:val="bottom"/>
            <w:shd w:val="clear" w:color="auto" w:fill="E8EDF4"/>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shd w:val="clear" w:color="auto" w:fill="E8EDF4"/>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E8EDF4"/>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7,920</w:t>
            </w:r>
          </w:p>
        </w:tc>
        <w:tc>
          <w:tcPr>
            <w:tcW w:w="88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866,210</w:t>
            </w:r>
          </w:p>
        </w:tc>
        <w:tc>
          <w:tcPr>
            <w:tcW w:w="86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20,013</w:t>
            </w:r>
          </w:p>
        </w:tc>
        <w:tc>
          <w:tcPr>
            <w:tcW w:w="840" w:type="dxa"/>
            <w:vAlign w:val="bottom"/>
            <w:shd w:val="clear" w:color="auto" w:fill="E8EDF4"/>
          </w:tcPr>
          <w:p>
            <w:pPr>
              <w:jc w:val="right"/>
              <w:spacing w:after="0"/>
              <w:rPr>
                <w:sz w:val="20"/>
                <w:szCs w:val="20"/>
                <w:color w:val="auto"/>
              </w:rPr>
            </w:pPr>
            <w:r>
              <w:rPr>
                <w:rFonts w:ascii="Arial" w:cs="Arial" w:eastAsia="Arial" w:hAnsi="Arial"/>
                <w:sz w:val="14"/>
                <w:szCs w:val="14"/>
                <w:color w:val="auto"/>
              </w:rPr>
              <w:t>2,188,822</w:t>
            </w:r>
          </w:p>
        </w:tc>
        <w:tc>
          <w:tcPr>
            <w:tcW w:w="0" w:type="dxa"/>
            <w:vAlign w:val="bottom"/>
          </w:tcPr>
          <w:p>
            <w:pPr>
              <w:spacing w:after="0"/>
              <w:rPr>
                <w:sz w:val="1"/>
                <w:szCs w:val="1"/>
                <w:color w:val="auto"/>
              </w:rPr>
            </w:pPr>
          </w:p>
        </w:tc>
      </w:tr>
      <w:tr>
        <w:trPr>
          <w:trHeight w:val="162"/>
        </w:trPr>
        <w:tc>
          <w:tcPr>
            <w:tcW w:w="2020" w:type="dxa"/>
            <w:vAlign w:val="bottom"/>
            <w:shd w:val="clear" w:color="auto" w:fill="E8EDF4"/>
          </w:tcPr>
          <w:p>
            <w:pPr>
              <w:spacing w:after="0"/>
              <w:rPr>
                <w:sz w:val="14"/>
                <w:szCs w:val="14"/>
                <w:color w:val="auto"/>
              </w:rPr>
            </w:pPr>
          </w:p>
        </w:tc>
        <w:tc>
          <w:tcPr>
            <w:tcW w:w="1140" w:type="dxa"/>
            <w:vAlign w:val="bottom"/>
            <w:shd w:val="clear" w:color="auto" w:fill="E8EDF4"/>
          </w:tcPr>
          <w:p>
            <w:pPr>
              <w:jc w:val="right"/>
              <w:ind w:right="168"/>
              <w:spacing w:after="0"/>
              <w:rPr>
                <w:sz w:val="20"/>
                <w:szCs w:val="20"/>
                <w:color w:val="auto"/>
              </w:rPr>
            </w:pPr>
            <w:r>
              <w:rPr>
                <w:rFonts w:ascii="Arial" w:cs="Arial" w:eastAsia="Arial" w:hAnsi="Arial"/>
                <w:sz w:val="14"/>
                <w:szCs w:val="14"/>
                <w:color w:val="auto"/>
              </w:rPr>
              <w:t>3/29/2018</w:t>
            </w:r>
          </w:p>
        </w:tc>
        <w:tc>
          <w:tcPr>
            <w:tcW w:w="110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8,694</w:t>
            </w:r>
          </w:p>
        </w:tc>
        <w:tc>
          <w:tcPr>
            <w:tcW w:w="138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26,085</w:t>
            </w:r>
          </w:p>
        </w:tc>
        <w:tc>
          <w:tcPr>
            <w:tcW w:w="80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91.13</w:t>
            </w:r>
          </w:p>
        </w:tc>
        <w:tc>
          <w:tcPr>
            <w:tcW w:w="940" w:type="dxa"/>
            <w:vAlign w:val="bottom"/>
            <w:shd w:val="clear" w:color="auto" w:fill="E8EDF4"/>
          </w:tcPr>
          <w:p>
            <w:pPr>
              <w:jc w:val="right"/>
              <w:ind w:right="8"/>
              <w:spacing w:after="0"/>
              <w:rPr>
                <w:sz w:val="20"/>
                <w:szCs w:val="20"/>
                <w:color w:val="auto"/>
              </w:rPr>
            </w:pPr>
            <w:r>
              <w:rPr>
                <w:rFonts w:ascii="Arial" w:cs="Arial" w:eastAsia="Arial" w:hAnsi="Arial"/>
                <w:sz w:val="14"/>
                <w:szCs w:val="14"/>
                <w:color w:val="auto"/>
              </w:rPr>
              <w:t>3/29/2028</w:t>
            </w:r>
          </w:p>
        </w:tc>
        <w:tc>
          <w:tcPr>
            <w:tcW w:w="106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6,216</w:t>
            </w:r>
          </w:p>
        </w:tc>
        <w:tc>
          <w:tcPr>
            <w:tcW w:w="88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679,844</w:t>
            </w:r>
          </w:p>
        </w:tc>
        <w:tc>
          <w:tcPr>
            <w:tcW w:w="86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8,287</w:t>
            </w:r>
          </w:p>
        </w:tc>
        <w:tc>
          <w:tcPr>
            <w:tcW w:w="840" w:type="dxa"/>
            <w:vAlign w:val="bottom"/>
            <w:shd w:val="clear" w:color="auto" w:fill="E8EDF4"/>
          </w:tcPr>
          <w:p>
            <w:pPr>
              <w:jc w:val="right"/>
              <w:spacing w:after="0"/>
              <w:rPr>
                <w:sz w:val="20"/>
                <w:szCs w:val="20"/>
                <w:color w:val="auto"/>
              </w:rPr>
            </w:pPr>
            <w:r>
              <w:rPr>
                <w:rFonts w:ascii="Arial" w:cs="Arial" w:eastAsia="Arial" w:hAnsi="Arial"/>
                <w:sz w:val="14"/>
                <w:szCs w:val="14"/>
                <w:color w:val="auto"/>
              </w:rPr>
              <w:t>906,349</w:t>
            </w:r>
          </w:p>
        </w:tc>
        <w:tc>
          <w:tcPr>
            <w:tcW w:w="0" w:type="dxa"/>
            <w:vAlign w:val="bottom"/>
          </w:tcPr>
          <w:p>
            <w:pPr>
              <w:spacing w:after="0"/>
              <w:rPr>
                <w:sz w:val="1"/>
                <w:szCs w:val="1"/>
                <w:color w:val="auto"/>
              </w:rPr>
            </w:pPr>
          </w:p>
        </w:tc>
      </w:tr>
      <w:tr>
        <w:trPr>
          <w:trHeight w:val="162"/>
        </w:trPr>
        <w:tc>
          <w:tcPr>
            <w:tcW w:w="2020" w:type="dxa"/>
            <w:vAlign w:val="bottom"/>
            <w:shd w:val="clear" w:color="auto" w:fill="E8EDF4"/>
          </w:tcPr>
          <w:p>
            <w:pPr>
              <w:spacing w:after="0"/>
              <w:rPr>
                <w:sz w:val="14"/>
                <w:szCs w:val="14"/>
                <w:color w:val="auto"/>
              </w:rPr>
            </w:pPr>
          </w:p>
        </w:tc>
        <w:tc>
          <w:tcPr>
            <w:tcW w:w="1140" w:type="dxa"/>
            <w:vAlign w:val="bottom"/>
            <w:shd w:val="clear" w:color="auto" w:fill="E8EDF4"/>
          </w:tcPr>
          <w:p>
            <w:pPr>
              <w:jc w:val="right"/>
              <w:ind w:right="168"/>
              <w:spacing w:after="0"/>
              <w:rPr>
                <w:sz w:val="20"/>
                <w:szCs w:val="20"/>
                <w:color w:val="auto"/>
              </w:rPr>
            </w:pPr>
            <w:r>
              <w:rPr>
                <w:rFonts w:ascii="Arial" w:cs="Arial" w:eastAsia="Arial" w:hAnsi="Arial"/>
                <w:sz w:val="14"/>
                <w:szCs w:val="14"/>
                <w:color w:val="auto"/>
              </w:rPr>
              <w:t>3/13/2019</w:t>
            </w:r>
          </w:p>
        </w:tc>
        <w:tc>
          <w:tcPr>
            <w:tcW w:w="1100" w:type="dxa"/>
            <w:vAlign w:val="bottom"/>
            <w:shd w:val="clear" w:color="auto" w:fill="E8EDF4"/>
          </w:tcPr>
          <w:p>
            <w:pPr>
              <w:jc w:val="right"/>
              <w:ind w:right="108"/>
              <w:spacing w:after="0"/>
              <w:rPr>
                <w:sz w:val="20"/>
                <w:szCs w:val="20"/>
                <w:color w:val="auto"/>
              </w:rPr>
            </w:pPr>
            <w:r>
              <w:rPr>
                <w:rFonts w:ascii="Arial" w:cs="Arial" w:eastAsia="Arial" w:hAnsi="Arial"/>
                <w:sz w:val="14"/>
                <w:szCs w:val="14"/>
                <w:color w:val="auto"/>
              </w:rPr>
              <w:t>—</w:t>
            </w:r>
          </w:p>
        </w:tc>
        <w:tc>
          <w:tcPr>
            <w:tcW w:w="138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26,513</w:t>
            </w:r>
          </w:p>
        </w:tc>
        <w:tc>
          <w:tcPr>
            <w:tcW w:w="80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108.08</w:t>
            </w:r>
          </w:p>
        </w:tc>
        <w:tc>
          <w:tcPr>
            <w:tcW w:w="940" w:type="dxa"/>
            <w:vAlign w:val="bottom"/>
            <w:shd w:val="clear" w:color="auto" w:fill="E8EDF4"/>
          </w:tcPr>
          <w:p>
            <w:pPr>
              <w:jc w:val="right"/>
              <w:ind w:right="8"/>
              <w:spacing w:after="0"/>
              <w:rPr>
                <w:sz w:val="20"/>
                <w:szCs w:val="20"/>
                <w:color w:val="auto"/>
              </w:rPr>
            </w:pPr>
            <w:r>
              <w:rPr>
                <w:rFonts w:ascii="Arial" w:cs="Arial" w:eastAsia="Arial" w:hAnsi="Arial"/>
                <w:sz w:val="14"/>
                <w:szCs w:val="14"/>
                <w:color w:val="auto"/>
              </w:rPr>
              <w:t>3/13/2029</w:t>
            </w:r>
          </w:p>
        </w:tc>
        <w:tc>
          <w:tcPr>
            <w:tcW w:w="106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5,987</w:t>
            </w:r>
          </w:p>
        </w:tc>
        <w:tc>
          <w:tcPr>
            <w:tcW w:w="88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654,798</w:t>
            </w:r>
          </w:p>
        </w:tc>
        <w:tc>
          <w:tcPr>
            <w:tcW w:w="86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9,978</w:t>
            </w:r>
          </w:p>
        </w:tc>
        <w:tc>
          <w:tcPr>
            <w:tcW w:w="840" w:type="dxa"/>
            <w:vAlign w:val="bottom"/>
            <w:shd w:val="clear" w:color="auto" w:fill="E8EDF4"/>
          </w:tcPr>
          <w:p>
            <w:pPr>
              <w:jc w:val="right"/>
              <w:spacing w:after="0"/>
              <w:rPr>
                <w:sz w:val="20"/>
                <w:szCs w:val="20"/>
                <w:color w:val="auto"/>
              </w:rPr>
            </w:pPr>
            <w:r>
              <w:rPr>
                <w:rFonts w:ascii="Arial" w:cs="Arial" w:eastAsia="Arial" w:hAnsi="Arial"/>
                <w:sz w:val="14"/>
                <w:szCs w:val="14"/>
                <w:color w:val="auto"/>
              </w:rPr>
              <w:t>1,091,294</w:t>
            </w:r>
          </w:p>
        </w:tc>
        <w:tc>
          <w:tcPr>
            <w:tcW w:w="0" w:type="dxa"/>
            <w:vAlign w:val="bottom"/>
          </w:tcPr>
          <w:p>
            <w:pPr>
              <w:spacing w:after="0"/>
              <w:rPr>
                <w:sz w:val="1"/>
                <w:szCs w:val="1"/>
                <w:color w:val="auto"/>
              </w:rPr>
            </w:pPr>
          </w:p>
        </w:tc>
      </w:tr>
      <w:tr>
        <w:trPr>
          <w:trHeight w:val="230"/>
        </w:trPr>
        <w:tc>
          <w:tcPr>
            <w:tcW w:w="2020" w:type="dxa"/>
            <w:vAlign w:val="bottom"/>
          </w:tcPr>
          <w:p>
            <w:pPr>
              <w:ind w:left="20"/>
              <w:spacing w:after="0"/>
              <w:rPr>
                <w:sz w:val="20"/>
                <w:szCs w:val="20"/>
                <w:color w:val="auto"/>
              </w:rPr>
            </w:pPr>
            <w:r>
              <w:rPr>
                <w:rFonts w:ascii="Arial" w:cs="Arial" w:eastAsia="Arial" w:hAnsi="Arial"/>
                <w:sz w:val="14"/>
                <w:szCs w:val="14"/>
                <w:color w:val="auto"/>
              </w:rPr>
              <w:t>Martin Cotter</w:t>
            </w:r>
          </w:p>
        </w:tc>
        <w:tc>
          <w:tcPr>
            <w:tcW w:w="1140" w:type="dxa"/>
            <w:vAlign w:val="bottom"/>
          </w:tcPr>
          <w:p>
            <w:pPr>
              <w:jc w:val="right"/>
              <w:ind w:right="168"/>
              <w:spacing w:after="0"/>
              <w:rPr>
                <w:sz w:val="20"/>
                <w:szCs w:val="20"/>
                <w:color w:val="auto"/>
              </w:rPr>
            </w:pPr>
            <w:r>
              <w:rPr>
                <w:rFonts w:ascii="Arial" w:cs="Arial" w:eastAsia="Arial" w:hAnsi="Arial"/>
                <w:sz w:val="14"/>
                <w:szCs w:val="14"/>
                <w:color w:val="auto"/>
              </w:rPr>
              <w:t>3/15/2013</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17,720</w:t>
            </w:r>
          </w:p>
        </w:tc>
        <w:tc>
          <w:tcPr>
            <w:tcW w:w="13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46.48</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3/12/2023</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20" w:type="dxa"/>
            <w:vAlign w:val="bottom"/>
            <w:shd w:val="clear" w:color="auto" w:fill="E8EDF4"/>
          </w:tcPr>
          <w:p>
            <w:pPr>
              <w:spacing w:after="0"/>
              <w:rPr>
                <w:sz w:val="14"/>
                <w:szCs w:val="14"/>
                <w:color w:val="auto"/>
              </w:rPr>
            </w:pPr>
          </w:p>
        </w:tc>
        <w:tc>
          <w:tcPr>
            <w:tcW w:w="1140" w:type="dxa"/>
            <w:vAlign w:val="bottom"/>
            <w:shd w:val="clear" w:color="auto" w:fill="E8EDF4"/>
          </w:tcPr>
          <w:p>
            <w:pPr>
              <w:jc w:val="right"/>
              <w:ind w:right="168"/>
              <w:spacing w:after="0"/>
              <w:rPr>
                <w:sz w:val="20"/>
                <w:szCs w:val="20"/>
                <w:color w:val="auto"/>
              </w:rPr>
            </w:pPr>
            <w:r>
              <w:rPr>
                <w:rFonts w:ascii="Arial" w:cs="Arial" w:eastAsia="Arial" w:hAnsi="Arial"/>
                <w:sz w:val="14"/>
                <w:szCs w:val="14"/>
                <w:color w:val="auto"/>
              </w:rPr>
              <w:t>3/12/2014</w:t>
            </w:r>
          </w:p>
        </w:tc>
        <w:tc>
          <w:tcPr>
            <w:tcW w:w="110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14,490</w:t>
            </w:r>
          </w:p>
        </w:tc>
        <w:tc>
          <w:tcPr>
            <w:tcW w:w="1380" w:type="dxa"/>
            <w:vAlign w:val="bottom"/>
            <w:shd w:val="clear" w:color="auto" w:fill="E8EDF4"/>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51.73</w:t>
            </w:r>
          </w:p>
        </w:tc>
        <w:tc>
          <w:tcPr>
            <w:tcW w:w="940" w:type="dxa"/>
            <w:vAlign w:val="bottom"/>
            <w:shd w:val="clear" w:color="auto" w:fill="E8EDF4"/>
          </w:tcPr>
          <w:p>
            <w:pPr>
              <w:jc w:val="right"/>
              <w:ind w:right="8"/>
              <w:spacing w:after="0"/>
              <w:rPr>
                <w:sz w:val="20"/>
                <w:szCs w:val="20"/>
                <w:color w:val="auto"/>
              </w:rPr>
            </w:pPr>
            <w:r>
              <w:rPr>
                <w:rFonts w:ascii="Arial" w:cs="Arial" w:eastAsia="Arial" w:hAnsi="Arial"/>
                <w:sz w:val="14"/>
                <w:szCs w:val="14"/>
                <w:color w:val="auto"/>
              </w:rPr>
              <w:t>3/12/2024</w:t>
            </w:r>
          </w:p>
        </w:tc>
        <w:tc>
          <w:tcPr>
            <w:tcW w:w="1060" w:type="dxa"/>
            <w:vAlign w:val="bottom"/>
            <w:shd w:val="clear" w:color="auto" w:fill="E8EDF4"/>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shd w:val="clear" w:color="auto" w:fill="E8EDF4"/>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shd w:val="clear" w:color="auto" w:fill="E8EDF4"/>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shd w:val="clear" w:color="auto" w:fill="E8EDF4"/>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20" w:type="dxa"/>
            <w:vAlign w:val="bottom"/>
          </w:tcPr>
          <w:p>
            <w:pPr>
              <w:spacing w:after="0"/>
              <w:rPr>
                <w:sz w:val="14"/>
                <w:szCs w:val="14"/>
                <w:color w:val="auto"/>
              </w:rPr>
            </w:pPr>
          </w:p>
        </w:tc>
        <w:tc>
          <w:tcPr>
            <w:tcW w:w="1140" w:type="dxa"/>
            <w:vAlign w:val="bottom"/>
          </w:tcPr>
          <w:p>
            <w:pPr>
              <w:jc w:val="right"/>
              <w:ind w:right="168"/>
              <w:spacing w:after="0"/>
              <w:rPr>
                <w:sz w:val="20"/>
                <w:szCs w:val="20"/>
                <w:color w:val="auto"/>
              </w:rPr>
            </w:pPr>
            <w:r>
              <w:rPr>
                <w:rFonts w:ascii="Arial" w:cs="Arial" w:eastAsia="Arial" w:hAnsi="Arial"/>
                <w:sz w:val="14"/>
                <w:szCs w:val="14"/>
                <w:color w:val="auto"/>
              </w:rPr>
              <w:t>3/11/2015</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8,600</w:t>
            </w: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2,150</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57.29</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3/11/2025</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20" w:type="dxa"/>
            <w:vAlign w:val="bottom"/>
            <w:shd w:val="clear" w:color="auto" w:fill="E8EDF4"/>
          </w:tcPr>
          <w:p>
            <w:pPr>
              <w:spacing w:after="0"/>
              <w:rPr>
                <w:sz w:val="14"/>
                <w:szCs w:val="14"/>
                <w:color w:val="auto"/>
              </w:rPr>
            </w:pPr>
          </w:p>
        </w:tc>
        <w:tc>
          <w:tcPr>
            <w:tcW w:w="1140" w:type="dxa"/>
            <w:vAlign w:val="bottom"/>
            <w:shd w:val="clear" w:color="auto" w:fill="E8EDF4"/>
          </w:tcPr>
          <w:p>
            <w:pPr>
              <w:jc w:val="right"/>
              <w:ind w:right="168"/>
              <w:spacing w:after="0"/>
              <w:rPr>
                <w:sz w:val="20"/>
                <w:szCs w:val="20"/>
                <w:color w:val="auto"/>
              </w:rPr>
            </w:pPr>
            <w:r>
              <w:rPr>
                <w:rFonts w:ascii="Arial" w:cs="Arial" w:eastAsia="Arial" w:hAnsi="Arial"/>
                <w:sz w:val="14"/>
                <w:szCs w:val="14"/>
                <w:color w:val="auto"/>
              </w:rPr>
              <w:t>3/9/2016</w:t>
            </w:r>
          </w:p>
        </w:tc>
        <w:tc>
          <w:tcPr>
            <w:tcW w:w="110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5,212</w:t>
            </w:r>
          </w:p>
        </w:tc>
        <w:tc>
          <w:tcPr>
            <w:tcW w:w="138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3,475</w:t>
            </w:r>
          </w:p>
        </w:tc>
        <w:tc>
          <w:tcPr>
            <w:tcW w:w="80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54.93</w:t>
            </w:r>
          </w:p>
        </w:tc>
        <w:tc>
          <w:tcPr>
            <w:tcW w:w="940" w:type="dxa"/>
            <w:vAlign w:val="bottom"/>
            <w:shd w:val="clear" w:color="auto" w:fill="E8EDF4"/>
          </w:tcPr>
          <w:p>
            <w:pPr>
              <w:jc w:val="right"/>
              <w:ind w:right="8"/>
              <w:spacing w:after="0"/>
              <w:rPr>
                <w:sz w:val="20"/>
                <w:szCs w:val="20"/>
                <w:color w:val="auto"/>
              </w:rPr>
            </w:pPr>
            <w:r>
              <w:rPr>
                <w:rFonts w:ascii="Arial" w:cs="Arial" w:eastAsia="Arial" w:hAnsi="Arial"/>
                <w:sz w:val="14"/>
                <w:szCs w:val="14"/>
                <w:color w:val="auto"/>
              </w:rPr>
              <w:t>3/9/2026</w:t>
            </w:r>
          </w:p>
        </w:tc>
        <w:tc>
          <w:tcPr>
            <w:tcW w:w="1060" w:type="dxa"/>
            <w:vAlign w:val="bottom"/>
            <w:shd w:val="clear" w:color="auto" w:fill="E8EDF4"/>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shd w:val="clear" w:color="auto" w:fill="E8EDF4"/>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shd w:val="clear" w:color="auto" w:fill="E8EDF4"/>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shd w:val="clear" w:color="auto" w:fill="E8EDF4"/>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20" w:type="dxa"/>
            <w:vAlign w:val="bottom"/>
          </w:tcPr>
          <w:p>
            <w:pPr>
              <w:spacing w:after="0"/>
              <w:rPr>
                <w:sz w:val="14"/>
                <w:szCs w:val="14"/>
                <w:color w:val="auto"/>
              </w:rPr>
            </w:pPr>
          </w:p>
        </w:tc>
        <w:tc>
          <w:tcPr>
            <w:tcW w:w="1140" w:type="dxa"/>
            <w:vAlign w:val="bottom"/>
          </w:tcPr>
          <w:p>
            <w:pPr>
              <w:jc w:val="right"/>
              <w:ind w:right="168"/>
              <w:spacing w:after="0"/>
              <w:rPr>
                <w:sz w:val="20"/>
                <w:szCs w:val="20"/>
                <w:color w:val="auto"/>
              </w:rPr>
            </w:pPr>
            <w:r>
              <w:rPr>
                <w:rFonts w:ascii="Arial" w:cs="Arial" w:eastAsia="Arial" w:hAnsi="Arial"/>
                <w:sz w:val="14"/>
                <w:szCs w:val="14"/>
                <w:color w:val="auto"/>
              </w:rPr>
              <w:t>10/17/2016</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16,199</w:t>
            </w: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10,800</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61.70</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10/17/2026</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20" w:type="dxa"/>
            <w:vAlign w:val="bottom"/>
            <w:shd w:val="clear" w:color="auto" w:fill="E8EDF4"/>
          </w:tcPr>
          <w:p>
            <w:pPr>
              <w:spacing w:after="0"/>
              <w:rPr>
                <w:sz w:val="14"/>
                <w:szCs w:val="14"/>
                <w:color w:val="auto"/>
              </w:rPr>
            </w:pPr>
          </w:p>
        </w:tc>
        <w:tc>
          <w:tcPr>
            <w:tcW w:w="1140" w:type="dxa"/>
            <w:vAlign w:val="bottom"/>
            <w:shd w:val="clear" w:color="auto" w:fill="E8EDF4"/>
          </w:tcPr>
          <w:p>
            <w:pPr>
              <w:jc w:val="right"/>
              <w:ind w:right="168"/>
              <w:spacing w:after="0"/>
              <w:rPr>
                <w:sz w:val="20"/>
                <w:szCs w:val="20"/>
                <w:color w:val="auto"/>
              </w:rPr>
            </w:pPr>
            <w:r>
              <w:rPr>
                <w:rFonts w:ascii="Arial" w:cs="Arial" w:eastAsia="Arial" w:hAnsi="Arial"/>
                <w:sz w:val="14"/>
                <w:szCs w:val="14"/>
                <w:color w:val="auto"/>
              </w:rPr>
              <w:t>3/8/2017</w:t>
            </w:r>
          </w:p>
        </w:tc>
        <w:tc>
          <w:tcPr>
            <w:tcW w:w="110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7,037</w:t>
            </w:r>
          </w:p>
        </w:tc>
        <w:tc>
          <w:tcPr>
            <w:tcW w:w="138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10,557</w:t>
            </w:r>
          </w:p>
        </w:tc>
        <w:tc>
          <w:tcPr>
            <w:tcW w:w="80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83.48</w:t>
            </w:r>
          </w:p>
        </w:tc>
        <w:tc>
          <w:tcPr>
            <w:tcW w:w="940" w:type="dxa"/>
            <w:vAlign w:val="bottom"/>
            <w:shd w:val="clear" w:color="auto" w:fill="E8EDF4"/>
          </w:tcPr>
          <w:p>
            <w:pPr>
              <w:jc w:val="right"/>
              <w:ind w:right="8"/>
              <w:spacing w:after="0"/>
              <w:rPr>
                <w:sz w:val="20"/>
                <w:szCs w:val="20"/>
                <w:color w:val="auto"/>
              </w:rPr>
            </w:pPr>
            <w:r>
              <w:rPr>
                <w:rFonts w:ascii="Arial" w:cs="Arial" w:eastAsia="Arial" w:hAnsi="Arial"/>
                <w:sz w:val="14"/>
                <w:szCs w:val="14"/>
                <w:color w:val="auto"/>
              </w:rPr>
              <w:t>3/8/2027</w:t>
            </w:r>
          </w:p>
        </w:tc>
        <w:tc>
          <w:tcPr>
            <w:tcW w:w="106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3,851</w:t>
            </w:r>
          </w:p>
        </w:tc>
        <w:tc>
          <w:tcPr>
            <w:tcW w:w="88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421,184</w:t>
            </w:r>
          </w:p>
        </w:tc>
        <w:tc>
          <w:tcPr>
            <w:tcW w:w="86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3,851</w:t>
            </w:r>
          </w:p>
        </w:tc>
        <w:tc>
          <w:tcPr>
            <w:tcW w:w="840" w:type="dxa"/>
            <w:vAlign w:val="bottom"/>
            <w:shd w:val="clear" w:color="auto" w:fill="E8EDF4"/>
          </w:tcPr>
          <w:p>
            <w:pPr>
              <w:jc w:val="right"/>
              <w:spacing w:after="0"/>
              <w:rPr>
                <w:sz w:val="20"/>
                <w:szCs w:val="20"/>
                <w:color w:val="auto"/>
              </w:rPr>
            </w:pPr>
            <w:r>
              <w:rPr>
                <w:rFonts w:ascii="Arial" w:cs="Arial" w:eastAsia="Arial" w:hAnsi="Arial"/>
                <w:sz w:val="14"/>
                <w:szCs w:val="14"/>
                <w:color w:val="auto"/>
              </w:rPr>
              <w:t>421,184</w:t>
            </w:r>
          </w:p>
        </w:tc>
        <w:tc>
          <w:tcPr>
            <w:tcW w:w="0" w:type="dxa"/>
            <w:vAlign w:val="bottom"/>
          </w:tcPr>
          <w:p>
            <w:pPr>
              <w:spacing w:after="0"/>
              <w:rPr>
                <w:sz w:val="1"/>
                <w:szCs w:val="1"/>
                <w:color w:val="auto"/>
              </w:rPr>
            </w:pPr>
          </w:p>
        </w:tc>
      </w:tr>
      <w:tr>
        <w:trPr>
          <w:trHeight w:val="162"/>
        </w:trPr>
        <w:tc>
          <w:tcPr>
            <w:tcW w:w="2020" w:type="dxa"/>
            <w:vAlign w:val="bottom"/>
          </w:tcPr>
          <w:p>
            <w:pPr>
              <w:spacing w:after="0"/>
              <w:rPr>
                <w:sz w:val="14"/>
                <w:szCs w:val="14"/>
                <w:color w:val="auto"/>
              </w:rPr>
            </w:pPr>
          </w:p>
        </w:tc>
        <w:tc>
          <w:tcPr>
            <w:tcW w:w="1140" w:type="dxa"/>
            <w:vAlign w:val="bottom"/>
          </w:tcPr>
          <w:p>
            <w:pPr>
              <w:jc w:val="right"/>
              <w:ind w:right="168"/>
              <w:spacing w:after="0"/>
              <w:rPr>
                <w:sz w:val="20"/>
                <w:szCs w:val="20"/>
                <w:color w:val="auto"/>
              </w:rPr>
            </w:pPr>
            <w:r>
              <w:rPr>
                <w:rFonts w:ascii="Arial" w:cs="Arial" w:eastAsia="Arial" w:hAnsi="Arial"/>
                <w:sz w:val="14"/>
                <w:szCs w:val="14"/>
                <w:color w:val="auto"/>
              </w:rPr>
              <w:t>7/17/2017</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15,218</w:t>
            </w:r>
          </w:p>
        </w:tc>
        <w:tc>
          <w:tcPr>
            <w:tcW w:w="840" w:type="dxa"/>
            <w:vAlign w:val="bottom"/>
          </w:tcPr>
          <w:p>
            <w:pPr>
              <w:jc w:val="right"/>
              <w:spacing w:after="0"/>
              <w:rPr>
                <w:sz w:val="20"/>
                <w:szCs w:val="20"/>
                <w:color w:val="auto"/>
              </w:rPr>
            </w:pPr>
            <w:r>
              <w:rPr>
                <w:rFonts w:ascii="Arial" w:cs="Arial" w:eastAsia="Arial" w:hAnsi="Arial"/>
                <w:sz w:val="14"/>
                <w:szCs w:val="14"/>
                <w:color w:val="auto"/>
              </w:rPr>
              <w:t>1,664,393</w:t>
            </w:r>
          </w:p>
        </w:tc>
        <w:tc>
          <w:tcPr>
            <w:tcW w:w="0" w:type="dxa"/>
            <w:vAlign w:val="bottom"/>
          </w:tcPr>
          <w:p>
            <w:pPr>
              <w:spacing w:after="0"/>
              <w:rPr>
                <w:sz w:val="1"/>
                <w:szCs w:val="1"/>
                <w:color w:val="auto"/>
              </w:rPr>
            </w:pPr>
          </w:p>
        </w:tc>
      </w:tr>
      <w:tr>
        <w:trPr>
          <w:trHeight w:val="162"/>
        </w:trPr>
        <w:tc>
          <w:tcPr>
            <w:tcW w:w="2020" w:type="dxa"/>
            <w:vAlign w:val="bottom"/>
            <w:shd w:val="clear" w:color="auto" w:fill="E8EDF4"/>
          </w:tcPr>
          <w:p>
            <w:pPr>
              <w:spacing w:after="0"/>
              <w:rPr>
                <w:sz w:val="14"/>
                <w:szCs w:val="14"/>
                <w:color w:val="auto"/>
              </w:rPr>
            </w:pPr>
          </w:p>
        </w:tc>
        <w:tc>
          <w:tcPr>
            <w:tcW w:w="1140" w:type="dxa"/>
            <w:vAlign w:val="bottom"/>
            <w:shd w:val="clear" w:color="auto" w:fill="E8EDF4"/>
          </w:tcPr>
          <w:p>
            <w:pPr>
              <w:jc w:val="right"/>
              <w:ind w:right="168"/>
              <w:spacing w:after="0"/>
              <w:rPr>
                <w:sz w:val="20"/>
                <w:szCs w:val="20"/>
                <w:color w:val="auto"/>
              </w:rPr>
            </w:pPr>
            <w:r>
              <w:rPr>
                <w:rFonts w:ascii="Arial" w:cs="Arial" w:eastAsia="Arial" w:hAnsi="Arial"/>
                <w:sz w:val="14"/>
                <w:szCs w:val="14"/>
                <w:color w:val="auto"/>
              </w:rPr>
              <w:t>3/29/2018</w:t>
            </w:r>
          </w:p>
        </w:tc>
        <w:tc>
          <w:tcPr>
            <w:tcW w:w="110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5,138</w:t>
            </w:r>
          </w:p>
        </w:tc>
        <w:tc>
          <w:tcPr>
            <w:tcW w:w="138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15,414</w:t>
            </w:r>
          </w:p>
        </w:tc>
        <w:tc>
          <w:tcPr>
            <w:tcW w:w="80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91.13</w:t>
            </w:r>
          </w:p>
        </w:tc>
        <w:tc>
          <w:tcPr>
            <w:tcW w:w="940" w:type="dxa"/>
            <w:vAlign w:val="bottom"/>
            <w:shd w:val="clear" w:color="auto" w:fill="E8EDF4"/>
          </w:tcPr>
          <w:p>
            <w:pPr>
              <w:jc w:val="right"/>
              <w:ind w:right="8"/>
              <w:spacing w:after="0"/>
              <w:rPr>
                <w:sz w:val="20"/>
                <w:szCs w:val="20"/>
                <w:color w:val="auto"/>
              </w:rPr>
            </w:pPr>
            <w:r>
              <w:rPr>
                <w:rFonts w:ascii="Arial" w:cs="Arial" w:eastAsia="Arial" w:hAnsi="Arial"/>
                <w:sz w:val="14"/>
                <w:szCs w:val="14"/>
                <w:color w:val="auto"/>
              </w:rPr>
              <w:t>3/29/2028</w:t>
            </w:r>
          </w:p>
        </w:tc>
        <w:tc>
          <w:tcPr>
            <w:tcW w:w="106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3,673</w:t>
            </w:r>
          </w:p>
        </w:tc>
        <w:tc>
          <w:tcPr>
            <w:tcW w:w="88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401,716</w:t>
            </w:r>
          </w:p>
        </w:tc>
        <w:tc>
          <w:tcPr>
            <w:tcW w:w="86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4,897</w:t>
            </w:r>
          </w:p>
        </w:tc>
        <w:tc>
          <w:tcPr>
            <w:tcW w:w="840" w:type="dxa"/>
            <w:vAlign w:val="bottom"/>
            <w:shd w:val="clear" w:color="auto" w:fill="E8EDF4"/>
          </w:tcPr>
          <w:p>
            <w:pPr>
              <w:jc w:val="right"/>
              <w:spacing w:after="0"/>
              <w:rPr>
                <w:sz w:val="20"/>
                <w:szCs w:val="20"/>
                <w:color w:val="auto"/>
              </w:rPr>
            </w:pPr>
            <w:r>
              <w:rPr>
                <w:rFonts w:ascii="Arial" w:cs="Arial" w:eastAsia="Arial" w:hAnsi="Arial"/>
                <w:sz w:val="14"/>
                <w:szCs w:val="14"/>
                <w:color w:val="auto"/>
              </w:rPr>
              <w:t>535,585</w:t>
            </w:r>
          </w:p>
        </w:tc>
        <w:tc>
          <w:tcPr>
            <w:tcW w:w="0" w:type="dxa"/>
            <w:vAlign w:val="bottom"/>
          </w:tcPr>
          <w:p>
            <w:pPr>
              <w:spacing w:after="0"/>
              <w:rPr>
                <w:sz w:val="1"/>
                <w:szCs w:val="1"/>
                <w:color w:val="auto"/>
              </w:rPr>
            </w:pPr>
          </w:p>
        </w:tc>
      </w:tr>
      <w:tr>
        <w:trPr>
          <w:trHeight w:val="162"/>
        </w:trPr>
        <w:tc>
          <w:tcPr>
            <w:tcW w:w="2020" w:type="dxa"/>
            <w:vAlign w:val="bottom"/>
          </w:tcPr>
          <w:p>
            <w:pPr>
              <w:spacing w:after="0"/>
              <w:rPr>
                <w:sz w:val="14"/>
                <w:szCs w:val="14"/>
                <w:color w:val="auto"/>
              </w:rPr>
            </w:pPr>
          </w:p>
        </w:tc>
        <w:tc>
          <w:tcPr>
            <w:tcW w:w="1140" w:type="dxa"/>
            <w:vAlign w:val="bottom"/>
          </w:tcPr>
          <w:p>
            <w:pPr>
              <w:jc w:val="right"/>
              <w:ind w:right="168"/>
              <w:spacing w:after="0"/>
              <w:rPr>
                <w:sz w:val="20"/>
                <w:szCs w:val="20"/>
                <w:color w:val="auto"/>
              </w:rPr>
            </w:pPr>
            <w:r>
              <w:rPr>
                <w:rFonts w:ascii="Arial" w:cs="Arial" w:eastAsia="Arial" w:hAnsi="Arial"/>
                <w:sz w:val="14"/>
                <w:szCs w:val="14"/>
                <w:color w:val="auto"/>
              </w:rPr>
              <w:t>9/17/2018</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2,501</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273,534</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20" w:type="dxa"/>
            <w:vAlign w:val="bottom"/>
            <w:shd w:val="clear" w:color="auto" w:fill="E8EDF4"/>
          </w:tcPr>
          <w:p>
            <w:pPr>
              <w:spacing w:after="0"/>
              <w:rPr>
                <w:sz w:val="14"/>
                <w:szCs w:val="14"/>
                <w:color w:val="auto"/>
              </w:rPr>
            </w:pPr>
          </w:p>
        </w:tc>
        <w:tc>
          <w:tcPr>
            <w:tcW w:w="1140" w:type="dxa"/>
            <w:vAlign w:val="bottom"/>
            <w:shd w:val="clear" w:color="auto" w:fill="E8EDF4"/>
          </w:tcPr>
          <w:p>
            <w:pPr>
              <w:jc w:val="right"/>
              <w:ind w:right="168"/>
              <w:spacing w:after="0"/>
              <w:rPr>
                <w:sz w:val="20"/>
                <w:szCs w:val="20"/>
                <w:color w:val="auto"/>
              </w:rPr>
            </w:pPr>
            <w:r>
              <w:rPr>
                <w:rFonts w:ascii="Arial" w:cs="Arial" w:eastAsia="Arial" w:hAnsi="Arial"/>
                <w:sz w:val="14"/>
                <w:szCs w:val="14"/>
                <w:color w:val="auto"/>
              </w:rPr>
              <w:t>3/13/2019</w:t>
            </w:r>
          </w:p>
        </w:tc>
        <w:tc>
          <w:tcPr>
            <w:tcW w:w="1100" w:type="dxa"/>
            <w:vAlign w:val="bottom"/>
            <w:shd w:val="clear" w:color="auto" w:fill="E8EDF4"/>
          </w:tcPr>
          <w:p>
            <w:pPr>
              <w:jc w:val="right"/>
              <w:ind w:right="108"/>
              <w:spacing w:after="0"/>
              <w:rPr>
                <w:sz w:val="20"/>
                <w:szCs w:val="20"/>
                <w:color w:val="auto"/>
              </w:rPr>
            </w:pPr>
            <w:r>
              <w:rPr>
                <w:rFonts w:ascii="Arial" w:cs="Arial" w:eastAsia="Arial" w:hAnsi="Arial"/>
                <w:sz w:val="14"/>
                <w:szCs w:val="14"/>
                <w:color w:val="auto"/>
              </w:rPr>
              <w:t>—</w:t>
            </w:r>
          </w:p>
        </w:tc>
        <w:tc>
          <w:tcPr>
            <w:tcW w:w="138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10,164</w:t>
            </w:r>
          </w:p>
        </w:tc>
        <w:tc>
          <w:tcPr>
            <w:tcW w:w="80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108</w:t>
            </w:r>
          </w:p>
        </w:tc>
        <w:tc>
          <w:tcPr>
            <w:tcW w:w="940" w:type="dxa"/>
            <w:vAlign w:val="bottom"/>
            <w:shd w:val="clear" w:color="auto" w:fill="E8EDF4"/>
          </w:tcPr>
          <w:p>
            <w:pPr>
              <w:jc w:val="right"/>
              <w:ind w:right="8"/>
              <w:spacing w:after="0"/>
              <w:rPr>
                <w:sz w:val="20"/>
                <w:szCs w:val="20"/>
                <w:color w:val="auto"/>
              </w:rPr>
            </w:pPr>
            <w:r>
              <w:rPr>
                <w:rFonts w:ascii="Arial" w:cs="Arial" w:eastAsia="Arial" w:hAnsi="Arial"/>
                <w:sz w:val="14"/>
                <w:szCs w:val="14"/>
                <w:color w:val="auto"/>
              </w:rPr>
              <w:t>3/13/2029</w:t>
            </w:r>
          </w:p>
        </w:tc>
        <w:tc>
          <w:tcPr>
            <w:tcW w:w="106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2,295</w:t>
            </w:r>
          </w:p>
        </w:tc>
        <w:tc>
          <w:tcPr>
            <w:tcW w:w="88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251,004</w:t>
            </w:r>
          </w:p>
        </w:tc>
        <w:tc>
          <w:tcPr>
            <w:tcW w:w="86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3,825</w:t>
            </w:r>
          </w:p>
        </w:tc>
        <w:tc>
          <w:tcPr>
            <w:tcW w:w="840" w:type="dxa"/>
            <w:vAlign w:val="bottom"/>
            <w:shd w:val="clear" w:color="auto" w:fill="E8EDF4"/>
          </w:tcPr>
          <w:p>
            <w:pPr>
              <w:jc w:val="right"/>
              <w:spacing w:after="0"/>
              <w:rPr>
                <w:sz w:val="20"/>
                <w:szCs w:val="20"/>
                <w:color w:val="auto"/>
              </w:rPr>
            </w:pPr>
            <w:r>
              <w:rPr>
                <w:rFonts w:ascii="Arial" w:cs="Arial" w:eastAsia="Arial" w:hAnsi="Arial"/>
                <w:sz w:val="14"/>
                <w:szCs w:val="14"/>
                <w:color w:val="auto"/>
              </w:rPr>
              <w:t>418,340</w:t>
            </w:r>
          </w:p>
        </w:tc>
        <w:tc>
          <w:tcPr>
            <w:tcW w:w="0" w:type="dxa"/>
            <w:vAlign w:val="bottom"/>
          </w:tcPr>
          <w:p>
            <w:pPr>
              <w:spacing w:after="0"/>
              <w:rPr>
                <w:sz w:val="1"/>
                <w:szCs w:val="1"/>
                <w:color w:val="auto"/>
              </w:rPr>
            </w:pPr>
          </w:p>
        </w:tc>
      </w:tr>
      <w:tr>
        <w:trPr>
          <w:trHeight w:val="162"/>
        </w:trPr>
        <w:tc>
          <w:tcPr>
            <w:tcW w:w="2020" w:type="dxa"/>
            <w:vAlign w:val="bottom"/>
          </w:tcPr>
          <w:p>
            <w:pPr>
              <w:spacing w:after="0"/>
              <w:rPr>
                <w:sz w:val="14"/>
                <w:szCs w:val="14"/>
                <w:color w:val="auto"/>
              </w:rPr>
            </w:pPr>
          </w:p>
        </w:tc>
        <w:tc>
          <w:tcPr>
            <w:tcW w:w="1140" w:type="dxa"/>
            <w:vAlign w:val="bottom"/>
          </w:tcPr>
          <w:p>
            <w:pPr>
              <w:jc w:val="right"/>
              <w:ind w:right="168"/>
              <w:spacing w:after="0"/>
              <w:rPr>
                <w:sz w:val="20"/>
                <w:szCs w:val="20"/>
                <w:color w:val="auto"/>
              </w:rPr>
            </w:pPr>
            <w:r>
              <w:rPr>
                <w:rFonts w:ascii="Arial" w:cs="Arial" w:eastAsia="Arial" w:hAnsi="Arial"/>
                <w:sz w:val="14"/>
                <w:szCs w:val="14"/>
                <w:color w:val="auto"/>
              </w:rPr>
              <w:t>6/17/2019</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7,512</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108</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3/13/2029</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1,697</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185,601</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2,828</w:t>
            </w:r>
          </w:p>
        </w:tc>
        <w:tc>
          <w:tcPr>
            <w:tcW w:w="840" w:type="dxa"/>
            <w:vAlign w:val="bottom"/>
          </w:tcPr>
          <w:p>
            <w:pPr>
              <w:jc w:val="right"/>
              <w:spacing w:after="0"/>
              <w:rPr>
                <w:sz w:val="20"/>
                <w:szCs w:val="20"/>
                <w:color w:val="auto"/>
              </w:rPr>
            </w:pPr>
            <w:r>
              <w:rPr>
                <w:rFonts w:ascii="Arial" w:cs="Arial" w:eastAsia="Arial" w:hAnsi="Arial"/>
                <w:sz w:val="14"/>
                <w:szCs w:val="14"/>
                <w:color w:val="auto"/>
              </w:rPr>
              <w:t>309,298</w:t>
            </w:r>
          </w:p>
        </w:tc>
        <w:tc>
          <w:tcPr>
            <w:tcW w:w="0" w:type="dxa"/>
            <w:vAlign w:val="bottom"/>
          </w:tcPr>
          <w:p>
            <w:pPr>
              <w:spacing w:after="0"/>
              <w:rPr>
                <w:sz w:val="1"/>
                <w:szCs w:val="1"/>
                <w:color w:val="auto"/>
              </w:rPr>
            </w:pPr>
          </w:p>
        </w:tc>
      </w:tr>
      <w:tr>
        <w:trPr>
          <w:trHeight w:val="230"/>
        </w:trPr>
        <w:tc>
          <w:tcPr>
            <w:tcW w:w="2020" w:type="dxa"/>
            <w:vAlign w:val="bottom"/>
            <w:shd w:val="clear" w:color="auto" w:fill="E8EDF4"/>
          </w:tcPr>
          <w:p>
            <w:pPr>
              <w:ind w:left="20"/>
              <w:spacing w:after="0"/>
              <w:rPr>
                <w:sz w:val="20"/>
                <w:szCs w:val="20"/>
                <w:color w:val="auto"/>
              </w:rPr>
            </w:pPr>
            <w:r>
              <w:rPr>
                <w:rFonts w:ascii="Arial" w:cs="Arial" w:eastAsia="Arial" w:hAnsi="Arial"/>
                <w:sz w:val="14"/>
                <w:szCs w:val="14"/>
                <w:color w:val="auto"/>
              </w:rPr>
              <w:t>John Hassett</w:t>
            </w:r>
          </w:p>
        </w:tc>
        <w:tc>
          <w:tcPr>
            <w:tcW w:w="1140" w:type="dxa"/>
            <w:vAlign w:val="bottom"/>
            <w:shd w:val="clear" w:color="auto" w:fill="E8EDF4"/>
          </w:tcPr>
          <w:p>
            <w:pPr>
              <w:jc w:val="right"/>
              <w:ind w:right="168"/>
              <w:spacing w:after="0"/>
              <w:rPr>
                <w:sz w:val="20"/>
                <w:szCs w:val="20"/>
                <w:color w:val="auto"/>
              </w:rPr>
            </w:pPr>
            <w:r>
              <w:rPr>
                <w:rFonts w:ascii="Arial" w:cs="Arial" w:eastAsia="Arial" w:hAnsi="Arial"/>
                <w:sz w:val="14"/>
                <w:szCs w:val="14"/>
                <w:color w:val="auto"/>
              </w:rPr>
              <w:t>3/11/2015</w:t>
            </w:r>
          </w:p>
        </w:tc>
        <w:tc>
          <w:tcPr>
            <w:tcW w:w="1100" w:type="dxa"/>
            <w:vAlign w:val="bottom"/>
            <w:shd w:val="clear" w:color="auto" w:fill="E8EDF4"/>
          </w:tcPr>
          <w:p>
            <w:pPr>
              <w:jc w:val="right"/>
              <w:ind w:right="108"/>
              <w:spacing w:after="0"/>
              <w:rPr>
                <w:sz w:val="20"/>
                <w:szCs w:val="20"/>
                <w:color w:val="auto"/>
              </w:rPr>
            </w:pPr>
            <w:r>
              <w:rPr>
                <w:rFonts w:ascii="Arial" w:cs="Arial" w:eastAsia="Arial" w:hAnsi="Arial"/>
                <w:sz w:val="14"/>
                <w:szCs w:val="14"/>
                <w:color w:val="auto"/>
              </w:rPr>
              <w:t>—</w:t>
            </w:r>
          </w:p>
        </w:tc>
        <w:tc>
          <w:tcPr>
            <w:tcW w:w="138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4,386</w:t>
            </w:r>
          </w:p>
        </w:tc>
        <w:tc>
          <w:tcPr>
            <w:tcW w:w="80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57.29</w:t>
            </w:r>
          </w:p>
        </w:tc>
        <w:tc>
          <w:tcPr>
            <w:tcW w:w="940" w:type="dxa"/>
            <w:vAlign w:val="bottom"/>
            <w:shd w:val="clear" w:color="auto" w:fill="E8EDF4"/>
          </w:tcPr>
          <w:p>
            <w:pPr>
              <w:jc w:val="right"/>
              <w:ind w:right="8"/>
              <w:spacing w:after="0"/>
              <w:rPr>
                <w:sz w:val="20"/>
                <w:szCs w:val="20"/>
                <w:color w:val="auto"/>
              </w:rPr>
            </w:pPr>
            <w:r>
              <w:rPr>
                <w:rFonts w:ascii="Arial" w:cs="Arial" w:eastAsia="Arial" w:hAnsi="Arial"/>
                <w:sz w:val="14"/>
                <w:szCs w:val="14"/>
                <w:color w:val="auto"/>
              </w:rPr>
              <w:t>3/11/2025</w:t>
            </w:r>
          </w:p>
        </w:tc>
        <w:tc>
          <w:tcPr>
            <w:tcW w:w="1060" w:type="dxa"/>
            <w:vAlign w:val="bottom"/>
            <w:shd w:val="clear" w:color="auto" w:fill="E8EDF4"/>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shd w:val="clear" w:color="auto" w:fill="E8EDF4"/>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shd w:val="clear" w:color="auto" w:fill="E8EDF4"/>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shd w:val="clear" w:color="auto" w:fill="E8EDF4"/>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20" w:type="dxa"/>
            <w:vAlign w:val="bottom"/>
            <w:shd w:val="clear" w:color="auto" w:fill="E8EDF4"/>
          </w:tcPr>
          <w:p>
            <w:pPr>
              <w:spacing w:after="0"/>
              <w:rPr>
                <w:sz w:val="14"/>
                <w:szCs w:val="14"/>
                <w:color w:val="auto"/>
              </w:rPr>
            </w:pPr>
          </w:p>
        </w:tc>
        <w:tc>
          <w:tcPr>
            <w:tcW w:w="1140" w:type="dxa"/>
            <w:vAlign w:val="bottom"/>
            <w:shd w:val="clear" w:color="auto" w:fill="E8EDF4"/>
          </w:tcPr>
          <w:p>
            <w:pPr>
              <w:jc w:val="right"/>
              <w:ind w:right="168"/>
              <w:spacing w:after="0"/>
              <w:rPr>
                <w:sz w:val="20"/>
                <w:szCs w:val="20"/>
                <w:color w:val="auto"/>
              </w:rPr>
            </w:pPr>
            <w:r>
              <w:rPr>
                <w:rFonts w:ascii="Arial" w:cs="Arial" w:eastAsia="Arial" w:hAnsi="Arial"/>
                <w:sz w:val="14"/>
                <w:szCs w:val="14"/>
                <w:color w:val="auto"/>
              </w:rPr>
              <w:t>3/9/2016</w:t>
            </w:r>
          </w:p>
        </w:tc>
        <w:tc>
          <w:tcPr>
            <w:tcW w:w="110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7,221</w:t>
            </w:r>
          </w:p>
        </w:tc>
        <w:tc>
          <w:tcPr>
            <w:tcW w:w="138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8,148</w:t>
            </w:r>
          </w:p>
        </w:tc>
        <w:tc>
          <w:tcPr>
            <w:tcW w:w="80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54.93</w:t>
            </w:r>
          </w:p>
        </w:tc>
        <w:tc>
          <w:tcPr>
            <w:tcW w:w="940" w:type="dxa"/>
            <w:vAlign w:val="bottom"/>
            <w:shd w:val="clear" w:color="auto" w:fill="E8EDF4"/>
          </w:tcPr>
          <w:p>
            <w:pPr>
              <w:jc w:val="right"/>
              <w:ind w:right="8"/>
              <w:spacing w:after="0"/>
              <w:rPr>
                <w:sz w:val="20"/>
                <w:szCs w:val="20"/>
                <w:color w:val="auto"/>
              </w:rPr>
            </w:pPr>
            <w:r>
              <w:rPr>
                <w:rFonts w:ascii="Arial" w:cs="Arial" w:eastAsia="Arial" w:hAnsi="Arial"/>
                <w:sz w:val="14"/>
                <w:szCs w:val="14"/>
                <w:color w:val="auto"/>
              </w:rPr>
              <w:t>3/9/2026</w:t>
            </w:r>
          </w:p>
        </w:tc>
        <w:tc>
          <w:tcPr>
            <w:tcW w:w="1060" w:type="dxa"/>
            <w:vAlign w:val="bottom"/>
            <w:shd w:val="clear" w:color="auto" w:fill="E8EDF4"/>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shd w:val="clear" w:color="auto" w:fill="E8EDF4"/>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shd w:val="clear" w:color="auto" w:fill="E8EDF4"/>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shd w:val="clear" w:color="auto" w:fill="E8EDF4"/>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20" w:type="dxa"/>
            <w:vAlign w:val="bottom"/>
            <w:shd w:val="clear" w:color="auto" w:fill="E8EDF4"/>
          </w:tcPr>
          <w:p>
            <w:pPr>
              <w:spacing w:after="0"/>
              <w:rPr>
                <w:sz w:val="14"/>
                <w:szCs w:val="14"/>
                <w:color w:val="auto"/>
              </w:rPr>
            </w:pPr>
          </w:p>
        </w:tc>
        <w:tc>
          <w:tcPr>
            <w:tcW w:w="1140" w:type="dxa"/>
            <w:vAlign w:val="bottom"/>
            <w:shd w:val="clear" w:color="auto" w:fill="E8EDF4"/>
          </w:tcPr>
          <w:p>
            <w:pPr>
              <w:jc w:val="right"/>
              <w:ind w:right="168"/>
              <w:spacing w:after="0"/>
              <w:rPr>
                <w:sz w:val="20"/>
                <w:szCs w:val="20"/>
                <w:color w:val="auto"/>
              </w:rPr>
            </w:pPr>
            <w:r>
              <w:rPr>
                <w:rFonts w:ascii="Arial" w:cs="Arial" w:eastAsia="Arial" w:hAnsi="Arial"/>
                <w:sz w:val="14"/>
                <w:szCs w:val="14"/>
                <w:color w:val="auto"/>
              </w:rPr>
              <w:t>3/8/2017</w:t>
            </w:r>
          </w:p>
        </w:tc>
        <w:tc>
          <w:tcPr>
            <w:tcW w:w="110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7,819</w:t>
            </w:r>
          </w:p>
        </w:tc>
        <w:tc>
          <w:tcPr>
            <w:tcW w:w="138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11,729</w:t>
            </w:r>
          </w:p>
        </w:tc>
        <w:tc>
          <w:tcPr>
            <w:tcW w:w="80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83.48</w:t>
            </w:r>
          </w:p>
        </w:tc>
        <w:tc>
          <w:tcPr>
            <w:tcW w:w="940" w:type="dxa"/>
            <w:vAlign w:val="bottom"/>
            <w:shd w:val="clear" w:color="auto" w:fill="E8EDF4"/>
          </w:tcPr>
          <w:p>
            <w:pPr>
              <w:jc w:val="right"/>
              <w:ind w:right="8"/>
              <w:spacing w:after="0"/>
              <w:rPr>
                <w:sz w:val="20"/>
                <w:szCs w:val="20"/>
                <w:color w:val="auto"/>
              </w:rPr>
            </w:pPr>
            <w:r>
              <w:rPr>
                <w:rFonts w:ascii="Arial" w:cs="Arial" w:eastAsia="Arial" w:hAnsi="Arial"/>
                <w:sz w:val="14"/>
                <w:szCs w:val="14"/>
                <w:color w:val="auto"/>
              </w:rPr>
              <w:t>3/8/2027</w:t>
            </w:r>
          </w:p>
        </w:tc>
        <w:tc>
          <w:tcPr>
            <w:tcW w:w="106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4,278</w:t>
            </w:r>
          </w:p>
        </w:tc>
        <w:tc>
          <w:tcPr>
            <w:tcW w:w="88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467,885</w:t>
            </w:r>
          </w:p>
        </w:tc>
        <w:tc>
          <w:tcPr>
            <w:tcW w:w="86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4,278</w:t>
            </w:r>
          </w:p>
        </w:tc>
        <w:tc>
          <w:tcPr>
            <w:tcW w:w="840" w:type="dxa"/>
            <w:vAlign w:val="bottom"/>
            <w:shd w:val="clear" w:color="auto" w:fill="E8EDF4"/>
          </w:tcPr>
          <w:p>
            <w:pPr>
              <w:jc w:val="right"/>
              <w:spacing w:after="0"/>
              <w:rPr>
                <w:sz w:val="20"/>
                <w:szCs w:val="20"/>
                <w:color w:val="auto"/>
              </w:rPr>
            </w:pPr>
            <w:r>
              <w:rPr>
                <w:rFonts w:ascii="Arial" w:cs="Arial" w:eastAsia="Arial" w:hAnsi="Arial"/>
                <w:sz w:val="14"/>
                <w:szCs w:val="14"/>
                <w:color w:val="auto"/>
              </w:rPr>
              <w:t>467,885</w:t>
            </w:r>
          </w:p>
        </w:tc>
        <w:tc>
          <w:tcPr>
            <w:tcW w:w="0" w:type="dxa"/>
            <w:vAlign w:val="bottom"/>
          </w:tcPr>
          <w:p>
            <w:pPr>
              <w:spacing w:after="0"/>
              <w:rPr>
                <w:sz w:val="1"/>
                <w:szCs w:val="1"/>
                <w:color w:val="auto"/>
              </w:rPr>
            </w:pPr>
          </w:p>
        </w:tc>
      </w:tr>
      <w:tr>
        <w:trPr>
          <w:trHeight w:val="162"/>
        </w:trPr>
        <w:tc>
          <w:tcPr>
            <w:tcW w:w="2020" w:type="dxa"/>
            <w:vAlign w:val="bottom"/>
            <w:shd w:val="clear" w:color="auto" w:fill="E8EDF4"/>
          </w:tcPr>
          <w:p>
            <w:pPr>
              <w:spacing w:after="0"/>
              <w:rPr>
                <w:sz w:val="14"/>
                <w:szCs w:val="14"/>
                <w:color w:val="auto"/>
              </w:rPr>
            </w:pPr>
          </w:p>
        </w:tc>
        <w:tc>
          <w:tcPr>
            <w:tcW w:w="1140" w:type="dxa"/>
            <w:vAlign w:val="bottom"/>
            <w:shd w:val="clear" w:color="auto" w:fill="E8EDF4"/>
          </w:tcPr>
          <w:p>
            <w:pPr>
              <w:jc w:val="right"/>
              <w:ind w:right="168"/>
              <w:spacing w:after="0"/>
              <w:rPr>
                <w:sz w:val="20"/>
                <w:szCs w:val="20"/>
                <w:color w:val="auto"/>
              </w:rPr>
            </w:pPr>
            <w:r>
              <w:rPr>
                <w:rFonts w:ascii="Arial" w:cs="Arial" w:eastAsia="Arial" w:hAnsi="Arial"/>
                <w:sz w:val="14"/>
                <w:szCs w:val="14"/>
                <w:color w:val="auto"/>
              </w:rPr>
              <w:t>7/17/2017</w:t>
            </w:r>
          </w:p>
        </w:tc>
        <w:tc>
          <w:tcPr>
            <w:tcW w:w="1100" w:type="dxa"/>
            <w:vAlign w:val="bottom"/>
            <w:shd w:val="clear" w:color="auto" w:fill="E8EDF4"/>
          </w:tcPr>
          <w:p>
            <w:pPr>
              <w:jc w:val="right"/>
              <w:ind w:right="108"/>
              <w:spacing w:after="0"/>
              <w:rPr>
                <w:sz w:val="20"/>
                <w:szCs w:val="20"/>
                <w:color w:val="auto"/>
              </w:rPr>
            </w:pPr>
            <w:r>
              <w:rPr>
                <w:rFonts w:ascii="Arial" w:cs="Arial" w:eastAsia="Arial" w:hAnsi="Arial"/>
                <w:sz w:val="14"/>
                <w:szCs w:val="14"/>
                <w:color w:val="auto"/>
              </w:rPr>
              <w:t>—</w:t>
            </w:r>
          </w:p>
        </w:tc>
        <w:tc>
          <w:tcPr>
            <w:tcW w:w="1380" w:type="dxa"/>
            <w:vAlign w:val="bottom"/>
            <w:shd w:val="clear" w:color="auto" w:fill="E8EDF4"/>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shd w:val="clear" w:color="auto" w:fill="E8EDF4"/>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E8EDF4"/>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shd w:val="clear" w:color="auto" w:fill="E8EDF4"/>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shd w:val="clear" w:color="auto" w:fill="E8EDF4"/>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16,232</w:t>
            </w:r>
          </w:p>
        </w:tc>
        <w:tc>
          <w:tcPr>
            <w:tcW w:w="840" w:type="dxa"/>
            <w:vAlign w:val="bottom"/>
            <w:shd w:val="clear" w:color="auto" w:fill="E8EDF4"/>
          </w:tcPr>
          <w:p>
            <w:pPr>
              <w:jc w:val="right"/>
              <w:spacing w:after="0"/>
              <w:rPr>
                <w:sz w:val="20"/>
                <w:szCs w:val="20"/>
                <w:color w:val="auto"/>
              </w:rPr>
            </w:pPr>
            <w:r>
              <w:rPr>
                <w:rFonts w:ascii="Arial" w:cs="Arial" w:eastAsia="Arial" w:hAnsi="Arial"/>
                <w:sz w:val="14"/>
                <w:szCs w:val="14"/>
                <w:color w:val="auto"/>
              </w:rPr>
              <w:t>1,775,294</w:t>
            </w:r>
          </w:p>
        </w:tc>
        <w:tc>
          <w:tcPr>
            <w:tcW w:w="0" w:type="dxa"/>
            <w:vAlign w:val="bottom"/>
          </w:tcPr>
          <w:p>
            <w:pPr>
              <w:spacing w:after="0"/>
              <w:rPr>
                <w:sz w:val="1"/>
                <w:szCs w:val="1"/>
                <w:color w:val="auto"/>
              </w:rPr>
            </w:pPr>
          </w:p>
        </w:tc>
      </w:tr>
      <w:tr>
        <w:trPr>
          <w:trHeight w:val="162"/>
        </w:trPr>
        <w:tc>
          <w:tcPr>
            <w:tcW w:w="2020" w:type="dxa"/>
            <w:vAlign w:val="bottom"/>
            <w:shd w:val="clear" w:color="auto" w:fill="E8EDF4"/>
          </w:tcPr>
          <w:p>
            <w:pPr>
              <w:spacing w:after="0"/>
              <w:rPr>
                <w:sz w:val="14"/>
                <w:szCs w:val="14"/>
                <w:color w:val="auto"/>
              </w:rPr>
            </w:pPr>
          </w:p>
        </w:tc>
        <w:tc>
          <w:tcPr>
            <w:tcW w:w="1140" w:type="dxa"/>
            <w:vAlign w:val="bottom"/>
            <w:shd w:val="clear" w:color="auto" w:fill="E8EDF4"/>
          </w:tcPr>
          <w:p>
            <w:pPr>
              <w:jc w:val="right"/>
              <w:ind w:right="168"/>
              <w:spacing w:after="0"/>
              <w:rPr>
                <w:sz w:val="20"/>
                <w:szCs w:val="20"/>
                <w:color w:val="auto"/>
              </w:rPr>
            </w:pPr>
            <w:r>
              <w:rPr>
                <w:rFonts w:ascii="Arial" w:cs="Arial" w:eastAsia="Arial" w:hAnsi="Arial"/>
                <w:sz w:val="14"/>
                <w:szCs w:val="14"/>
                <w:color w:val="auto"/>
              </w:rPr>
              <w:t>3/29/2018</w:t>
            </w:r>
          </w:p>
        </w:tc>
        <w:tc>
          <w:tcPr>
            <w:tcW w:w="110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5,138</w:t>
            </w:r>
          </w:p>
        </w:tc>
        <w:tc>
          <w:tcPr>
            <w:tcW w:w="138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15,414</w:t>
            </w:r>
          </w:p>
        </w:tc>
        <w:tc>
          <w:tcPr>
            <w:tcW w:w="80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91.13</w:t>
            </w:r>
          </w:p>
        </w:tc>
        <w:tc>
          <w:tcPr>
            <w:tcW w:w="940" w:type="dxa"/>
            <w:vAlign w:val="bottom"/>
            <w:shd w:val="clear" w:color="auto" w:fill="E8EDF4"/>
          </w:tcPr>
          <w:p>
            <w:pPr>
              <w:jc w:val="right"/>
              <w:ind w:right="8"/>
              <w:spacing w:after="0"/>
              <w:rPr>
                <w:sz w:val="20"/>
                <w:szCs w:val="20"/>
                <w:color w:val="auto"/>
              </w:rPr>
            </w:pPr>
            <w:r>
              <w:rPr>
                <w:rFonts w:ascii="Arial" w:cs="Arial" w:eastAsia="Arial" w:hAnsi="Arial"/>
                <w:sz w:val="14"/>
                <w:szCs w:val="14"/>
                <w:color w:val="auto"/>
              </w:rPr>
              <w:t>3/29/2028</w:t>
            </w:r>
          </w:p>
        </w:tc>
        <w:tc>
          <w:tcPr>
            <w:tcW w:w="106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3,673</w:t>
            </w:r>
          </w:p>
        </w:tc>
        <w:tc>
          <w:tcPr>
            <w:tcW w:w="88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401,716</w:t>
            </w:r>
          </w:p>
        </w:tc>
        <w:tc>
          <w:tcPr>
            <w:tcW w:w="86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4,897</w:t>
            </w:r>
          </w:p>
        </w:tc>
        <w:tc>
          <w:tcPr>
            <w:tcW w:w="840" w:type="dxa"/>
            <w:vAlign w:val="bottom"/>
            <w:shd w:val="clear" w:color="auto" w:fill="E8EDF4"/>
          </w:tcPr>
          <w:p>
            <w:pPr>
              <w:jc w:val="right"/>
              <w:spacing w:after="0"/>
              <w:rPr>
                <w:sz w:val="20"/>
                <w:szCs w:val="20"/>
                <w:color w:val="auto"/>
              </w:rPr>
            </w:pPr>
            <w:r>
              <w:rPr>
                <w:rFonts w:ascii="Arial" w:cs="Arial" w:eastAsia="Arial" w:hAnsi="Arial"/>
                <w:sz w:val="14"/>
                <w:szCs w:val="14"/>
                <w:color w:val="auto"/>
              </w:rPr>
              <w:t>535,585</w:t>
            </w:r>
          </w:p>
        </w:tc>
        <w:tc>
          <w:tcPr>
            <w:tcW w:w="0" w:type="dxa"/>
            <w:vAlign w:val="bottom"/>
          </w:tcPr>
          <w:p>
            <w:pPr>
              <w:spacing w:after="0"/>
              <w:rPr>
                <w:sz w:val="1"/>
                <w:szCs w:val="1"/>
                <w:color w:val="auto"/>
              </w:rPr>
            </w:pPr>
          </w:p>
        </w:tc>
      </w:tr>
      <w:tr>
        <w:trPr>
          <w:trHeight w:val="162"/>
        </w:trPr>
        <w:tc>
          <w:tcPr>
            <w:tcW w:w="2020" w:type="dxa"/>
            <w:vAlign w:val="bottom"/>
            <w:shd w:val="clear" w:color="auto" w:fill="E8EDF4"/>
          </w:tcPr>
          <w:p>
            <w:pPr>
              <w:spacing w:after="0"/>
              <w:rPr>
                <w:sz w:val="14"/>
                <w:szCs w:val="14"/>
                <w:color w:val="auto"/>
              </w:rPr>
            </w:pPr>
          </w:p>
        </w:tc>
        <w:tc>
          <w:tcPr>
            <w:tcW w:w="1140" w:type="dxa"/>
            <w:vAlign w:val="bottom"/>
            <w:shd w:val="clear" w:color="auto" w:fill="E8EDF4"/>
          </w:tcPr>
          <w:p>
            <w:pPr>
              <w:jc w:val="right"/>
              <w:ind w:right="168"/>
              <w:spacing w:after="0"/>
              <w:rPr>
                <w:sz w:val="20"/>
                <w:szCs w:val="20"/>
                <w:color w:val="auto"/>
              </w:rPr>
            </w:pPr>
            <w:r>
              <w:rPr>
                <w:rFonts w:ascii="Arial" w:cs="Arial" w:eastAsia="Arial" w:hAnsi="Arial"/>
                <w:sz w:val="14"/>
                <w:szCs w:val="14"/>
                <w:color w:val="auto"/>
              </w:rPr>
              <w:t>9/17/2018</w:t>
            </w:r>
          </w:p>
        </w:tc>
        <w:tc>
          <w:tcPr>
            <w:tcW w:w="1100" w:type="dxa"/>
            <w:vAlign w:val="bottom"/>
            <w:shd w:val="clear" w:color="auto" w:fill="E8EDF4"/>
          </w:tcPr>
          <w:p>
            <w:pPr>
              <w:jc w:val="right"/>
              <w:ind w:right="108"/>
              <w:spacing w:after="0"/>
              <w:rPr>
                <w:sz w:val="20"/>
                <w:szCs w:val="20"/>
                <w:color w:val="auto"/>
              </w:rPr>
            </w:pPr>
            <w:r>
              <w:rPr>
                <w:rFonts w:ascii="Arial" w:cs="Arial" w:eastAsia="Arial" w:hAnsi="Arial"/>
                <w:sz w:val="14"/>
                <w:szCs w:val="14"/>
                <w:color w:val="auto"/>
              </w:rPr>
              <w:t>—</w:t>
            </w:r>
          </w:p>
        </w:tc>
        <w:tc>
          <w:tcPr>
            <w:tcW w:w="1380" w:type="dxa"/>
            <w:vAlign w:val="bottom"/>
            <w:shd w:val="clear" w:color="auto" w:fill="E8EDF4"/>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shd w:val="clear" w:color="auto" w:fill="E8EDF4"/>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E8EDF4"/>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2,501</w:t>
            </w:r>
          </w:p>
        </w:tc>
        <w:tc>
          <w:tcPr>
            <w:tcW w:w="88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273,534</w:t>
            </w:r>
          </w:p>
        </w:tc>
        <w:tc>
          <w:tcPr>
            <w:tcW w:w="860" w:type="dxa"/>
            <w:vAlign w:val="bottom"/>
            <w:shd w:val="clear" w:color="auto" w:fill="E8EDF4"/>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shd w:val="clear" w:color="auto" w:fill="E8EDF4"/>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20" w:type="dxa"/>
            <w:vAlign w:val="bottom"/>
            <w:shd w:val="clear" w:color="auto" w:fill="E8EDF4"/>
          </w:tcPr>
          <w:p>
            <w:pPr>
              <w:spacing w:after="0"/>
              <w:rPr>
                <w:sz w:val="14"/>
                <w:szCs w:val="14"/>
                <w:color w:val="auto"/>
              </w:rPr>
            </w:pPr>
          </w:p>
        </w:tc>
        <w:tc>
          <w:tcPr>
            <w:tcW w:w="1140" w:type="dxa"/>
            <w:vAlign w:val="bottom"/>
            <w:shd w:val="clear" w:color="auto" w:fill="E8EDF4"/>
          </w:tcPr>
          <w:p>
            <w:pPr>
              <w:jc w:val="right"/>
              <w:ind w:right="168"/>
              <w:spacing w:after="0"/>
              <w:rPr>
                <w:sz w:val="20"/>
                <w:szCs w:val="20"/>
                <w:color w:val="auto"/>
              </w:rPr>
            </w:pPr>
            <w:r>
              <w:rPr>
                <w:rFonts w:ascii="Arial" w:cs="Arial" w:eastAsia="Arial" w:hAnsi="Arial"/>
                <w:sz w:val="14"/>
                <w:szCs w:val="14"/>
                <w:color w:val="auto"/>
              </w:rPr>
              <w:t>3/13/2019</w:t>
            </w:r>
          </w:p>
        </w:tc>
        <w:tc>
          <w:tcPr>
            <w:tcW w:w="1100" w:type="dxa"/>
            <w:vAlign w:val="bottom"/>
            <w:shd w:val="clear" w:color="auto" w:fill="E8EDF4"/>
          </w:tcPr>
          <w:p>
            <w:pPr>
              <w:jc w:val="right"/>
              <w:ind w:right="108"/>
              <w:spacing w:after="0"/>
              <w:rPr>
                <w:sz w:val="20"/>
                <w:szCs w:val="20"/>
                <w:color w:val="auto"/>
              </w:rPr>
            </w:pPr>
            <w:r>
              <w:rPr>
                <w:rFonts w:ascii="Arial" w:cs="Arial" w:eastAsia="Arial" w:hAnsi="Arial"/>
                <w:sz w:val="14"/>
                <w:szCs w:val="14"/>
                <w:color w:val="auto"/>
              </w:rPr>
              <w:t>—</w:t>
            </w:r>
          </w:p>
        </w:tc>
        <w:tc>
          <w:tcPr>
            <w:tcW w:w="138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17,676</w:t>
            </w:r>
          </w:p>
        </w:tc>
        <w:tc>
          <w:tcPr>
            <w:tcW w:w="80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108.08</w:t>
            </w:r>
          </w:p>
        </w:tc>
        <w:tc>
          <w:tcPr>
            <w:tcW w:w="940" w:type="dxa"/>
            <w:vAlign w:val="bottom"/>
            <w:shd w:val="clear" w:color="auto" w:fill="E8EDF4"/>
          </w:tcPr>
          <w:p>
            <w:pPr>
              <w:jc w:val="right"/>
              <w:ind w:right="8"/>
              <w:spacing w:after="0"/>
              <w:rPr>
                <w:sz w:val="20"/>
                <w:szCs w:val="20"/>
                <w:color w:val="auto"/>
              </w:rPr>
            </w:pPr>
            <w:r>
              <w:rPr>
                <w:rFonts w:ascii="Arial" w:cs="Arial" w:eastAsia="Arial" w:hAnsi="Arial"/>
                <w:sz w:val="14"/>
                <w:szCs w:val="14"/>
                <w:color w:val="auto"/>
              </w:rPr>
              <w:t>03/13/2029</w:t>
            </w:r>
          </w:p>
        </w:tc>
        <w:tc>
          <w:tcPr>
            <w:tcW w:w="106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3,992</w:t>
            </w:r>
          </w:p>
        </w:tc>
        <w:tc>
          <w:tcPr>
            <w:tcW w:w="88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436,605</w:t>
            </w:r>
          </w:p>
        </w:tc>
        <w:tc>
          <w:tcPr>
            <w:tcW w:w="86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6,653</w:t>
            </w:r>
          </w:p>
        </w:tc>
        <w:tc>
          <w:tcPr>
            <w:tcW w:w="840" w:type="dxa"/>
            <w:vAlign w:val="bottom"/>
            <w:shd w:val="clear" w:color="auto" w:fill="E8EDF4"/>
          </w:tcPr>
          <w:p>
            <w:pPr>
              <w:jc w:val="right"/>
              <w:spacing w:after="0"/>
              <w:rPr>
                <w:sz w:val="20"/>
                <w:szCs w:val="20"/>
                <w:color w:val="auto"/>
              </w:rPr>
            </w:pPr>
            <w:r>
              <w:rPr>
                <w:rFonts w:ascii="Arial" w:cs="Arial" w:eastAsia="Arial" w:hAnsi="Arial"/>
                <w:sz w:val="14"/>
                <w:szCs w:val="14"/>
                <w:color w:val="auto"/>
              </w:rPr>
              <w:t>727,639</w:t>
            </w:r>
          </w:p>
        </w:tc>
        <w:tc>
          <w:tcPr>
            <w:tcW w:w="0" w:type="dxa"/>
            <w:vAlign w:val="bottom"/>
          </w:tcPr>
          <w:p>
            <w:pPr>
              <w:spacing w:after="0"/>
              <w:rPr>
                <w:sz w:val="1"/>
                <w:szCs w:val="1"/>
                <w:color w:val="auto"/>
              </w:rPr>
            </w:pPr>
          </w:p>
        </w:tc>
      </w:tr>
      <w:tr>
        <w:trPr>
          <w:trHeight w:val="230"/>
        </w:trPr>
        <w:tc>
          <w:tcPr>
            <w:tcW w:w="2020" w:type="dxa"/>
            <w:vAlign w:val="bottom"/>
          </w:tcPr>
          <w:p>
            <w:pPr>
              <w:ind w:left="20"/>
              <w:spacing w:after="0"/>
              <w:rPr>
                <w:sz w:val="20"/>
                <w:szCs w:val="20"/>
                <w:color w:val="auto"/>
              </w:rPr>
            </w:pPr>
            <w:r>
              <w:rPr>
                <w:rFonts w:ascii="Arial" w:cs="Arial" w:eastAsia="Arial" w:hAnsi="Arial"/>
                <w:sz w:val="14"/>
                <w:szCs w:val="14"/>
                <w:color w:val="auto"/>
              </w:rPr>
              <w:t>Steve Pietkiewicz</w:t>
            </w:r>
          </w:p>
        </w:tc>
        <w:tc>
          <w:tcPr>
            <w:tcW w:w="1140" w:type="dxa"/>
            <w:vAlign w:val="bottom"/>
          </w:tcPr>
          <w:p>
            <w:pPr>
              <w:jc w:val="right"/>
              <w:spacing w:after="0"/>
              <w:rPr>
                <w:sz w:val="20"/>
                <w:szCs w:val="20"/>
                <w:color w:val="auto"/>
              </w:rPr>
            </w:pPr>
            <w:r>
              <w:rPr>
                <w:rFonts w:ascii="Arial" w:cs="Arial" w:eastAsia="Arial" w:hAnsi="Arial"/>
                <w:sz w:val="14"/>
                <w:szCs w:val="14"/>
                <w:color w:val="auto"/>
              </w:rPr>
              <w:t>3/10/2017(6)</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13,328</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1,457,683</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20" w:type="dxa"/>
            <w:vAlign w:val="bottom"/>
            <w:shd w:val="clear" w:color="auto" w:fill="E8EDF4"/>
          </w:tcPr>
          <w:p>
            <w:pPr>
              <w:spacing w:after="0"/>
              <w:rPr>
                <w:sz w:val="14"/>
                <w:szCs w:val="14"/>
                <w:color w:val="auto"/>
              </w:rPr>
            </w:pPr>
          </w:p>
        </w:tc>
        <w:tc>
          <w:tcPr>
            <w:tcW w:w="1140" w:type="dxa"/>
            <w:vAlign w:val="bottom"/>
            <w:shd w:val="clear" w:color="auto" w:fill="E8EDF4"/>
          </w:tcPr>
          <w:p>
            <w:pPr>
              <w:jc w:val="right"/>
              <w:ind w:right="168"/>
              <w:spacing w:after="0"/>
              <w:rPr>
                <w:sz w:val="20"/>
                <w:szCs w:val="20"/>
                <w:color w:val="auto"/>
              </w:rPr>
            </w:pPr>
            <w:r>
              <w:rPr>
                <w:rFonts w:ascii="Arial" w:cs="Arial" w:eastAsia="Arial" w:hAnsi="Arial"/>
                <w:sz w:val="14"/>
                <w:szCs w:val="14"/>
                <w:color w:val="auto"/>
              </w:rPr>
              <w:t>6/15/2017</w:t>
            </w:r>
          </w:p>
        </w:tc>
        <w:tc>
          <w:tcPr>
            <w:tcW w:w="110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12,156</w:t>
            </w:r>
          </w:p>
        </w:tc>
        <w:tc>
          <w:tcPr>
            <w:tcW w:w="138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18,235</w:t>
            </w:r>
          </w:p>
        </w:tc>
        <w:tc>
          <w:tcPr>
            <w:tcW w:w="80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79.75</w:t>
            </w:r>
          </w:p>
        </w:tc>
        <w:tc>
          <w:tcPr>
            <w:tcW w:w="940" w:type="dxa"/>
            <w:vAlign w:val="bottom"/>
            <w:shd w:val="clear" w:color="auto" w:fill="E8EDF4"/>
          </w:tcPr>
          <w:p>
            <w:pPr>
              <w:jc w:val="right"/>
              <w:ind w:right="8"/>
              <w:spacing w:after="0"/>
              <w:rPr>
                <w:sz w:val="20"/>
                <w:szCs w:val="20"/>
                <w:color w:val="auto"/>
              </w:rPr>
            </w:pPr>
            <w:r>
              <w:rPr>
                <w:rFonts w:ascii="Arial" w:cs="Arial" w:eastAsia="Arial" w:hAnsi="Arial"/>
                <w:sz w:val="14"/>
                <w:szCs w:val="14"/>
                <w:color w:val="auto"/>
              </w:rPr>
              <w:t>6/15/2027</w:t>
            </w:r>
          </w:p>
        </w:tc>
        <w:tc>
          <w:tcPr>
            <w:tcW w:w="106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6,715</w:t>
            </w:r>
          </w:p>
        </w:tc>
        <w:tc>
          <w:tcPr>
            <w:tcW w:w="88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734,420</w:t>
            </w:r>
          </w:p>
        </w:tc>
        <w:tc>
          <w:tcPr>
            <w:tcW w:w="860" w:type="dxa"/>
            <w:vAlign w:val="bottom"/>
            <w:shd w:val="clear" w:color="auto" w:fill="E8EDF4"/>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shd w:val="clear" w:color="auto" w:fill="E8EDF4"/>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20" w:type="dxa"/>
            <w:vAlign w:val="bottom"/>
          </w:tcPr>
          <w:p>
            <w:pPr>
              <w:spacing w:after="0"/>
              <w:rPr>
                <w:sz w:val="14"/>
                <w:szCs w:val="14"/>
                <w:color w:val="auto"/>
              </w:rPr>
            </w:pPr>
          </w:p>
        </w:tc>
        <w:tc>
          <w:tcPr>
            <w:tcW w:w="1140" w:type="dxa"/>
            <w:vAlign w:val="bottom"/>
          </w:tcPr>
          <w:p>
            <w:pPr>
              <w:jc w:val="right"/>
              <w:ind w:right="168"/>
              <w:spacing w:after="0"/>
              <w:rPr>
                <w:sz w:val="20"/>
                <w:szCs w:val="20"/>
                <w:color w:val="auto"/>
              </w:rPr>
            </w:pPr>
            <w:r>
              <w:rPr>
                <w:rFonts w:ascii="Arial" w:cs="Arial" w:eastAsia="Arial" w:hAnsi="Arial"/>
                <w:sz w:val="14"/>
                <w:szCs w:val="14"/>
                <w:color w:val="auto"/>
              </w:rPr>
              <w:t>7/17/2017</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15,218</w:t>
            </w:r>
          </w:p>
        </w:tc>
        <w:tc>
          <w:tcPr>
            <w:tcW w:w="840" w:type="dxa"/>
            <w:vAlign w:val="bottom"/>
          </w:tcPr>
          <w:p>
            <w:pPr>
              <w:jc w:val="right"/>
              <w:spacing w:after="0"/>
              <w:rPr>
                <w:sz w:val="20"/>
                <w:szCs w:val="20"/>
                <w:color w:val="auto"/>
              </w:rPr>
            </w:pPr>
            <w:r>
              <w:rPr>
                <w:rFonts w:ascii="Arial" w:cs="Arial" w:eastAsia="Arial" w:hAnsi="Arial"/>
                <w:sz w:val="14"/>
                <w:szCs w:val="14"/>
                <w:color w:val="auto"/>
              </w:rPr>
              <w:t>1,664,393</w:t>
            </w:r>
          </w:p>
        </w:tc>
        <w:tc>
          <w:tcPr>
            <w:tcW w:w="0" w:type="dxa"/>
            <w:vAlign w:val="bottom"/>
          </w:tcPr>
          <w:p>
            <w:pPr>
              <w:spacing w:after="0"/>
              <w:rPr>
                <w:sz w:val="1"/>
                <w:szCs w:val="1"/>
                <w:color w:val="auto"/>
              </w:rPr>
            </w:pPr>
          </w:p>
        </w:tc>
      </w:tr>
      <w:tr>
        <w:trPr>
          <w:trHeight w:val="162"/>
        </w:trPr>
        <w:tc>
          <w:tcPr>
            <w:tcW w:w="2020" w:type="dxa"/>
            <w:vAlign w:val="bottom"/>
            <w:shd w:val="clear" w:color="auto" w:fill="E8EDF4"/>
          </w:tcPr>
          <w:p>
            <w:pPr>
              <w:spacing w:after="0"/>
              <w:rPr>
                <w:sz w:val="14"/>
                <w:szCs w:val="14"/>
                <w:color w:val="auto"/>
              </w:rPr>
            </w:pPr>
          </w:p>
        </w:tc>
        <w:tc>
          <w:tcPr>
            <w:tcW w:w="1140" w:type="dxa"/>
            <w:vAlign w:val="bottom"/>
            <w:shd w:val="clear" w:color="auto" w:fill="E8EDF4"/>
          </w:tcPr>
          <w:p>
            <w:pPr>
              <w:jc w:val="right"/>
              <w:ind w:right="168"/>
              <w:spacing w:after="0"/>
              <w:rPr>
                <w:sz w:val="20"/>
                <w:szCs w:val="20"/>
                <w:color w:val="auto"/>
              </w:rPr>
            </w:pPr>
            <w:r>
              <w:rPr>
                <w:rFonts w:ascii="Arial" w:cs="Arial" w:eastAsia="Arial" w:hAnsi="Arial"/>
                <w:sz w:val="14"/>
                <w:szCs w:val="14"/>
                <w:color w:val="auto"/>
              </w:rPr>
              <w:t>10/16/2017</w:t>
            </w:r>
          </w:p>
        </w:tc>
        <w:tc>
          <w:tcPr>
            <w:tcW w:w="1100" w:type="dxa"/>
            <w:vAlign w:val="bottom"/>
            <w:shd w:val="clear" w:color="auto" w:fill="E8EDF4"/>
          </w:tcPr>
          <w:p>
            <w:pPr>
              <w:jc w:val="right"/>
              <w:ind w:right="108"/>
              <w:spacing w:after="0"/>
              <w:rPr>
                <w:sz w:val="20"/>
                <w:szCs w:val="20"/>
                <w:color w:val="auto"/>
              </w:rPr>
            </w:pPr>
            <w:r>
              <w:rPr>
                <w:rFonts w:ascii="Arial" w:cs="Arial" w:eastAsia="Arial" w:hAnsi="Arial"/>
                <w:sz w:val="14"/>
                <w:szCs w:val="14"/>
                <w:color w:val="auto"/>
              </w:rPr>
              <w:t>—</w:t>
            </w:r>
          </w:p>
        </w:tc>
        <w:tc>
          <w:tcPr>
            <w:tcW w:w="1380" w:type="dxa"/>
            <w:vAlign w:val="bottom"/>
            <w:shd w:val="clear" w:color="auto" w:fill="E8EDF4"/>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shd w:val="clear" w:color="auto" w:fill="E8EDF4"/>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E8EDF4"/>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10,414</w:t>
            </w:r>
          </w:p>
        </w:tc>
        <w:tc>
          <w:tcPr>
            <w:tcW w:w="88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1,138,979</w:t>
            </w:r>
          </w:p>
        </w:tc>
        <w:tc>
          <w:tcPr>
            <w:tcW w:w="860" w:type="dxa"/>
            <w:vAlign w:val="bottom"/>
            <w:shd w:val="clear" w:color="auto" w:fill="E8EDF4"/>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shd w:val="clear" w:color="auto" w:fill="E8EDF4"/>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20" w:type="dxa"/>
            <w:vAlign w:val="bottom"/>
          </w:tcPr>
          <w:p>
            <w:pPr>
              <w:spacing w:after="0"/>
              <w:rPr>
                <w:sz w:val="14"/>
                <w:szCs w:val="14"/>
                <w:color w:val="auto"/>
              </w:rPr>
            </w:pPr>
          </w:p>
        </w:tc>
        <w:tc>
          <w:tcPr>
            <w:tcW w:w="1140" w:type="dxa"/>
            <w:vAlign w:val="bottom"/>
          </w:tcPr>
          <w:p>
            <w:pPr>
              <w:jc w:val="right"/>
              <w:ind w:right="168"/>
              <w:spacing w:after="0"/>
              <w:rPr>
                <w:sz w:val="20"/>
                <w:szCs w:val="20"/>
                <w:color w:val="auto"/>
              </w:rPr>
            </w:pPr>
            <w:r>
              <w:rPr>
                <w:rFonts w:ascii="Arial" w:cs="Arial" w:eastAsia="Arial" w:hAnsi="Arial"/>
                <w:sz w:val="14"/>
                <w:szCs w:val="14"/>
                <w:color w:val="auto"/>
              </w:rPr>
              <w:t>3/29/2018</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5,928</w:t>
            </w: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17,785</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91.13</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3/29/2028</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4,238</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463,510</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5,650</w:t>
            </w:r>
          </w:p>
        </w:tc>
        <w:tc>
          <w:tcPr>
            <w:tcW w:w="840" w:type="dxa"/>
            <w:vAlign w:val="bottom"/>
          </w:tcPr>
          <w:p>
            <w:pPr>
              <w:jc w:val="right"/>
              <w:spacing w:after="0"/>
              <w:rPr>
                <w:sz w:val="20"/>
                <w:szCs w:val="20"/>
                <w:color w:val="auto"/>
              </w:rPr>
            </w:pPr>
            <w:r>
              <w:rPr>
                <w:rFonts w:ascii="Arial" w:cs="Arial" w:eastAsia="Arial" w:hAnsi="Arial"/>
                <w:sz w:val="14"/>
                <w:szCs w:val="14"/>
                <w:color w:val="auto"/>
              </w:rPr>
              <w:t>617,941</w:t>
            </w:r>
          </w:p>
        </w:tc>
        <w:tc>
          <w:tcPr>
            <w:tcW w:w="0" w:type="dxa"/>
            <w:vAlign w:val="bottom"/>
          </w:tcPr>
          <w:p>
            <w:pPr>
              <w:spacing w:after="0"/>
              <w:rPr>
                <w:sz w:val="1"/>
                <w:szCs w:val="1"/>
                <w:color w:val="auto"/>
              </w:rPr>
            </w:pPr>
          </w:p>
        </w:tc>
      </w:tr>
      <w:tr>
        <w:trPr>
          <w:trHeight w:val="162"/>
        </w:trPr>
        <w:tc>
          <w:tcPr>
            <w:tcW w:w="2020" w:type="dxa"/>
            <w:vAlign w:val="bottom"/>
            <w:shd w:val="clear" w:color="auto" w:fill="E8EDF4"/>
          </w:tcPr>
          <w:p>
            <w:pPr>
              <w:spacing w:after="0"/>
              <w:rPr>
                <w:sz w:val="14"/>
                <w:szCs w:val="14"/>
                <w:color w:val="auto"/>
              </w:rPr>
            </w:pPr>
          </w:p>
        </w:tc>
        <w:tc>
          <w:tcPr>
            <w:tcW w:w="1140" w:type="dxa"/>
            <w:vAlign w:val="bottom"/>
            <w:shd w:val="clear" w:color="auto" w:fill="E8EDF4"/>
          </w:tcPr>
          <w:p>
            <w:pPr>
              <w:jc w:val="right"/>
              <w:ind w:right="168"/>
              <w:spacing w:after="0"/>
              <w:rPr>
                <w:sz w:val="20"/>
                <w:szCs w:val="20"/>
                <w:color w:val="auto"/>
              </w:rPr>
            </w:pPr>
            <w:r>
              <w:rPr>
                <w:rFonts w:ascii="Arial" w:cs="Arial" w:eastAsia="Arial" w:hAnsi="Arial"/>
                <w:sz w:val="14"/>
                <w:szCs w:val="14"/>
                <w:color w:val="auto"/>
              </w:rPr>
              <w:t>6/15/2018</w:t>
            </w:r>
          </w:p>
        </w:tc>
        <w:tc>
          <w:tcPr>
            <w:tcW w:w="1100" w:type="dxa"/>
            <w:vAlign w:val="bottom"/>
            <w:shd w:val="clear" w:color="auto" w:fill="E8EDF4"/>
          </w:tcPr>
          <w:p>
            <w:pPr>
              <w:jc w:val="right"/>
              <w:ind w:right="108"/>
              <w:spacing w:after="0"/>
              <w:rPr>
                <w:sz w:val="20"/>
                <w:szCs w:val="20"/>
                <w:color w:val="auto"/>
              </w:rPr>
            </w:pPr>
            <w:r>
              <w:rPr>
                <w:rFonts w:ascii="Arial" w:cs="Arial" w:eastAsia="Arial" w:hAnsi="Arial"/>
                <w:sz w:val="14"/>
                <w:szCs w:val="14"/>
                <w:color w:val="auto"/>
              </w:rPr>
              <w:t>—</w:t>
            </w:r>
          </w:p>
        </w:tc>
        <w:tc>
          <w:tcPr>
            <w:tcW w:w="1380" w:type="dxa"/>
            <w:vAlign w:val="bottom"/>
            <w:shd w:val="clear" w:color="auto" w:fill="E8EDF4"/>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shd w:val="clear" w:color="auto" w:fill="E8EDF4"/>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E8EDF4"/>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3,021</w:t>
            </w:r>
          </w:p>
        </w:tc>
        <w:tc>
          <w:tcPr>
            <w:tcW w:w="88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330,407</w:t>
            </w:r>
          </w:p>
        </w:tc>
        <w:tc>
          <w:tcPr>
            <w:tcW w:w="860" w:type="dxa"/>
            <w:vAlign w:val="bottom"/>
            <w:shd w:val="clear" w:color="auto" w:fill="E8EDF4"/>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shd w:val="clear" w:color="auto" w:fill="E8EDF4"/>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20" w:type="dxa"/>
            <w:vAlign w:val="bottom"/>
          </w:tcPr>
          <w:p>
            <w:pPr>
              <w:spacing w:after="0"/>
              <w:rPr>
                <w:sz w:val="14"/>
                <w:szCs w:val="14"/>
                <w:color w:val="auto"/>
              </w:rPr>
            </w:pPr>
          </w:p>
        </w:tc>
        <w:tc>
          <w:tcPr>
            <w:tcW w:w="1140" w:type="dxa"/>
            <w:vAlign w:val="bottom"/>
          </w:tcPr>
          <w:p>
            <w:pPr>
              <w:jc w:val="right"/>
              <w:ind w:right="168"/>
              <w:spacing w:after="0"/>
              <w:rPr>
                <w:sz w:val="20"/>
                <w:szCs w:val="20"/>
                <w:color w:val="auto"/>
              </w:rPr>
            </w:pPr>
            <w:r>
              <w:rPr>
                <w:rFonts w:ascii="Arial" w:cs="Arial" w:eastAsia="Arial" w:hAnsi="Arial"/>
                <w:sz w:val="14"/>
                <w:szCs w:val="14"/>
                <w:color w:val="auto"/>
              </w:rPr>
              <w:t>3/13/2019</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17,676</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108.08</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3/13/2029</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3,992</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436,605</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6,653</w:t>
            </w:r>
          </w:p>
        </w:tc>
        <w:tc>
          <w:tcPr>
            <w:tcW w:w="840" w:type="dxa"/>
            <w:vAlign w:val="bottom"/>
          </w:tcPr>
          <w:p>
            <w:pPr>
              <w:jc w:val="right"/>
              <w:spacing w:after="0"/>
              <w:rPr>
                <w:sz w:val="20"/>
                <w:szCs w:val="20"/>
                <w:color w:val="auto"/>
              </w:rPr>
            </w:pPr>
            <w:r>
              <w:rPr>
                <w:rFonts w:ascii="Arial" w:cs="Arial" w:eastAsia="Arial" w:hAnsi="Arial"/>
                <w:sz w:val="14"/>
                <w:szCs w:val="14"/>
                <w:color w:val="auto"/>
              </w:rPr>
              <w:t>727,639</w:t>
            </w:r>
          </w:p>
        </w:tc>
        <w:tc>
          <w:tcPr>
            <w:tcW w:w="0" w:type="dxa"/>
            <w:vAlign w:val="bottom"/>
          </w:tcPr>
          <w:p>
            <w:pPr>
              <w:spacing w:after="0"/>
              <w:rPr>
                <w:sz w:val="1"/>
                <w:szCs w:val="1"/>
                <w:color w:val="auto"/>
              </w:rPr>
            </w:pPr>
          </w:p>
        </w:tc>
      </w:tr>
      <w:tr>
        <w:trPr>
          <w:trHeight w:val="162"/>
        </w:trPr>
        <w:tc>
          <w:tcPr>
            <w:tcW w:w="2020" w:type="dxa"/>
            <w:vAlign w:val="bottom"/>
            <w:shd w:val="clear" w:color="auto" w:fill="E8EDF4"/>
          </w:tcPr>
          <w:p>
            <w:pPr>
              <w:spacing w:after="0"/>
              <w:rPr>
                <w:sz w:val="14"/>
                <w:szCs w:val="14"/>
                <w:color w:val="auto"/>
              </w:rPr>
            </w:pPr>
          </w:p>
        </w:tc>
        <w:tc>
          <w:tcPr>
            <w:tcW w:w="1140" w:type="dxa"/>
            <w:vAlign w:val="bottom"/>
            <w:shd w:val="clear" w:color="auto" w:fill="E8EDF4"/>
          </w:tcPr>
          <w:p>
            <w:pPr>
              <w:jc w:val="right"/>
              <w:ind w:right="168"/>
              <w:spacing w:after="0"/>
              <w:rPr>
                <w:sz w:val="20"/>
                <w:szCs w:val="20"/>
                <w:color w:val="auto"/>
              </w:rPr>
            </w:pPr>
            <w:r>
              <w:rPr>
                <w:rFonts w:ascii="Arial" w:cs="Arial" w:eastAsia="Arial" w:hAnsi="Arial"/>
                <w:sz w:val="14"/>
                <w:szCs w:val="14"/>
                <w:color w:val="auto"/>
              </w:rPr>
              <w:t>06/17/2017</w:t>
            </w:r>
          </w:p>
        </w:tc>
        <w:tc>
          <w:tcPr>
            <w:tcW w:w="1100" w:type="dxa"/>
            <w:vAlign w:val="bottom"/>
            <w:shd w:val="clear" w:color="auto" w:fill="E8EDF4"/>
          </w:tcPr>
          <w:p>
            <w:pPr>
              <w:jc w:val="right"/>
              <w:ind w:right="108"/>
              <w:spacing w:after="0"/>
              <w:rPr>
                <w:sz w:val="20"/>
                <w:szCs w:val="20"/>
                <w:color w:val="auto"/>
              </w:rPr>
            </w:pPr>
            <w:r>
              <w:rPr>
                <w:rFonts w:ascii="Arial" w:cs="Arial" w:eastAsia="Arial" w:hAnsi="Arial"/>
                <w:sz w:val="14"/>
                <w:szCs w:val="14"/>
                <w:color w:val="auto"/>
              </w:rPr>
              <w:t>—</w:t>
            </w:r>
          </w:p>
        </w:tc>
        <w:tc>
          <w:tcPr>
            <w:tcW w:w="1380" w:type="dxa"/>
            <w:vAlign w:val="bottom"/>
            <w:shd w:val="clear" w:color="auto" w:fill="E8EDF4"/>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shd w:val="clear" w:color="auto" w:fill="E8EDF4"/>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E8EDF4"/>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3,849</w:t>
            </w:r>
          </w:p>
        </w:tc>
        <w:tc>
          <w:tcPr>
            <w:tcW w:w="88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420,965</w:t>
            </w:r>
          </w:p>
        </w:tc>
        <w:tc>
          <w:tcPr>
            <w:tcW w:w="860" w:type="dxa"/>
            <w:vAlign w:val="bottom"/>
            <w:shd w:val="clear" w:color="auto" w:fill="E8EDF4"/>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shd w:val="clear" w:color="auto" w:fill="E8EDF4"/>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-3789680</wp:posOffset>
            </wp:positionV>
            <wp:extent cx="6997700" cy="63436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97700" cy="63436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-2803525</wp:posOffset>
            </wp:positionV>
            <wp:extent cx="6997700" cy="11747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997700" cy="117475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-865505</wp:posOffset>
            </wp:positionV>
            <wp:extent cx="6997700" cy="8661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97700" cy="866140"/>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-5453380</wp:posOffset>
            </wp:positionV>
            <wp:extent cx="487108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871085" cy="8890"/>
                    </a:xfrm>
                    <a:prstGeom prst="rect">
                      <a:avLst/>
                    </a:prstGeom>
                    <a:noFill/>
                  </pic:spPr>
                </pic:pic>
              </a:graphicData>
            </a:graphic>
          </wp:anchor>
        </w:drawing>
      </w:r>
    </w:p>
    <w:p>
      <w:pPr>
        <w:spacing w:after="0" w:line="111" w:lineRule="exact"/>
        <w:rPr>
          <w:sz w:val="20"/>
          <w:szCs w:val="20"/>
          <w:color w:val="auto"/>
        </w:rPr>
      </w:pPr>
    </w:p>
    <w:p>
      <w:pPr>
        <w:ind w:left="200"/>
        <w:spacing w:after="0"/>
        <w:tabs>
          <w:tab w:leader="none" w:pos="580" w:val="left"/>
        </w:tabs>
        <w:rPr>
          <w:sz w:val="20"/>
          <w:szCs w:val="20"/>
          <w:color w:val="auto"/>
        </w:rPr>
      </w:pPr>
      <w:r>
        <w:rPr>
          <w:rFonts w:ascii="Arial" w:cs="Arial" w:eastAsia="Arial" w:hAnsi="Arial"/>
          <w:sz w:val="18"/>
          <w:szCs w:val="18"/>
          <w:color w:val="999999"/>
        </w:rPr>
        <w:t>60</w:t>
      </w:r>
      <w:r>
        <w:rPr>
          <w:sz w:val="20"/>
          <w:szCs w:val="20"/>
          <w:color w:val="auto"/>
        </w:rPr>
        <w:tab/>
      </w:r>
      <w:r>
        <w:rPr>
          <w:rFonts w:ascii="Arial" w:cs="Arial" w:eastAsia="Arial" w:hAnsi="Arial"/>
          <w:sz w:val="14"/>
          <w:szCs w:val="14"/>
          <w:b w:val="1"/>
          <w:bCs w:val="1"/>
          <w:color w:val="052B82"/>
        </w:rPr>
        <w:t>Analog Devices, Inc.</w:t>
      </w:r>
    </w:p>
    <w:p>
      <w:pPr>
        <w:sectPr>
          <w:pgSz w:w="11900" w:h="16838" w:orient="portrait"/>
          <w:cols w:equalWidth="0" w:num="1">
            <w:col w:w="11240"/>
          </w:cols>
          <w:pgMar w:left="240" w:top="459" w:right="41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523240</wp:posOffset>
            </wp:positionV>
            <wp:extent cx="76327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63270" cy="8890"/>
                    </a:xfrm>
                    <a:prstGeom prst="rect">
                      <a:avLst/>
                    </a:prstGeom>
                    <a:noFill/>
                  </pic:spPr>
                </pic:pic>
              </a:graphicData>
            </a:graphic>
          </wp:anchor>
        </w:drawing>
        <w:drawing>
          <wp:anchor simplePos="0" relativeHeight="251657728" behindDoc="1" locked="0" layoutInCell="0" allowOverlap="1">
            <wp:simplePos x="0" y="0"/>
            <wp:positionH relativeFrom="column">
              <wp:posOffset>4481830</wp:posOffset>
            </wp:positionH>
            <wp:positionV relativeFrom="paragraph">
              <wp:posOffset>205740</wp:posOffset>
            </wp:positionV>
            <wp:extent cx="2649855" cy="1371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40" w:hanging="436"/>
        <w:spacing w:after="0"/>
        <w:tabs>
          <w:tab w:leader="none" w:pos="6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unexercisable options held by these officers vest, subject to continued employment, as follows:</w:t>
      </w:r>
    </w:p>
    <w:p>
      <w:pPr>
        <w:spacing w:after="0" w:line="227"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140" w:type="dxa"/>
            <w:vAlign w:val="bottom"/>
            <w:shd w:val="clear" w:color="auto" w:fill="052B82"/>
          </w:tcPr>
          <w:p>
            <w:pPr>
              <w:spacing w:after="0"/>
              <w:rPr>
                <w:sz w:val="14"/>
                <w:szCs w:val="14"/>
                <w:color w:val="auto"/>
              </w:rPr>
            </w:pPr>
          </w:p>
        </w:tc>
        <w:tc>
          <w:tcPr>
            <w:tcW w:w="1100" w:type="dxa"/>
            <w:vAlign w:val="bottom"/>
            <w:shd w:val="clear" w:color="auto" w:fill="052B82"/>
          </w:tcPr>
          <w:p>
            <w:pPr>
              <w:spacing w:after="0"/>
              <w:rPr>
                <w:sz w:val="14"/>
                <w:szCs w:val="14"/>
                <w:color w:val="auto"/>
              </w:rPr>
            </w:pPr>
          </w:p>
        </w:tc>
        <w:tc>
          <w:tcPr>
            <w:tcW w:w="1060" w:type="dxa"/>
            <w:vAlign w:val="bottom"/>
            <w:shd w:val="clear" w:color="auto" w:fill="052B82"/>
          </w:tcPr>
          <w:p>
            <w:pPr>
              <w:spacing w:after="0"/>
              <w:rPr>
                <w:sz w:val="14"/>
                <w:szCs w:val="14"/>
                <w:color w:val="auto"/>
              </w:rPr>
            </w:pPr>
          </w:p>
        </w:tc>
        <w:tc>
          <w:tcPr>
            <w:tcW w:w="108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Prashanth</w:t>
            </w:r>
          </w:p>
        </w:tc>
        <w:tc>
          <w:tcPr>
            <w:tcW w:w="800" w:type="dxa"/>
            <w:vAlign w:val="bottom"/>
            <w:shd w:val="clear" w:color="auto" w:fill="052B82"/>
          </w:tcPr>
          <w:p>
            <w:pPr>
              <w:spacing w:after="0"/>
              <w:rPr>
                <w:sz w:val="14"/>
                <w:szCs w:val="14"/>
                <w:color w:val="auto"/>
              </w:rPr>
            </w:pPr>
          </w:p>
        </w:tc>
        <w:tc>
          <w:tcPr>
            <w:tcW w:w="900" w:type="dxa"/>
            <w:vAlign w:val="bottom"/>
            <w:shd w:val="clear" w:color="auto" w:fill="052B82"/>
          </w:tcPr>
          <w:p>
            <w:pPr>
              <w:spacing w:after="0"/>
              <w:rPr>
                <w:sz w:val="14"/>
                <w:szCs w:val="14"/>
                <w:color w:val="auto"/>
              </w:rPr>
            </w:pPr>
          </w:p>
        </w:tc>
        <w:tc>
          <w:tcPr>
            <w:tcW w:w="1040" w:type="dxa"/>
            <w:vAlign w:val="bottom"/>
            <w:shd w:val="clear" w:color="auto" w:fill="052B82"/>
          </w:tcPr>
          <w:p>
            <w:pPr>
              <w:spacing w:after="0"/>
              <w:rPr>
                <w:sz w:val="14"/>
                <w:szCs w:val="14"/>
                <w:color w:val="auto"/>
              </w:rPr>
            </w:pPr>
          </w:p>
        </w:tc>
      </w:tr>
      <w:tr>
        <w:trPr>
          <w:trHeight w:val="162"/>
        </w:trPr>
        <w:tc>
          <w:tcPr>
            <w:tcW w:w="4140" w:type="dxa"/>
            <w:vAlign w:val="bottom"/>
            <w:shd w:val="clear" w:color="auto" w:fill="052B82"/>
          </w:tcPr>
          <w:p>
            <w:pPr>
              <w:spacing w:after="0"/>
              <w:rPr>
                <w:sz w:val="14"/>
                <w:szCs w:val="14"/>
                <w:color w:val="auto"/>
              </w:rPr>
            </w:pPr>
          </w:p>
        </w:tc>
        <w:tc>
          <w:tcPr>
            <w:tcW w:w="1100" w:type="dxa"/>
            <w:vAlign w:val="bottom"/>
            <w:shd w:val="clear" w:color="auto" w:fill="052B82"/>
          </w:tcPr>
          <w:p>
            <w:pPr>
              <w:spacing w:after="0"/>
              <w:rPr>
                <w:sz w:val="14"/>
                <w:szCs w:val="14"/>
                <w:color w:val="auto"/>
              </w:rPr>
            </w:pPr>
          </w:p>
        </w:tc>
        <w:tc>
          <w:tcPr>
            <w:tcW w:w="1060" w:type="dxa"/>
            <w:vAlign w:val="bottom"/>
            <w:shd w:val="clear" w:color="auto" w:fill="052B82"/>
          </w:tcPr>
          <w:p>
            <w:pPr>
              <w:jc w:val="right"/>
              <w:ind w:right="128"/>
              <w:spacing w:after="0"/>
              <w:rPr>
                <w:sz w:val="20"/>
                <w:szCs w:val="20"/>
                <w:color w:val="auto"/>
              </w:rPr>
            </w:pPr>
            <w:r>
              <w:rPr>
                <w:rFonts w:ascii="Arial" w:cs="Arial" w:eastAsia="Arial" w:hAnsi="Arial"/>
                <w:sz w:val="14"/>
                <w:szCs w:val="14"/>
                <w:b w:val="1"/>
                <w:bCs w:val="1"/>
                <w:color w:val="FFFFFF"/>
              </w:rPr>
              <w:t>Vincent</w:t>
            </w:r>
          </w:p>
        </w:tc>
        <w:tc>
          <w:tcPr>
            <w:tcW w:w="108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Mahendra</w:t>
            </w:r>
          </w:p>
        </w:tc>
        <w:tc>
          <w:tcPr>
            <w:tcW w:w="800" w:type="dxa"/>
            <w:vAlign w:val="bottom"/>
            <w:shd w:val="clear" w:color="auto" w:fill="052B82"/>
          </w:tcPr>
          <w:p>
            <w:pPr>
              <w:jc w:val="right"/>
              <w:ind w:right="108"/>
              <w:spacing w:after="0"/>
              <w:rPr>
                <w:sz w:val="20"/>
                <w:szCs w:val="20"/>
                <w:color w:val="auto"/>
              </w:rPr>
            </w:pPr>
            <w:r>
              <w:rPr>
                <w:rFonts w:ascii="Arial" w:cs="Arial" w:eastAsia="Arial" w:hAnsi="Arial"/>
                <w:sz w:val="14"/>
                <w:szCs w:val="14"/>
                <w:b w:val="1"/>
                <w:bCs w:val="1"/>
                <w:color w:val="FFFFFF"/>
              </w:rPr>
              <w:t>Martin</w:t>
            </w:r>
          </w:p>
        </w:tc>
        <w:tc>
          <w:tcPr>
            <w:tcW w:w="900" w:type="dxa"/>
            <w:vAlign w:val="bottom"/>
            <w:shd w:val="clear" w:color="auto" w:fill="052B82"/>
          </w:tcPr>
          <w:p>
            <w:pPr>
              <w:jc w:val="right"/>
              <w:ind w:right="228"/>
              <w:spacing w:after="0"/>
              <w:rPr>
                <w:sz w:val="20"/>
                <w:szCs w:val="20"/>
                <w:color w:val="auto"/>
              </w:rPr>
            </w:pPr>
            <w:r>
              <w:rPr>
                <w:rFonts w:ascii="Arial" w:cs="Arial" w:eastAsia="Arial" w:hAnsi="Arial"/>
                <w:sz w:val="14"/>
                <w:szCs w:val="14"/>
                <w:b w:val="1"/>
                <w:bCs w:val="1"/>
                <w:color w:val="FFFFFF"/>
              </w:rPr>
              <w:t>John</w:t>
            </w:r>
          </w:p>
        </w:tc>
        <w:tc>
          <w:tcPr>
            <w:tcW w:w="1040" w:type="dxa"/>
            <w:vAlign w:val="bottom"/>
            <w:shd w:val="clear" w:color="auto" w:fill="052B82"/>
          </w:tcPr>
          <w:p>
            <w:pPr>
              <w:ind w:left="380"/>
              <w:spacing w:after="0"/>
              <w:rPr>
                <w:sz w:val="20"/>
                <w:szCs w:val="20"/>
                <w:color w:val="auto"/>
              </w:rPr>
            </w:pPr>
            <w:r>
              <w:rPr>
                <w:rFonts w:ascii="Arial" w:cs="Arial" w:eastAsia="Arial" w:hAnsi="Arial"/>
                <w:sz w:val="14"/>
                <w:szCs w:val="14"/>
                <w:b w:val="1"/>
                <w:bCs w:val="1"/>
                <w:color w:val="FFFFFF"/>
              </w:rPr>
              <w:t>Steve</w:t>
            </w:r>
          </w:p>
        </w:tc>
      </w:tr>
      <w:tr>
        <w:trPr>
          <w:trHeight w:val="189"/>
        </w:trPr>
        <w:tc>
          <w:tcPr>
            <w:tcW w:w="4140" w:type="dxa"/>
            <w:vAlign w:val="bottom"/>
            <w:shd w:val="clear" w:color="auto" w:fill="052B82"/>
          </w:tcPr>
          <w:p>
            <w:pPr>
              <w:ind w:left="20"/>
              <w:spacing w:after="0"/>
              <w:rPr>
                <w:sz w:val="20"/>
                <w:szCs w:val="20"/>
                <w:color w:val="auto"/>
              </w:rPr>
            </w:pPr>
            <w:r>
              <w:rPr>
                <w:rFonts w:ascii="Arial" w:cs="Arial" w:eastAsia="Arial" w:hAnsi="Arial"/>
                <w:sz w:val="14"/>
                <w:szCs w:val="14"/>
                <w:b w:val="1"/>
                <w:bCs w:val="1"/>
                <w:color w:val="FFFFFF"/>
              </w:rPr>
              <w:t>Grant Date</w:t>
            </w:r>
          </w:p>
        </w:tc>
        <w:tc>
          <w:tcPr>
            <w:tcW w:w="1100" w:type="dxa"/>
            <w:vAlign w:val="bottom"/>
            <w:shd w:val="clear" w:color="auto" w:fill="052B82"/>
          </w:tcPr>
          <w:p>
            <w:pPr>
              <w:jc w:val="right"/>
              <w:ind w:right="8"/>
              <w:spacing w:after="0"/>
              <w:rPr>
                <w:sz w:val="20"/>
                <w:szCs w:val="20"/>
                <w:color w:val="auto"/>
              </w:rPr>
            </w:pPr>
            <w:r>
              <w:rPr>
                <w:rFonts w:ascii="Arial" w:cs="Arial" w:eastAsia="Arial" w:hAnsi="Arial"/>
                <w:sz w:val="14"/>
                <w:szCs w:val="14"/>
                <w:b w:val="1"/>
                <w:bCs w:val="1"/>
                <w:color w:val="FFFFFF"/>
              </w:rPr>
              <w:t>Vest Date</w:t>
            </w:r>
          </w:p>
        </w:tc>
        <w:tc>
          <w:tcPr>
            <w:tcW w:w="1060" w:type="dxa"/>
            <w:vAlign w:val="bottom"/>
            <w:shd w:val="clear" w:color="auto" w:fill="052B82"/>
          </w:tcPr>
          <w:p>
            <w:pPr>
              <w:jc w:val="right"/>
              <w:ind w:right="168"/>
              <w:spacing w:after="0"/>
              <w:rPr>
                <w:sz w:val="20"/>
                <w:szCs w:val="20"/>
                <w:color w:val="auto"/>
              </w:rPr>
            </w:pPr>
            <w:r>
              <w:rPr>
                <w:rFonts w:ascii="Arial" w:cs="Arial" w:eastAsia="Arial" w:hAnsi="Arial"/>
                <w:sz w:val="14"/>
                <w:szCs w:val="14"/>
                <w:b w:val="1"/>
                <w:bCs w:val="1"/>
                <w:color w:val="FFFFFF"/>
              </w:rPr>
              <w:t>Roche</w:t>
            </w:r>
          </w:p>
        </w:tc>
        <w:tc>
          <w:tcPr>
            <w:tcW w:w="108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-Rajah</w:t>
            </w:r>
          </w:p>
        </w:tc>
        <w:tc>
          <w:tcPr>
            <w:tcW w:w="800" w:type="dxa"/>
            <w:vAlign w:val="bottom"/>
            <w:shd w:val="clear" w:color="auto" w:fill="052B82"/>
          </w:tcPr>
          <w:p>
            <w:pPr>
              <w:jc w:val="right"/>
              <w:ind w:right="128"/>
              <w:spacing w:after="0"/>
              <w:rPr>
                <w:sz w:val="20"/>
                <w:szCs w:val="20"/>
                <w:color w:val="auto"/>
              </w:rPr>
            </w:pPr>
            <w:r>
              <w:rPr>
                <w:rFonts w:ascii="Arial" w:cs="Arial" w:eastAsia="Arial" w:hAnsi="Arial"/>
                <w:sz w:val="14"/>
                <w:szCs w:val="14"/>
                <w:b w:val="1"/>
                <w:bCs w:val="1"/>
                <w:color w:val="FFFFFF"/>
              </w:rPr>
              <w:t>Cotter</w:t>
            </w:r>
          </w:p>
        </w:tc>
        <w:tc>
          <w:tcPr>
            <w:tcW w:w="900" w:type="dxa"/>
            <w:vAlign w:val="bottom"/>
            <w:shd w:val="clear" w:color="auto" w:fill="052B82"/>
          </w:tcPr>
          <w:p>
            <w:pPr>
              <w:jc w:val="right"/>
              <w:ind w:right="128"/>
              <w:spacing w:after="0"/>
              <w:rPr>
                <w:sz w:val="20"/>
                <w:szCs w:val="20"/>
                <w:color w:val="auto"/>
              </w:rPr>
            </w:pPr>
            <w:r>
              <w:rPr>
                <w:rFonts w:ascii="Arial" w:cs="Arial" w:eastAsia="Arial" w:hAnsi="Arial"/>
                <w:sz w:val="14"/>
                <w:szCs w:val="14"/>
                <w:b w:val="1"/>
                <w:bCs w:val="1"/>
                <w:color w:val="FFFFFF"/>
              </w:rPr>
              <w:t>Hassett</w:t>
            </w:r>
          </w:p>
        </w:tc>
        <w:tc>
          <w:tcPr>
            <w:tcW w:w="1040" w:type="dxa"/>
            <w:vAlign w:val="bottom"/>
            <w:shd w:val="clear" w:color="auto" w:fill="052B82"/>
          </w:tcPr>
          <w:p>
            <w:pPr>
              <w:ind w:left="180"/>
              <w:spacing w:after="0"/>
              <w:rPr>
                <w:sz w:val="20"/>
                <w:szCs w:val="20"/>
                <w:color w:val="auto"/>
              </w:rPr>
            </w:pPr>
            <w:r>
              <w:rPr>
                <w:rFonts w:ascii="Arial" w:cs="Arial" w:eastAsia="Arial" w:hAnsi="Arial"/>
                <w:sz w:val="14"/>
                <w:szCs w:val="14"/>
                <w:b w:val="1"/>
                <w:bCs w:val="1"/>
                <w:color w:val="FFFFFF"/>
              </w:rPr>
              <w:t>Pietkiewicz</w:t>
            </w:r>
          </w:p>
        </w:tc>
      </w:tr>
      <w:tr>
        <w:trPr>
          <w:trHeight w:val="189"/>
        </w:trPr>
        <w:tc>
          <w:tcPr>
            <w:tcW w:w="4140" w:type="dxa"/>
            <w:vAlign w:val="bottom"/>
          </w:tcPr>
          <w:p>
            <w:pPr>
              <w:ind w:left="20"/>
              <w:spacing w:after="0"/>
              <w:rPr>
                <w:sz w:val="20"/>
                <w:szCs w:val="20"/>
                <w:color w:val="auto"/>
              </w:rPr>
            </w:pPr>
            <w:r>
              <w:rPr>
                <w:rFonts w:ascii="Arial" w:cs="Arial" w:eastAsia="Arial" w:hAnsi="Arial"/>
                <w:sz w:val="14"/>
                <w:szCs w:val="14"/>
                <w:color w:val="auto"/>
              </w:rPr>
              <w:t>3/11/2015</w:t>
            </w:r>
          </w:p>
        </w:tc>
        <w:tc>
          <w:tcPr>
            <w:tcW w:w="1100" w:type="dxa"/>
            <w:vAlign w:val="bottom"/>
          </w:tcPr>
          <w:p>
            <w:pPr>
              <w:jc w:val="right"/>
              <w:spacing w:after="0"/>
              <w:rPr>
                <w:sz w:val="20"/>
                <w:szCs w:val="20"/>
                <w:color w:val="auto"/>
              </w:rPr>
            </w:pPr>
            <w:r>
              <w:rPr>
                <w:rFonts w:ascii="Arial" w:cs="Arial" w:eastAsia="Arial" w:hAnsi="Arial"/>
                <w:sz w:val="14"/>
                <w:szCs w:val="14"/>
                <w:color w:val="auto"/>
              </w:rPr>
              <w:t>3/11/2020</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22,954</w:t>
            </w:r>
          </w:p>
        </w:tc>
        <w:tc>
          <w:tcPr>
            <w:tcW w:w="1080" w:type="dxa"/>
            <w:vAlign w:val="bottom"/>
          </w:tcPr>
          <w:p>
            <w:pPr>
              <w:ind w:left="70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2,150</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4,386</w:t>
            </w:r>
          </w:p>
        </w:tc>
        <w:tc>
          <w:tcPr>
            <w:tcW w:w="1040" w:type="dxa"/>
            <w:vAlign w:val="bottom"/>
          </w:tcPr>
          <w:p>
            <w:pPr>
              <w:ind w:left="760"/>
              <w:spacing w:after="0"/>
              <w:rPr>
                <w:sz w:val="20"/>
                <w:szCs w:val="20"/>
                <w:color w:val="auto"/>
              </w:rPr>
            </w:pPr>
            <w:r>
              <w:rPr>
                <w:rFonts w:ascii="Arial" w:cs="Arial" w:eastAsia="Arial" w:hAnsi="Arial"/>
                <w:sz w:val="14"/>
                <w:szCs w:val="14"/>
                <w:color w:val="auto"/>
              </w:rPr>
              <w:t>—</w:t>
            </w:r>
          </w:p>
        </w:tc>
      </w:tr>
      <w:tr>
        <w:trPr>
          <w:trHeight w:val="270"/>
        </w:trPr>
        <w:tc>
          <w:tcPr>
            <w:tcW w:w="4140" w:type="dxa"/>
            <w:vAlign w:val="bottom"/>
            <w:shd w:val="clear" w:color="auto" w:fill="E8EDF4"/>
          </w:tcPr>
          <w:p>
            <w:pPr>
              <w:ind w:left="20"/>
              <w:spacing w:after="0"/>
              <w:rPr>
                <w:sz w:val="20"/>
                <w:szCs w:val="20"/>
                <w:color w:val="auto"/>
              </w:rPr>
            </w:pPr>
            <w:r>
              <w:rPr>
                <w:rFonts w:ascii="Arial" w:cs="Arial" w:eastAsia="Arial" w:hAnsi="Arial"/>
                <w:sz w:val="14"/>
                <w:szCs w:val="14"/>
                <w:color w:val="auto"/>
              </w:rPr>
              <w:t>3/9/2016</w:t>
            </w:r>
          </w:p>
        </w:tc>
        <w:tc>
          <w:tcPr>
            <w:tcW w:w="1100" w:type="dxa"/>
            <w:vAlign w:val="bottom"/>
            <w:shd w:val="clear" w:color="auto" w:fill="E8EDF4"/>
          </w:tcPr>
          <w:p>
            <w:pPr>
              <w:jc w:val="right"/>
              <w:spacing w:after="0"/>
              <w:rPr>
                <w:sz w:val="20"/>
                <w:szCs w:val="20"/>
                <w:color w:val="auto"/>
              </w:rPr>
            </w:pPr>
            <w:r>
              <w:rPr>
                <w:rFonts w:ascii="Arial" w:cs="Arial" w:eastAsia="Arial" w:hAnsi="Arial"/>
                <w:sz w:val="14"/>
                <w:szCs w:val="14"/>
                <w:color w:val="auto"/>
              </w:rPr>
              <w:t>3/9/2020</w:t>
            </w:r>
          </w:p>
        </w:tc>
        <w:tc>
          <w:tcPr>
            <w:tcW w:w="1060" w:type="dxa"/>
            <w:vAlign w:val="bottom"/>
            <w:shd w:val="clear" w:color="auto" w:fill="E8EDF4"/>
          </w:tcPr>
          <w:p>
            <w:pPr>
              <w:jc w:val="right"/>
              <w:ind w:right="108"/>
              <w:spacing w:after="0"/>
              <w:rPr>
                <w:sz w:val="20"/>
                <w:szCs w:val="20"/>
                <w:color w:val="auto"/>
              </w:rPr>
            </w:pPr>
            <w:r>
              <w:rPr>
                <w:rFonts w:ascii="Arial" w:cs="Arial" w:eastAsia="Arial" w:hAnsi="Arial"/>
                <w:sz w:val="14"/>
                <w:szCs w:val="14"/>
                <w:color w:val="auto"/>
              </w:rPr>
              <w:t>20,353</w:t>
            </w:r>
          </w:p>
        </w:tc>
        <w:tc>
          <w:tcPr>
            <w:tcW w:w="1080" w:type="dxa"/>
            <w:vAlign w:val="bottom"/>
            <w:shd w:val="clear" w:color="auto" w:fill="E8EDF4"/>
          </w:tcPr>
          <w:p>
            <w:pPr>
              <w:ind w:left="700"/>
              <w:spacing w:after="0"/>
              <w:rPr>
                <w:sz w:val="20"/>
                <w:szCs w:val="20"/>
                <w:color w:val="auto"/>
              </w:rPr>
            </w:pPr>
            <w:r>
              <w:rPr>
                <w:rFonts w:ascii="Arial" w:cs="Arial" w:eastAsia="Arial" w:hAnsi="Arial"/>
                <w:sz w:val="14"/>
                <w:szCs w:val="14"/>
                <w:color w:val="auto"/>
              </w:rPr>
              <w:t>—</w:t>
            </w:r>
          </w:p>
        </w:tc>
        <w:tc>
          <w:tcPr>
            <w:tcW w:w="800" w:type="dxa"/>
            <w:vAlign w:val="bottom"/>
            <w:shd w:val="clear" w:color="auto" w:fill="E8EDF4"/>
          </w:tcPr>
          <w:p>
            <w:pPr>
              <w:jc w:val="right"/>
              <w:ind w:right="108"/>
              <w:spacing w:after="0"/>
              <w:rPr>
                <w:sz w:val="20"/>
                <w:szCs w:val="20"/>
                <w:color w:val="auto"/>
              </w:rPr>
            </w:pPr>
            <w:r>
              <w:rPr>
                <w:rFonts w:ascii="Arial" w:cs="Arial" w:eastAsia="Arial" w:hAnsi="Arial"/>
                <w:sz w:val="14"/>
                <w:szCs w:val="14"/>
                <w:color w:val="auto"/>
              </w:rPr>
              <w:t>1,738</w:t>
            </w:r>
          </w:p>
        </w:tc>
        <w:tc>
          <w:tcPr>
            <w:tcW w:w="900" w:type="dxa"/>
            <w:vAlign w:val="bottom"/>
            <w:shd w:val="clear" w:color="auto" w:fill="E8EDF4"/>
          </w:tcPr>
          <w:p>
            <w:pPr>
              <w:jc w:val="right"/>
              <w:ind w:right="128"/>
              <w:spacing w:after="0"/>
              <w:rPr>
                <w:sz w:val="20"/>
                <w:szCs w:val="20"/>
                <w:color w:val="auto"/>
              </w:rPr>
            </w:pPr>
            <w:r>
              <w:rPr>
                <w:rFonts w:ascii="Arial" w:cs="Arial" w:eastAsia="Arial" w:hAnsi="Arial"/>
                <w:sz w:val="14"/>
                <w:szCs w:val="14"/>
                <w:color w:val="auto"/>
              </w:rPr>
              <w:t>4,074</w:t>
            </w:r>
          </w:p>
        </w:tc>
        <w:tc>
          <w:tcPr>
            <w:tcW w:w="1040" w:type="dxa"/>
            <w:vAlign w:val="bottom"/>
            <w:shd w:val="clear" w:color="auto" w:fill="E8EDF4"/>
          </w:tcPr>
          <w:p>
            <w:pPr>
              <w:ind w:left="760"/>
              <w:spacing w:after="0"/>
              <w:rPr>
                <w:sz w:val="20"/>
                <w:szCs w:val="20"/>
                <w:color w:val="auto"/>
              </w:rPr>
            </w:pPr>
            <w:r>
              <w:rPr>
                <w:rFonts w:ascii="Arial" w:cs="Arial" w:eastAsia="Arial" w:hAnsi="Arial"/>
                <w:sz w:val="14"/>
                <w:szCs w:val="14"/>
                <w:color w:val="auto"/>
              </w:rPr>
              <w:t>—</w:t>
            </w:r>
          </w:p>
        </w:tc>
      </w:tr>
      <w:tr>
        <w:trPr>
          <w:trHeight w:val="162"/>
        </w:trPr>
        <w:tc>
          <w:tcPr>
            <w:tcW w:w="4140" w:type="dxa"/>
            <w:vAlign w:val="bottom"/>
            <w:shd w:val="clear" w:color="auto" w:fill="E8EDF4"/>
          </w:tcPr>
          <w:p>
            <w:pPr>
              <w:spacing w:after="0"/>
              <w:rPr>
                <w:sz w:val="14"/>
                <w:szCs w:val="14"/>
                <w:color w:val="auto"/>
              </w:rPr>
            </w:pPr>
          </w:p>
        </w:tc>
        <w:tc>
          <w:tcPr>
            <w:tcW w:w="1100" w:type="dxa"/>
            <w:vAlign w:val="bottom"/>
            <w:shd w:val="clear" w:color="auto" w:fill="E8EDF4"/>
          </w:tcPr>
          <w:p>
            <w:pPr>
              <w:jc w:val="right"/>
              <w:spacing w:after="0"/>
              <w:rPr>
                <w:sz w:val="20"/>
                <w:szCs w:val="20"/>
                <w:color w:val="auto"/>
              </w:rPr>
            </w:pPr>
            <w:r>
              <w:rPr>
                <w:rFonts w:ascii="Arial" w:cs="Arial" w:eastAsia="Arial" w:hAnsi="Arial"/>
                <w:sz w:val="14"/>
                <w:szCs w:val="14"/>
                <w:color w:val="auto"/>
              </w:rPr>
              <w:t>3/9/2021</w:t>
            </w:r>
          </w:p>
        </w:tc>
        <w:tc>
          <w:tcPr>
            <w:tcW w:w="1060" w:type="dxa"/>
            <w:vAlign w:val="bottom"/>
            <w:shd w:val="clear" w:color="auto" w:fill="E8EDF4"/>
          </w:tcPr>
          <w:p>
            <w:pPr>
              <w:jc w:val="right"/>
              <w:ind w:right="108"/>
              <w:spacing w:after="0"/>
              <w:rPr>
                <w:sz w:val="20"/>
                <w:szCs w:val="20"/>
                <w:color w:val="auto"/>
              </w:rPr>
            </w:pPr>
            <w:r>
              <w:rPr>
                <w:rFonts w:ascii="Arial" w:cs="Arial" w:eastAsia="Arial" w:hAnsi="Arial"/>
                <w:sz w:val="14"/>
                <w:szCs w:val="14"/>
                <w:color w:val="auto"/>
              </w:rPr>
              <w:t>20,353</w:t>
            </w:r>
          </w:p>
        </w:tc>
        <w:tc>
          <w:tcPr>
            <w:tcW w:w="1080" w:type="dxa"/>
            <w:vAlign w:val="bottom"/>
            <w:shd w:val="clear" w:color="auto" w:fill="E8EDF4"/>
          </w:tcPr>
          <w:p>
            <w:pPr>
              <w:ind w:left="700"/>
              <w:spacing w:after="0"/>
              <w:rPr>
                <w:sz w:val="20"/>
                <w:szCs w:val="20"/>
                <w:color w:val="auto"/>
              </w:rPr>
            </w:pPr>
            <w:r>
              <w:rPr>
                <w:rFonts w:ascii="Arial" w:cs="Arial" w:eastAsia="Arial" w:hAnsi="Arial"/>
                <w:sz w:val="14"/>
                <w:szCs w:val="14"/>
                <w:color w:val="auto"/>
              </w:rPr>
              <w:t>—</w:t>
            </w:r>
          </w:p>
        </w:tc>
        <w:tc>
          <w:tcPr>
            <w:tcW w:w="800" w:type="dxa"/>
            <w:vAlign w:val="bottom"/>
            <w:shd w:val="clear" w:color="auto" w:fill="E8EDF4"/>
          </w:tcPr>
          <w:p>
            <w:pPr>
              <w:jc w:val="right"/>
              <w:ind w:right="108"/>
              <w:spacing w:after="0"/>
              <w:rPr>
                <w:sz w:val="20"/>
                <w:szCs w:val="20"/>
                <w:color w:val="auto"/>
              </w:rPr>
            </w:pPr>
            <w:r>
              <w:rPr>
                <w:rFonts w:ascii="Arial" w:cs="Arial" w:eastAsia="Arial" w:hAnsi="Arial"/>
                <w:sz w:val="14"/>
                <w:szCs w:val="14"/>
                <w:color w:val="auto"/>
              </w:rPr>
              <w:t>1,737</w:t>
            </w:r>
          </w:p>
        </w:tc>
        <w:tc>
          <w:tcPr>
            <w:tcW w:w="900" w:type="dxa"/>
            <w:vAlign w:val="bottom"/>
            <w:shd w:val="clear" w:color="auto" w:fill="E8EDF4"/>
          </w:tcPr>
          <w:p>
            <w:pPr>
              <w:jc w:val="right"/>
              <w:ind w:right="128"/>
              <w:spacing w:after="0"/>
              <w:rPr>
                <w:sz w:val="20"/>
                <w:szCs w:val="20"/>
                <w:color w:val="auto"/>
              </w:rPr>
            </w:pPr>
            <w:r>
              <w:rPr>
                <w:rFonts w:ascii="Arial" w:cs="Arial" w:eastAsia="Arial" w:hAnsi="Arial"/>
                <w:sz w:val="14"/>
                <w:szCs w:val="14"/>
                <w:color w:val="auto"/>
              </w:rPr>
              <w:t>4,074</w:t>
            </w:r>
          </w:p>
        </w:tc>
        <w:tc>
          <w:tcPr>
            <w:tcW w:w="1040" w:type="dxa"/>
            <w:vAlign w:val="bottom"/>
            <w:shd w:val="clear" w:color="auto" w:fill="E8EDF4"/>
          </w:tcPr>
          <w:p>
            <w:pPr>
              <w:ind w:left="760"/>
              <w:spacing w:after="0"/>
              <w:rPr>
                <w:sz w:val="20"/>
                <w:szCs w:val="20"/>
                <w:color w:val="auto"/>
              </w:rPr>
            </w:pPr>
            <w:r>
              <w:rPr>
                <w:rFonts w:ascii="Arial" w:cs="Arial" w:eastAsia="Arial" w:hAnsi="Arial"/>
                <w:sz w:val="14"/>
                <w:szCs w:val="14"/>
                <w:color w:val="auto"/>
              </w:rPr>
              <w:t>—</w:t>
            </w:r>
          </w:p>
        </w:tc>
      </w:tr>
      <w:tr>
        <w:trPr>
          <w:trHeight w:val="275"/>
        </w:trPr>
        <w:tc>
          <w:tcPr>
            <w:tcW w:w="4140" w:type="dxa"/>
            <w:vAlign w:val="bottom"/>
          </w:tcPr>
          <w:p>
            <w:pPr>
              <w:ind w:left="20"/>
              <w:spacing w:after="0"/>
              <w:rPr>
                <w:sz w:val="20"/>
                <w:szCs w:val="20"/>
                <w:color w:val="auto"/>
              </w:rPr>
            </w:pPr>
            <w:r>
              <w:rPr>
                <w:rFonts w:ascii="Arial" w:cs="Arial" w:eastAsia="Arial" w:hAnsi="Arial"/>
                <w:sz w:val="14"/>
                <w:szCs w:val="14"/>
                <w:color w:val="auto"/>
              </w:rPr>
              <w:t>10/17/2016</w:t>
            </w:r>
          </w:p>
        </w:tc>
        <w:tc>
          <w:tcPr>
            <w:tcW w:w="1100" w:type="dxa"/>
            <w:vAlign w:val="bottom"/>
          </w:tcPr>
          <w:p>
            <w:pPr>
              <w:jc w:val="right"/>
              <w:spacing w:after="0"/>
              <w:rPr>
                <w:sz w:val="20"/>
                <w:szCs w:val="20"/>
                <w:color w:val="auto"/>
              </w:rPr>
            </w:pPr>
            <w:r>
              <w:rPr>
                <w:rFonts w:ascii="Arial" w:cs="Arial" w:eastAsia="Arial" w:hAnsi="Arial"/>
                <w:sz w:val="14"/>
                <w:szCs w:val="14"/>
                <w:color w:val="auto"/>
              </w:rPr>
              <w:t>10/17/2020</w:t>
            </w:r>
          </w:p>
        </w:tc>
        <w:tc>
          <w:tcPr>
            <w:tcW w:w="10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080" w:type="dxa"/>
            <w:vAlign w:val="bottom"/>
          </w:tcPr>
          <w:p>
            <w:pPr>
              <w:ind w:left="70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5,400</w:t>
            </w:r>
          </w:p>
        </w:tc>
        <w:tc>
          <w:tcPr>
            <w:tcW w:w="9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40" w:type="dxa"/>
            <w:vAlign w:val="bottom"/>
          </w:tcPr>
          <w:p>
            <w:pPr>
              <w:ind w:left="760"/>
              <w:spacing w:after="0"/>
              <w:rPr>
                <w:sz w:val="20"/>
                <w:szCs w:val="20"/>
                <w:color w:val="auto"/>
              </w:rPr>
            </w:pPr>
            <w:r>
              <w:rPr>
                <w:rFonts w:ascii="Arial" w:cs="Arial" w:eastAsia="Arial" w:hAnsi="Arial"/>
                <w:sz w:val="14"/>
                <w:szCs w:val="14"/>
                <w:color w:val="auto"/>
              </w:rPr>
              <w:t>—</w:t>
            </w:r>
          </w:p>
        </w:tc>
      </w:tr>
      <w:tr>
        <w:trPr>
          <w:trHeight w:val="157"/>
        </w:trPr>
        <w:tc>
          <w:tcPr>
            <w:tcW w:w="4140" w:type="dxa"/>
            <w:vAlign w:val="bottom"/>
          </w:tcPr>
          <w:p>
            <w:pPr>
              <w:spacing w:after="0"/>
              <w:rPr>
                <w:sz w:val="13"/>
                <w:szCs w:val="13"/>
                <w:color w:val="auto"/>
              </w:rPr>
            </w:pPr>
          </w:p>
        </w:tc>
        <w:tc>
          <w:tcPr>
            <w:tcW w:w="1100" w:type="dxa"/>
            <w:vAlign w:val="bottom"/>
          </w:tcPr>
          <w:p>
            <w:pPr>
              <w:jc w:val="right"/>
              <w:spacing w:after="0" w:line="157" w:lineRule="exact"/>
              <w:rPr>
                <w:sz w:val="20"/>
                <w:szCs w:val="20"/>
                <w:color w:val="auto"/>
              </w:rPr>
            </w:pPr>
            <w:r>
              <w:rPr>
                <w:rFonts w:ascii="Arial" w:cs="Arial" w:eastAsia="Arial" w:hAnsi="Arial"/>
                <w:sz w:val="14"/>
                <w:szCs w:val="14"/>
                <w:color w:val="auto"/>
              </w:rPr>
              <w:t>10/17/2021</w:t>
            </w:r>
          </w:p>
        </w:tc>
        <w:tc>
          <w:tcPr>
            <w:tcW w:w="1060" w:type="dxa"/>
            <w:vAlign w:val="bottom"/>
          </w:tcPr>
          <w:p>
            <w:pPr>
              <w:jc w:val="right"/>
              <w:ind w:right="188"/>
              <w:spacing w:after="0" w:line="157" w:lineRule="exact"/>
              <w:rPr>
                <w:sz w:val="20"/>
                <w:szCs w:val="20"/>
                <w:color w:val="auto"/>
              </w:rPr>
            </w:pPr>
            <w:r>
              <w:rPr>
                <w:rFonts w:ascii="Arial" w:cs="Arial" w:eastAsia="Arial" w:hAnsi="Arial"/>
                <w:sz w:val="14"/>
                <w:szCs w:val="14"/>
                <w:color w:val="auto"/>
              </w:rPr>
              <w:t>—</w:t>
            </w:r>
          </w:p>
        </w:tc>
        <w:tc>
          <w:tcPr>
            <w:tcW w:w="1080" w:type="dxa"/>
            <w:vAlign w:val="bottom"/>
          </w:tcPr>
          <w:p>
            <w:pPr>
              <w:ind w:left="700"/>
              <w:spacing w:after="0" w:line="157"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08"/>
              <w:spacing w:after="0" w:line="157" w:lineRule="exact"/>
              <w:rPr>
                <w:sz w:val="20"/>
                <w:szCs w:val="20"/>
                <w:color w:val="auto"/>
              </w:rPr>
            </w:pPr>
            <w:r>
              <w:rPr>
                <w:rFonts w:ascii="Arial" w:cs="Arial" w:eastAsia="Arial" w:hAnsi="Arial"/>
                <w:sz w:val="14"/>
                <w:szCs w:val="14"/>
                <w:color w:val="auto"/>
              </w:rPr>
              <w:t>5,400</w:t>
            </w:r>
          </w:p>
        </w:tc>
        <w:tc>
          <w:tcPr>
            <w:tcW w:w="900" w:type="dxa"/>
            <w:vAlign w:val="bottom"/>
          </w:tcPr>
          <w:p>
            <w:pPr>
              <w:jc w:val="right"/>
              <w:ind w:right="208"/>
              <w:spacing w:after="0" w:line="157" w:lineRule="exact"/>
              <w:rPr>
                <w:sz w:val="20"/>
                <w:szCs w:val="20"/>
                <w:color w:val="auto"/>
              </w:rPr>
            </w:pPr>
            <w:r>
              <w:rPr>
                <w:rFonts w:ascii="Arial" w:cs="Arial" w:eastAsia="Arial" w:hAnsi="Arial"/>
                <w:sz w:val="14"/>
                <w:szCs w:val="14"/>
                <w:color w:val="auto"/>
              </w:rPr>
              <w:t>—</w:t>
            </w:r>
          </w:p>
        </w:tc>
        <w:tc>
          <w:tcPr>
            <w:tcW w:w="1040" w:type="dxa"/>
            <w:vAlign w:val="bottom"/>
          </w:tcPr>
          <w:p>
            <w:pPr>
              <w:ind w:left="760"/>
              <w:spacing w:after="0" w:line="157" w:lineRule="exact"/>
              <w:rPr>
                <w:sz w:val="20"/>
                <w:szCs w:val="20"/>
                <w:color w:val="auto"/>
              </w:rPr>
            </w:pPr>
            <w:r>
              <w:rPr>
                <w:rFonts w:ascii="Arial" w:cs="Arial" w:eastAsia="Arial" w:hAnsi="Arial"/>
                <w:sz w:val="14"/>
                <w:szCs w:val="14"/>
                <w:color w:val="auto"/>
              </w:rPr>
              <w:t>—</w:t>
            </w:r>
          </w:p>
        </w:tc>
      </w:tr>
      <w:tr>
        <w:trPr>
          <w:trHeight w:val="270"/>
        </w:trPr>
        <w:tc>
          <w:tcPr>
            <w:tcW w:w="4140" w:type="dxa"/>
            <w:vAlign w:val="bottom"/>
            <w:shd w:val="clear" w:color="auto" w:fill="E8EDF4"/>
          </w:tcPr>
          <w:p>
            <w:pPr>
              <w:ind w:left="20"/>
              <w:spacing w:after="0"/>
              <w:rPr>
                <w:sz w:val="20"/>
                <w:szCs w:val="20"/>
                <w:color w:val="auto"/>
              </w:rPr>
            </w:pPr>
            <w:r>
              <w:rPr>
                <w:rFonts w:ascii="Arial" w:cs="Arial" w:eastAsia="Arial" w:hAnsi="Arial"/>
                <w:sz w:val="14"/>
                <w:szCs w:val="14"/>
                <w:color w:val="auto"/>
              </w:rPr>
              <w:t>3/8/2017</w:t>
            </w:r>
          </w:p>
        </w:tc>
        <w:tc>
          <w:tcPr>
            <w:tcW w:w="1100" w:type="dxa"/>
            <w:vAlign w:val="bottom"/>
            <w:shd w:val="clear" w:color="auto" w:fill="E8EDF4"/>
          </w:tcPr>
          <w:p>
            <w:pPr>
              <w:jc w:val="right"/>
              <w:spacing w:after="0"/>
              <w:rPr>
                <w:sz w:val="20"/>
                <w:szCs w:val="20"/>
                <w:color w:val="auto"/>
              </w:rPr>
            </w:pPr>
            <w:r>
              <w:rPr>
                <w:rFonts w:ascii="Arial" w:cs="Arial" w:eastAsia="Arial" w:hAnsi="Arial"/>
                <w:sz w:val="14"/>
                <w:szCs w:val="14"/>
                <w:color w:val="auto"/>
              </w:rPr>
              <w:t>3/8/2020</w:t>
            </w:r>
          </w:p>
        </w:tc>
        <w:tc>
          <w:tcPr>
            <w:tcW w:w="1060" w:type="dxa"/>
            <w:vAlign w:val="bottom"/>
            <w:shd w:val="clear" w:color="auto" w:fill="E8EDF4"/>
          </w:tcPr>
          <w:p>
            <w:pPr>
              <w:jc w:val="right"/>
              <w:ind w:right="108"/>
              <w:spacing w:after="0"/>
              <w:rPr>
                <w:sz w:val="20"/>
                <w:szCs w:val="20"/>
                <w:color w:val="auto"/>
              </w:rPr>
            </w:pPr>
            <w:r>
              <w:rPr>
                <w:rFonts w:ascii="Arial" w:cs="Arial" w:eastAsia="Arial" w:hAnsi="Arial"/>
                <w:sz w:val="14"/>
                <w:szCs w:val="14"/>
                <w:color w:val="auto"/>
              </w:rPr>
              <w:t>22,871</w:t>
            </w:r>
          </w:p>
        </w:tc>
        <w:tc>
          <w:tcPr>
            <w:tcW w:w="1080" w:type="dxa"/>
            <w:vAlign w:val="bottom"/>
            <w:shd w:val="clear" w:color="auto" w:fill="E8EDF4"/>
          </w:tcPr>
          <w:p>
            <w:pPr>
              <w:ind w:left="700"/>
              <w:spacing w:after="0"/>
              <w:rPr>
                <w:sz w:val="20"/>
                <w:szCs w:val="20"/>
                <w:color w:val="auto"/>
              </w:rPr>
            </w:pPr>
            <w:r>
              <w:rPr>
                <w:rFonts w:ascii="Arial" w:cs="Arial" w:eastAsia="Arial" w:hAnsi="Arial"/>
                <w:sz w:val="14"/>
                <w:szCs w:val="14"/>
                <w:color w:val="auto"/>
              </w:rPr>
              <w:t>—</w:t>
            </w:r>
          </w:p>
        </w:tc>
        <w:tc>
          <w:tcPr>
            <w:tcW w:w="800" w:type="dxa"/>
            <w:vAlign w:val="bottom"/>
            <w:shd w:val="clear" w:color="auto" w:fill="E8EDF4"/>
          </w:tcPr>
          <w:p>
            <w:pPr>
              <w:jc w:val="right"/>
              <w:ind w:right="108"/>
              <w:spacing w:after="0"/>
              <w:rPr>
                <w:sz w:val="20"/>
                <w:szCs w:val="20"/>
                <w:color w:val="auto"/>
              </w:rPr>
            </w:pPr>
            <w:r>
              <w:rPr>
                <w:rFonts w:ascii="Arial" w:cs="Arial" w:eastAsia="Arial" w:hAnsi="Arial"/>
                <w:sz w:val="14"/>
                <w:szCs w:val="14"/>
                <w:color w:val="auto"/>
              </w:rPr>
              <w:t>3,519</w:t>
            </w:r>
          </w:p>
        </w:tc>
        <w:tc>
          <w:tcPr>
            <w:tcW w:w="900" w:type="dxa"/>
            <w:vAlign w:val="bottom"/>
            <w:shd w:val="clear" w:color="auto" w:fill="E8EDF4"/>
          </w:tcPr>
          <w:p>
            <w:pPr>
              <w:jc w:val="right"/>
              <w:ind w:right="128"/>
              <w:spacing w:after="0"/>
              <w:rPr>
                <w:sz w:val="20"/>
                <w:szCs w:val="20"/>
                <w:color w:val="auto"/>
              </w:rPr>
            </w:pPr>
            <w:r>
              <w:rPr>
                <w:rFonts w:ascii="Arial" w:cs="Arial" w:eastAsia="Arial" w:hAnsi="Arial"/>
                <w:sz w:val="14"/>
                <w:szCs w:val="14"/>
                <w:color w:val="auto"/>
              </w:rPr>
              <w:t>3,910</w:t>
            </w:r>
          </w:p>
        </w:tc>
        <w:tc>
          <w:tcPr>
            <w:tcW w:w="1040" w:type="dxa"/>
            <w:vAlign w:val="bottom"/>
            <w:shd w:val="clear" w:color="auto" w:fill="E8EDF4"/>
          </w:tcPr>
          <w:p>
            <w:pPr>
              <w:ind w:left="760"/>
              <w:spacing w:after="0"/>
              <w:rPr>
                <w:sz w:val="20"/>
                <w:szCs w:val="20"/>
                <w:color w:val="auto"/>
              </w:rPr>
            </w:pPr>
            <w:r>
              <w:rPr>
                <w:rFonts w:ascii="Arial" w:cs="Arial" w:eastAsia="Arial" w:hAnsi="Arial"/>
                <w:sz w:val="14"/>
                <w:szCs w:val="14"/>
                <w:color w:val="auto"/>
              </w:rPr>
              <w:t>—</w:t>
            </w:r>
          </w:p>
        </w:tc>
      </w:tr>
      <w:tr>
        <w:trPr>
          <w:trHeight w:val="162"/>
        </w:trPr>
        <w:tc>
          <w:tcPr>
            <w:tcW w:w="4140" w:type="dxa"/>
            <w:vAlign w:val="bottom"/>
            <w:shd w:val="clear" w:color="auto" w:fill="E8EDF4"/>
          </w:tcPr>
          <w:p>
            <w:pPr>
              <w:spacing w:after="0"/>
              <w:rPr>
                <w:sz w:val="14"/>
                <w:szCs w:val="14"/>
                <w:color w:val="auto"/>
              </w:rPr>
            </w:pPr>
          </w:p>
        </w:tc>
        <w:tc>
          <w:tcPr>
            <w:tcW w:w="1100" w:type="dxa"/>
            <w:vAlign w:val="bottom"/>
            <w:shd w:val="clear" w:color="auto" w:fill="E8EDF4"/>
          </w:tcPr>
          <w:p>
            <w:pPr>
              <w:jc w:val="right"/>
              <w:spacing w:after="0"/>
              <w:rPr>
                <w:sz w:val="20"/>
                <w:szCs w:val="20"/>
                <w:color w:val="auto"/>
              </w:rPr>
            </w:pPr>
            <w:r>
              <w:rPr>
                <w:rFonts w:ascii="Arial" w:cs="Arial" w:eastAsia="Arial" w:hAnsi="Arial"/>
                <w:sz w:val="14"/>
                <w:szCs w:val="14"/>
                <w:color w:val="auto"/>
              </w:rPr>
              <w:t>3/8/2021</w:t>
            </w:r>
          </w:p>
        </w:tc>
        <w:tc>
          <w:tcPr>
            <w:tcW w:w="1060" w:type="dxa"/>
            <w:vAlign w:val="bottom"/>
            <w:shd w:val="clear" w:color="auto" w:fill="E8EDF4"/>
          </w:tcPr>
          <w:p>
            <w:pPr>
              <w:jc w:val="right"/>
              <w:ind w:right="108"/>
              <w:spacing w:after="0"/>
              <w:rPr>
                <w:sz w:val="20"/>
                <w:szCs w:val="20"/>
                <w:color w:val="auto"/>
              </w:rPr>
            </w:pPr>
            <w:r>
              <w:rPr>
                <w:rFonts w:ascii="Arial" w:cs="Arial" w:eastAsia="Arial" w:hAnsi="Arial"/>
                <w:sz w:val="14"/>
                <w:szCs w:val="14"/>
                <w:color w:val="auto"/>
              </w:rPr>
              <w:t>22,871</w:t>
            </w:r>
          </w:p>
        </w:tc>
        <w:tc>
          <w:tcPr>
            <w:tcW w:w="1080" w:type="dxa"/>
            <w:vAlign w:val="bottom"/>
            <w:shd w:val="clear" w:color="auto" w:fill="E8EDF4"/>
          </w:tcPr>
          <w:p>
            <w:pPr>
              <w:ind w:left="700"/>
              <w:spacing w:after="0"/>
              <w:rPr>
                <w:sz w:val="20"/>
                <w:szCs w:val="20"/>
                <w:color w:val="auto"/>
              </w:rPr>
            </w:pPr>
            <w:r>
              <w:rPr>
                <w:rFonts w:ascii="Arial" w:cs="Arial" w:eastAsia="Arial" w:hAnsi="Arial"/>
                <w:sz w:val="14"/>
                <w:szCs w:val="14"/>
                <w:color w:val="auto"/>
              </w:rPr>
              <w:t>—</w:t>
            </w:r>
          </w:p>
        </w:tc>
        <w:tc>
          <w:tcPr>
            <w:tcW w:w="800" w:type="dxa"/>
            <w:vAlign w:val="bottom"/>
            <w:shd w:val="clear" w:color="auto" w:fill="E8EDF4"/>
          </w:tcPr>
          <w:p>
            <w:pPr>
              <w:jc w:val="right"/>
              <w:ind w:right="108"/>
              <w:spacing w:after="0"/>
              <w:rPr>
                <w:sz w:val="20"/>
                <w:szCs w:val="20"/>
                <w:color w:val="auto"/>
              </w:rPr>
            </w:pPr>
            <w:r>
              <w:rPr>
                <w:rFonts w:ascii="Arial" w:cs="Arial" w:eastAsia="Arial" w:hAnsi="Arial"/>
                <w:sz w:val="14"/>
                <w:szCs w:val="14"/>
                <w:color w:val="auto"/>
              </w:rPr>
              <w:t>3,519</w:t>
            </w:r>
          </w:p>
        </w:tc>
        <w:tc>
          <w:tcPr>
            <w:tcW w:w="900" w:type="dxa"/>
            <w:vAlign w:val="bottom"/>
            <w:shd w:val="clear" w:color="auto" w:fill="E8EDF4"/>
          </w:tcPr>
          <w:p>
            <w:pPr>
              <w:jc w:val="right"/>
              <w:ind w:right="128"/>
              <w:spacing w:after="0"/>
              <w:rPr>
                <w:sz w:val="20"/>
                <w:szCs w:val="20"/>
                <w:color w:val="auto"/>
              </w:rPr>
            </w:pPr>
            <w:r>
              <w:rPr>
                <w:rFonts w:ascii="Arial" w:cs="Arial" w:eastAsia="Arial" w:hAnsi="Arial"/>
                <w:sz w:val="14"/>
                <w:szCs w:val="14"/>
                <w:color w:val="auto"/>
              </w:rPr>
              <w:t>3,909</w:t>
            </w:r>
          </w:p>
        </w:tc>
        <w:tc>
          <w:tcPr>
            <w:tcW w:w="1040" w:type="dxa"/>
            <w:vAlign w:val="bottom"/>
            <w:shd w:val="clear" w:color="auto" w:fill="E8EDF4"/>
          </w:tcPr>
          <w:p>
            <w:pPr>
              <w:ind w:left="760"/>
              <w:spacing w:after="0"/>
              <w:rPr>
                <w:sz w:val="20"/>
                <w:szCs w:val="20"/>
                <w:color w:val="auto"/>
              </w:rPr>
            </w:pPr>
            <w:r>
              <w:rPr>
                <w:rFonts w:ascii="Arial" w:cs="Arial" w:eastAsia="Arial" w:hAnsi="Arial"/>
                <w:sz w:val="14"/>
                <w:szCs w:val="14"/>
                <w:color w:val="auto"/>
              </w:rPr>
              <w:t>—</w:t>
            </w:r>
          </w:p>
        </w:tc>
      </w:tr>
      <w:tr>
        <w:trPr>
          <w:trHeight w:val="162"/>
        </w:trPr>
        <w:tc>
          <w:tcPr>
            <w:tcW w:w="4140" w:type="dxa"/>
            <w:vAlign w:val="bottom"/>
            <w:shd w:val="clear" w:color="auto" w:fill="E8EDF4"/>
          </w:tcPr>
          <w:p>
            <w:pPr>
              <w:spacing w:after="0"/>
              <w:rPr>
                <w:sz w:val="14"/>
                <w:szCs w:val="14"/>
                <w:color w:val="auto"/>
              </w:rPr>
            </w:pPr>
          </w:p>
        </w:tc>
        <w:tc>
          <w:tcPr>
            <w:tcW w:w="1100" w:type="dxa"/>
            <w:vAlign w:val="bottom"/>
            <w:shd w:val="clear" w:color="auto" w:fill="E8EDF4"/>
          </w:tcPr>
          <w:p>
            <w:pPr>
              <w:jc w:val="right"/>
              <w:spacing w:after="0"/>
              <w:rPr>
                <w:sz w:val="20"/>
                <w:szCs w:val="20"/>
                <w:color w:val="auto"/>
              </w:rPr>
            </w:pPr>
            <w:r>
              <w:rPr>
                <w:rFonts w:ascii="Arial" w:cs="Arial" w:eastAsia="Arial" w:hAnsi="Arial"/>
                <w:sz w:val="14"/>
                <w:szCs w:val="14"/>
                <w:color w:val="auto"/>
              </w:rPr>
              <w:t>3/8/2022</w:t>
            </w:r>
          </w:p>
        </w:tc>
        <w:tc>
          <w:tcPr>
            <w:tcW w:w="1060" w:type="dxa"/>
            <w:vAlign w:val="bottom"/>
            <w:shd w:val="clear" w:color="auto" w:fill="E8EDF4"/>
          </w:tcPr>
          <w:p>
            <w:pPr>
              <w:jc w:val="right"/>
              <w:ind w:right="108"/>
              <w:spacing w:after="0"/>
              <w:rPr>
                <w:sz w:val="20"/>
                <w:szCs w:val="20"/>
                <w:color w:val="auto"/>
              </w:rPr>
            </w:pPr>
            <w:r>
              <w:rPr>
                <w:rFonts w:ascii="Arial" w:cs="Arial" w:eastAsia="Arial" w:hAnsi="Arial"/>
                <w:sz w:val="14"/>
                <w:szCs w:val="14"/>
                <w:color w:val="auto"/>
              </w:rPr>
              <w:t>22,872</w:t>
            </w:r>
          </w:p>
        </w:tc>
        <w:tc>
          <w:tcPr>
            <w:tcW w:w="1080" w:type="dxa"/>
            <w:vAlign w:val="bottom"/>
            <w:shd w:val="clear" w:color="auto" w:fill="E8EDF4"/>
          </w:tcPr>
          <w:p>
            <w:pPr>
              <w:ind w:left="700"/>
              <w:spacing w:after="0"/>
              <w:rPr>
                <w:sz w:val="20"/>
                <w:szCs w:val="20"/>
                <w:color w:val="auto"/>
              </w:rPr>
            </w:pPr>
            <w:r>
              <w:rPr>
                <w:rFonts w:ascii="Arial" w:cs="Arial" w:eastAsia="Arial" w:hAnsi="Arial"/>
                <w:sz w:val="14"/>
                <w:szCs w:val="14"/>
                <w:color w:val="auto"/>
              </w:rPr>
              <w:t>—</w:t>
            </w:r>
          </w:p>
        </w:tc>
        <w:tc>
          <w:tcPr>
            <w:tcW w:w="800" w:type="dxa"/>
            <w:vAlign w:val="bottom"/>
            <w:shd w:val="clear" w:color="auto" w:fill="E8EDF4"/>
          </w:tcPr>
          <w:p>
            <w:pPr>
              <w:jc w:val="right"/>
              <w:ind w:right="108"/>
              <w:spacing w:after="0"/>
              <w:rPr>
                <w:sz w:val="20"/>
                <w:szCs w:val="20"/>
                <w:color w:val="auto"/>
              </w:rPr>
            </w:pPr>
            <w:r>
              <w:rPr>
                <w:rFonts w:ascii="Arial" w:cs="Arial" w:eastAsia="Arial" w:hAnsi="Arial"/>
                <w:sz w:val="14"/>
                <w:szCs w:val="14"/>
                <w:color w:val="auto"/>
              </w:rPr>
              <w:t>3,519</w:t>
            </w:r>
          </w:p>
        </w:tc>
        <w:tc>
          <w:tcPr>
            <w:tcW w:w="900" w:type="dxa"/>
            <w:vAlign w:val="bottom"/>
            <w:shd w:val="clear" w:color="auto" w:fill="E8EDF4"/>
          </w:tcPr>
          <w:p>
            <w:pPr>
              <w:jc w:val="right"/>
              <w:ind w:right="128"/>
              <w:spacing w:after="0"/>
              <w:rPr>
                <w:sz w:val="20"/>
                <w:szCs w:val="20"/>
                <w:color w:val="auto"/>
              </w:rPr>
            </w:pPr>
            <w:r>
              <w:rPr>
                <w:rFonts w:ascii="Arial" w:cs="Arial" w:eastAsia="Arial" w:hAnsi="Arial"/>
                <w:sz w:val="14"/>
                <w:szCs w:val="14"/>
                <w:color w:val="auto"/>
              </w:rPr>
              <w:t>3,910</w:t>
            </w:r>
          </w:p>
        </w:tc>
        <w:tc>
          <w:tcPr>
            <w:tcW w:w="1040" w:type="dxa"/>
            <w:vAlign w:val="bottom"/>
            <w:shd w:val="clear" w:color="auto" w:fill="E8EDF4"/>
          </w:tcPr>
          <w:p>
            <w:pPr>
              <w:ind w:left="760"/>
              <w:spacing w:after="0"/>
              <w:rPr>
                <w:sz w:val="20"/>
                <w:szCs w:val="20"/>
                <w:color w:val="auto"/>
              </w:rPr>
            </w:pPr>
            <w:r>
              <w:rPr>
                <w:rFonts w:ascii="Arial" w:cs="Arial" w:eastAsia="Arial" w:hAnsi="Arial"/>
                <w:sz w:val="14"/>
                <w:szCs w:val="14"/>
                <w:color w:val="auto"/>
              </w:rPr>
              <w:t>—</w:t>
            </w:r>
          </w:p>
        </w:tc>
      </w:tr>
      <w:tr>
        <w:trPr>
          <w:trHeight w:val="275"/>
        </w:trPr>
        <w:tc>
          <w:tcPr>
            <w:tcW w:w="4140" w:type="dxa"/>
            <w:vAlign w:val="bottom"/>
          </w:tcPr>
          <w:p>
            <w:pPr>
              <w:ind w:left="20"/>
              <w:spacing w:after="0"/>
              <w:rPr>
                <w:sz w:val="20"/>
                <w:szCs w:val="20"/>
                <w:color w:val="auto"/>
              </w:rPr>
            </w:pPr>
            <w:r>
              <w:rPr>
                <w:rFonts w:ascii="Arial" w:cs="Arial" w:eastAsia="Arial" w:hAnsi="Arial"/>
                <w:sz w:val="14"/>
                <w:szCs w:val="14"/>
                <w:color w:val="auto"/>
              </w:rPr>
              <w:t>6/15/2017</w:t>
            </w:r>
          </w:p>
        </w:tc>
        <w:tc>
          <w:tcPr>
            <w:tcW w:w="1100" w:type="dxa"/>
            <w:vAlign w:val="bottom"/>
          </w:tcPr>
          <w:p>
            <w:pPr>
              <w:jc w:val="right"/>
              <w:spacing w:after="0"/>
              <w:rPr>
                <w:sz w:val="20"/>
                <w:szCs w:val="20"/>
                <w:color w:val="auto"/>
              </w:rPr>
            </w:pPr>
            <w:r>
              <w:rPr>
                <w:rFonts w:ascii="Arial" w:cs="Arial" w:eastAsia="Arial" w:hAnsi="Arial"/>
                <w:sz w:val="14"/>
                <w:szCs w:val="14"/>
                <w:color w:val="auto"/>
              </w:rPr>
              <w:t>6/15/2020</w:t>
            </w:r>
          </w:p>
        </w:tc>
        <w:tc>
          <w:tcPr>
            <w:tcW w:w="10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080" w:type="dxa"/>
            <w:vAlign w:val="bottom"/>
          </w:tcPr>
          <w:p>
            <w:pPr>
              <w:ind w:left="70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40" w:type="dxa"/>
            <w:vAlign w:val="bottom"/>
          </w:tcPr>
          <w:p>
            <w:pPr>
              <w:ind w:left="620"/>
              <w:spacing w:after="0"/>
              <w:rPr>
                <w:sz w:val="20"/>
                <w:szCs w:val="20"/>
                <w:color w:val="auto"/>
              </w:rPr>
            </w:pPr>
            <w:r>
              <w:rPr>
                <w:rFonts w:ascii="Arial" w:cs="Arial" w:eastAsia="Arial" w:hAnsi="Arial"/>
                <w:sz w:val="14"/>
                <w:szCs w:val="14"/>
                <w:color w:val="auto"/>
              </w:rPr>
              <w:t>6,078</w:t>
            </w:r>
          </w:p>
        </w:tc>
      </w:tr>
      <w:tr>
        <w:trPr>
          <w:trHeight w:val="162"/>
        </w:trPr>
        <w:tc>
          <w:tcPr>
            <w:tcW w:w="4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6/15/2021</w:t>
            </w:r>
          </w:p>
        </w:tc>
        <w:tc>
          <w:tcPr>
            <w:tcW w:w="10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080" w:type="dxa"/>
            <w:vAlign w:val="bottom"/>
          </w:tcPr>
          <w:p>
            <w:pPr>
              <w:ind w:left="70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40" w:type="dxa"/>
            <w:vAlign w:val="bottom"/>
          </w:tcPr>
          <w:p>
            <w:pPr>
              <w:ind w:left="620"/>
              <w:spacing w:after="0"/>
              <w:rPr>
                <w:sz w:val="20"/>
                <w:szCs w:val="20"/>
                <w:color w:val="auto"/>
              </w:rPr>
            </w:pPr>
            <w:r>
              <w:rPr>
                <w:rFonts w:ascii="Arial" w:cs="Arial" w:eastAsia="Arial" w:hAnsi="Arial"/>
                <w:sz w:val="14"/>
                <w:szCs w:val="14"/>
                <w:color w:val="auto"/>
              </w:rPr>
              <w:t>6,078</w:t>
            </w:r>
          </w:p>
        </w:tc>
      </w:tr>
      <w:tr>
        <w:trPr>
          <w:trHeight w:val="157"/>
        </w:trPr>
        <w:tc>
          <w:tcPr>
            <w:tcW w:w="4140" w:type="dxa"/>
            <w:vAlign w:val="bottom"/>
          </w:tcPr>
          <w:p>
            <w:pPr>
              <w:spacing w:after="0"/>
              <w:rPr>
                <w:sz w:val="13"/>
                <w:szCs w:val="13"/>
                <w:color w:val="auto"/>
              </w:rPr>
            </w:pPr>
          </w:p>
        </w:tc>
        <w:tc>
          <w:tcPr>
            <w:tcW w:w="1100" w:type="dxa"/>
            <w:vAlign w:val="bottom"/>
          </w:tcPr>
          <w:p>
            <w:pPr>
              <w:jc w:val="right"/>
              <w:spacing w:after="0" w:line="157" w:lineRule="exact"/>
              <w:rPr>
                <w:sz w:val="20"/>
                <w:szCs w:val="20"/>
                <w:color w:val="auto"/>
              </w:rPr>
            </w:pPr>
            <w:r>
              <w:rPr>
                <w:rFonts w:ascii="Arial" w:cs="Arial" w:eastAsia="Arial" w:hAnsi="Arial"/>
                <w:sz w:val="14"/>
                <w:szCs w:val="14"/>
                <w:color w:val="auto"/>
              </w:rPr>
              <w:t>6/15/2022</w:t>
            </w:r>
          </w:p>
        </w:tc>
        <w:tc>
          <w:tcPr>
            <w:tcW w:w="1060" w:type="dxa"/>
            <w:vAlign w:val="bottom"/>
          </w:tcPr>
          <w:p>
            <w:pPr>
              <w:jc w:val="right"/>
              <w:ind w:right="188"/>
              <w:spacing w:after="0" w:line="157" w:lineRule="exact"/>
              <w:rPr>
                <w:sz w:val="20"/>
                <w:szCs w:val="20"/>
                <w:color w:val="auto"/>
              </w:rPr>
            </w:pPr>
            <w:r>
              <w:rPr>
                <w:rFonts w:ascii="Arial" w:cs="Arial" w:eastAsia="Arial" w:hAnsi="Arial"/>
                <w:sz w:val="14"/>
                <w:szCs w:val="14"/>
                <w:color w:val="auto"/>
              </w:rPr>
              <w:t>—</w:t>
            </w:r>
          </w:p>
        </w:tc>
        <w:tc>
          <w:tcPr>
            <w:tcW w:w="1080" w:type="dxa"/>
            <w:vAlign w:val="bottom"/>
          </w:tcPr>
          <w:p>
            <w:pPr>
              <w:ind w:left="700"/>
              <w:spacing w:after="0" w:line="157"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88"/>
              <w:spacing w:after="0" w:line="157"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208"/>
              <w:spacing w:after="0" w:line="157" w:lineRule="exact"/>
              <w:rPr>
                <w:sz w:val="20"/>
                <w:szCs w:val="20"/>
                <w:color w:val="auto"/>
              </w:rPr>
            </w:pPr>
            <w:r>
              <w:rPr>
                <w:rFonts w:ascii="Arial" w:cs="Arial" w:eastAsia="Arial" w:hAnsi="Arial"/>
                <w:sz w:val="14"/>
                <w:szCs w:val="14"/>
                <w:color w:val="auto"/>
              </w:rPr>
              <w:t>—</w:t>
            </w:r>
          </w:p>
        </w:tc>
        <w:tc>
          <w:tcPr>
            <w:tcW w:w="1040" w:type="dxa"/>
            <w:vAlign w:val="bottom"/>
          </w:tcPr>
          <w:p>
            <w:pPr>
              <w:ind w:left="620"/>
              <w:spacing w:after="0" w:line="157" w:lineRule="exact"/>
              <w:rPr>
                <w:sz w:val="20"/>
                <w:szCs w:val="20"/>
                <w:color w:val="auto"/>
              </w:rPr>
            </w:pPr>
            <w:r>
              <w:rPr>
                <w:rFonts w:ascii="Arial" w:cs="Arial" w:eastAsia="Arial" w:hAnsi="Arial"/>
                <w:sz w:val="14"/>
                <w:szCs w:val="14"/>
                <w:color w:val="auto"/>
              </w:rPr>
              <w:t>6,079</w:t>
            </w:r>
          </w:p>
        </w:tc>
      </w:tr>
      <w:tr>
        <w:trPr>
          <w:trHeight w:val="270"/>
        </w:trPr>
        <w:tc>
          <w:tcPr>
            <w:tcW w:w="4140" w:type="dxa"/>
            <w:vAlign w:val="bottom"/>
            <w:shd w:val="clear" w:color="auto" w:fill="E8EDF4"/>
          </w:tcPr>
          <w:p>
            <w:pPr>
              <w:ind w:left="20"/>
              <w:spacing w:after="0"/>
              <w:rPr>
                <w:sz w:val="20"/>
                <w:szCs w:val="20"/>
                <w:color w:val="auto"/>
              </w:rPr>
            </w:pPr>
            <w:r>
              <w:rPr>
                <w:rFonts w:ascii="Arial" w:cs="Arial" w:eastAsia="Arial" w:hAnsi="Arial"/>
                <w:sz w:val="14"/>
                <w:szCs w:val="14"/>
                <w:color w:val="auto"/>
              </w:rPr>
              <w:t>3/29/2018</w:t>
            </w:r>
          </w:p>
        </w:tc>
        <w:tc>
          <w:tcPr>
            <w:tcW w:w="1100" w:type="dxa"/>
            <w:vAlign w:val="bottom"/>
            <w:shd w:val="clear" w:color="auto" w:fill="E8EDF4"/>
          </w:tcPr>
          <w:p>
            <w:pPr>
              <w:jc w:val="right"/>
              <w:spacing w:after="0"/>
              <w:rPr>
                <w:sz w:val="20"/>
                <w:szCs w:val="20"/>
                <w:color w:val="auto"/>
              </w:rPr>
            </w:pPr>
            <w:r>
              <w:rPr>
                <w:rFonts w:ascii="Arial" w:cs="Arial" w:eastAsia="Arial" w:hAnsi="Arial"/>
                <w:sz w:val="14"/>
                <w:szCs w:val="14"/>
                <w:color w:val="auto"/>
              </w:rPr>
              <w:t>3/29/2020</w:t>
            </w:r>
          </w:p>
        </w:tc>
        <w:tc>
          <w:tcPr>
            <w:tcW w:w="1060" w:type="dxa"/>
            <w:vAlign w:val="bottom"/>
            <w:shd w:val="clear" w:color="auto" w:fill="E8EDF4"/>
          </w:tcPr>
          <w:p>
            <w:pPr>
              <w:jc w:val="right"/>
              <w:ind w:right="108"/>
              <w:spacing w:after="0"/>
              <w:rPr>
                <w:sz w:val="20"/>
                <w:szCs w:val="20"/>
                <w:color w:val="auto"/>
              </w:rPr>
            </w:pPr>
            <w:r>
              <w:rPr>
                <w:rFonts w:ascii="Arial" w:cs="Arial" w:eastAsia="Arial" w:hAnsi="Arial"/>
                <w:sz w:val="14"/>
                <w:szCs w:val="14"/>
                <w:color w:val="auto"/>
              </w:rPr>
              <w:t>27,665</w:t>
            </w:r>
          </w:p>
        </w:tc>
        <w:tc>
          <w:tcPr>
            <w:tcW w:w="1080" w:type="dxa"/>
            <w:vAlign w:val="bottom"/>
            <w:shd w:val="clear" w:color="auto" w:fill="E8EDF4"/>
          </w:tcPr>
          <w:p>
            <w:pPr>
              <w:ind w:left="560"/>
              <w:spacing w:after="0"/>
              <w:rPr>
                <w:sz w:val="20"/>
                <w:szCs w:val="20"/>
                <w:color w:val="auto"/>
              </w:rPr>
            </w:pPr>
            <w:r>
              <w:rPr>
                <w:rFonts w:ascii="Arial" w:cs="Arial" w:eastAsia="Arial" w:hAnsi="Arial"/>
                <w:sz w:val="14"/>
                <w:szCs w:val="14"/>
                <w:color w:val="auto"/>
              </w:rPr>
              <w:t>8,695</w:t>
            </w:r>
          </w:p>
        </w:tc>
        <w:tc>
          <w:tcPr>
            <w:tcW w:w="800" w:type="dxa"/>
            <w:vAlign w:val="bottom"/>
            <w:shd w:val="clear" w:color="auto" w:fill="E8EDF4"/>
          </w:tcPr>
          <w:p>
            <w:pPr>
              <w:jc w:val="right"/>
              <w:ind w:right="108"/>
              <w:spacing w:after="0"/>
              <w:rPr>
                <w:sz w:val="20"/>
                <w:szCs w:val="20"/>
                <w:color w:val="auto"/>
              </w:rPr>
            </w:pPr>
            <w:r>
              <w:rPr>
                <w:rFonts w:ascii="Arial" w:cs="Arial" w:eastAsia="Arial" w:hAnsi="Arial"/>
                <w:sz w:val="14"/>
                <w:szCs w:val="14"/>
                <w:color w:val="auto"/>
              </w:rPr>
              <w:t>5,138</w:t>
            </w:r>
          </w:p>
        </w:tc>
        <w:tc>
          <w:tcPr>
            <w:tcW w:w="900" w:type="dxa"/>
            <w:vAlign w:val="bottom"/>
            <w:shd w:val="clear" w:color="auto" w:fill="E8EDF4"/>
          </w:tcPr>
          <w:p>
            <w:pPr>
              <w:jc w:val="right"/>
              <w:ind w:right="128"/>
              <w:spacing w:after="0"/>
              <w:rPr>
                <w:sz w:val="20"/>
                <w:szCs w:val="20"/>
                <w:color w:val="auto"/>
              </w:rPr>
            </w:pPr>
            <w:r>
              <w:rPr>
                <w:rFonts w:ascii="Arial" w:cs="Arial" w:eastAsia="Arial" w:hAnsi="Arial"/>
                <w:sz w:val="14"/>
                <w:szCs w:val="14"/>
                <w:color w:val="auto"/>
              </w:rPr>
              <w:t>5,138</w:t>
            </w:r>
          </w:p>
        </w:tc>
        <w:tc>
          <w:tcPr>
            <w:tcW w:w="1040" w:type="dxa"/>
            <w:vAlign w:val="bottom"/>
            <w:shd w:val="clear" w:color="auto" w:fill="E8EDF4"/>
          </w:tcPr>
          <w:p>
            <w:pPr>
              <w:ind w:left="620"/>
              <w:spacing w:after="0"/>
              <w:rPr>
                <w:sz w:val="20"/>
                <w:szCs w:val="20"/>
                <w:color w:val="auto"/>
              </w:rPr>
            </w:pPr>
            <w:r>
              <w:rPr>
                <w:rFonts w:ascii="Arial" w:cs="Arial" w:eastAsia="Arial" w:hAnsi="Arial"/>
                <w:sz w:val="14"/>
                <w:szCs w:val="14"/>
                <w:color w:val="auto"/>
              </w:rPr>
              <w:t>5,928</w:t>
            </w:r>
          </w:p>
        </w:tc>
      </w:tr>
      <w:tr>
        <w:trPr>
          <w:trHeight w:val="162"/>
        </w:trPr>
        <w:tc>
          <w:tcPr>
            <w:tcW w:w="4140" w:type="dxa"/>
            <w:vAlign w:val="bottom"/>
            <w:shd w:val="clear" w:color="auto" w:fill="E8EDF4"/>
          </w:tcPr>
          <w:p>
            <w:pPr>
              <w:spacing w:after="0"/>
              <w:rPr>
                <w:sz w:val="14"/>
                <w:szCs w:val="14"/>
                <w:color w:val="auto"/>
              </w:rPr>
            </w:pPr>
          </w:p>
        </w:tc>
        <w:tc>
          <w:tcPr>
            <w:tcW w:w="1100" w:type="dxa"/>
            <w:vAlign w:val="bottom"/>
            <w:shd w:val="clear" w:color="auto" w:fill="E8EDF4"/>
          </w:tcPr>
          <w:p>
            <w:pPr>
              <w:jc w:val="right"/>
              <w:spacing w:after="0"/>
              <w:rPr>
                <w:sz w:val="20"/>
                <w:szCs w:val="20"/>
                <w:color w:val="auto"/>
              </w:rPr>
            </w:pPr>
            <w:r>
              <w:rPr>
                <w:rFonts w:ascii="Arial" w:cs="Arial" w:eastAsia="Arial" w:hAnsi="Arial"/>
                <w:sz w:val="14"/>
                <w:szCs w:val="14"/>
                <w:color w:val="auto"/>
              </w:rPr>
              <w:t>3/29/2021</w:t>
            </w:r>
          </w:p>
        </w:tc>
        <w:tc>
          <w:tcPr>
            <w:tcW w:w="1060" w:type="dxa"/>
            <w:vAlign w:val="bottom"/>
            <w:shd w:val="clear" w:color="auto" w:fill="E8EDF4"/>
          </w:tcPr>
          <w:p>
            <w:pPr>
              <w:jc w:val="right"/>
              <w:ind w:right="108"/>
              <w:spacing w:after="0"/>
              <w:rPr>
                <w:sz w:val="20"/>
                <w:szCs w:val="20"/>
                <w:color w:val="auto"/>
              </w:rPr>
            </w:pPr>
            <w:r>
              <w:rPr>
                <w:rFonts w:ascii="Arial" w:cs="Arial" w:eastAsia="Arial" w:hAnsi="Arial"/>
                <w:sz w:val="14"/>
                <w:szCs w:val="14"/>
                <w:color w:val="auto"/>
              </w:rPr>
              <w:t>27,665</w:t>
            </w:r>
          </w:p>
        </w:tc>
        <w:tc>
          <w:tcPr>
            <w:tcW w:w="1080" w:type="dxa"/>
            <w:vAlign w:val="bottom"/>
            <w:shd w:val="clear" w:color="auto" w:fill="E8EDF4"/>
          </w:tcPr>
          <w:p>
            <w:pPr>
              <w:ind w:left="560"/>
              <w:spacing w:after="0"/>
              <w:rPr>
                <w:sz w:val="20"/>
                <w:szCs w:val="20"/>
                <w:color w:val="auto"/>
              </w:rPr>
            </w:pPr>
            <w:r>
              <w:rPr>
                <w:rFonts w:ascii="Arial" w:cs="Arial" w:eastAsia="Arial" w:hAnsi="Arial"/>
                <w:sz w:val="14"/>
                <w:szCs w:val="14"/>
                <w:color w:val="auto"/>
              </w:rPr>
              <w:t>8,695</w:t>
            </w:r>
          </w:p>
        </w:tc>
        <w:tc>
          <w:tcPr>
            <w:tcW w:w="800" w:type="dxa"/>
            <w:vAlign w:val="bottom"/>
            <w:shd w:val="clear" w:color="auto" w:fill="E8EDF4"/>
          </w:tcPr>
          <w:p>
            <w:pPr>
              <w:jc w:val="right"/>
              <w:ind w:right="108"/>
              <w:spacing w:after="0"/>
              <w:rPr>
                <w:sz w:val="20"/>
                <w:szCs w:val="20"/>
                <w:color w:val="auto"/>
              </w:rPr>
            </w:pPr>
            <w:r>
              <w:rPr>
                <w:rFonts w:ascii="Arial" w:cs="Arial" w:eastAsia="Arial" w:hAnsi="Arial"/>
                <w:sz w:val="14"/>
                <w:szCs w:val="14"/>
                <w:color w:val="auto"/>
              </w:rPr>
              <w:t>5,138</w:t>
            </w:r>
          </w:p>
        </w:tc>
        <w:tc>
          <w:tcPr>
            <w:tcW w:w="900" w:type="dxa"/>
            <w:vAlign w:val="bottom"/>
            <w:shd w:val="clear" w:color="auto" w:fill="E8EDF4"/>
          </w:tcPr>
          <w:p>
            <w:pPr>
              <w:jc w:val="right"/>
              <w:ind w:right="128"/>
              <w:spacing w:after="0"/>
              <w:rPr>
                <w:sz w:val="20"/>
                <w:szCs w:val="20"/>
                <w:color w:val="auto"/>
              </w:rPr>
            </w:pPr>
            <w:r>
              <w:rPr>
                <w:rFonts w:ascii="Arial" w:cs="Arial" w:eastAsia="Arial" w:hAnsi="Arial"/>
                <w:sz w:val="14"/>
                <w:szCs w:val="14"/>
                <w:color w:val="auto"/>
              </w:rPr>
              <w:t>5,138</w:t>
            </w:r>
          </w:p>
        </w:tc>
        <w:tc>
          <w:tcPr>
            <w:tcW w:w="1040" w:type="dxa"/>
            <w:vAlign w:val="bottom"/>
            <w:shd w:val="clear" w:color="auto" w:fill="E8EDF4"/>
          </w:tcPr>
          <w:p>
            <w:pPr>
              <w:ind w:left="620"/>
              <w:spacing w:after="0"/>
              <w:rPr>
                <w:sz w:val="20"/>
                <w:szCs w:val="20"/>
                <w:color w:val="auto"/>
              </w:rPr>
            </w:pPr>
            <w:r>
              <w:rPr>
                <w:rFonts w:ascii="Arial" w:cs="Arial" w:eastAsia="Arial" w:hAnsi="Arial"/>
                <w:sz w:val="14"/>
                <w:szCs w:val="14"/>
                <w:color w:val="auto"/>
              </w:rPr>
              <w:t>5,928</w:t>
            </w:r>
          </w:p>
        </w:tc>
      </w:tr>
      <w:tr>
        <w:trPr>
          <w:trHeight w:val="162"/>
        </w:trPr>
        <w:tc>
          <w:tcPr>
            <w:tcW w:w="4140" w:type="dxa"/>
            <w:vAlign w:val="bottom"/>
            <w:shd w:val="clear" w:color="auto" w:fill="E8EDF4"/>
          </w:tcPr>
          <w:p>
            <w:pPr>
              <w:spacing w:after="0"/>
              <w:rPr>
                <w:sz w:val="14"/>
                <w:szCs w:val="14"/>
                <w:color w:val="auto"/>
              </w:rPr>
            </w:pPr>
          </w:p>
        </w:tc>
        <w:tc>
          <w:tcPr>
            <w:tcW w:w="1100" w:type="dxa"/>
            <w:vAlign w:val="bottom"/>
            <w:shd w:val="clear" w:color="auto" w:fill="E8EDF4"/>
          </w:tcPr>
          <w:p>
            <w:pPr>
              <w:jc w:val="right"/>
              <w:spacing w:after="0"/>
              <w:rPr>
                <w:sz w:val="20"/>
                <w:szCs w:val="20"/>
                <w:color w:val="auto"/>
              </w:rPr>
            </w:pPr>
            <w:r>
              <w:rPr>
                <w:rFonts w:ascii="Arial" w:cs="Arial" w:eastAsia="Arial" w:hAnsi="Arial"/>
                <w:sz w:val="14"/>
                <w:szCs w:val="14"/>
                <w:color w:val="auto"/>
              </w:rPr>
              <w:t>3/29/2022</w:t>
            </w:r>
          </w:p>
        </w:tc>
        <w:tc>
          <w:tcPr>
            <w:tcW w:w="1060" w:type="dxa"/>
            <w:vAlign w:val="bottom"/>
            <w:shd w:val="clear" w:color="auto" w:fill="E8EDF4"/>
          </w:tcPr>
          <w:p>
            <w:pPr>
              <w:jc w:val="right"/>
              <w:ind w:right="108"/>
              <w:spacing w:after="0"/>
              <w:rPr>
                <w:sz w:val="20"/>
                <w:szCs w:val="20"/>
                <w:color w:val="auto"/>
              </w:rPr>
            </w:pPr>
            <w:r>
              <w:rPr>
                <w:rFonts w:ascii="Arial" w:cs="Arial" w:eastAsia="Arial" w:hAnsi="Arial"/>
                <w:sz w:val="14"/>
                <w:szCs w:val="14"/>
                <w:color w:val="auto"/>
              </w:rPr>
              <w:t>27,666</w:t>
            </w:r>
          </w:p>
        </w:tc>
        <w:tc>
          <w:tcPr>
            <w:tcW w:w="1080" w:type="dxa"/>
            <w:vAlign w:val="bottom"/>
            <w:shd w:val="clear" w:color="auto" w:fill="E8EDF4"/>
          </w:tcPr>
          <w:p>
            <w:pPr>
              <w:ind w:left="560"/>
              <w:spacing w:after="0"/>
              <w:rPr>
                <w:sz w:val="20"/>
                <w:szCs w:val="20"/>
                <w:color w:val="auto"/>
              </w:rPr>
            </w:pPr>
            <w:r>
              <w:rPr>
                <w:rFonts w:ascii="Arial" w:cs="Arial" w:eastAsia="Arial" w:hAnsi="Arial"/>
                <w:sz w:val="14"/>
                <w:szCs w:val="14"/>
                <w:color w:val="auto"/>
              </w:rPr>
              <w:t>8,695</w:t>
            </w:r>
          </w:p>
        </w:tc>
        <w:tc>
          <w:tcPr>
            <w:tcW w:w="800" w:type="dxa"/>
            <w:vAlign w:val="bottom"/>
            <w:shd w:val="clear" w:color="auto" w:fill="E8EDF4"/>
          </w:tcPr>
          <w:p>
            <w:pPr>
              <w:jc w:val="right"/>
              <w:ind w:right="108"/>
              <w:spacing w:after="0"/>
              <w:rPr>
                <w:sz w:val="20"/>
                <w:szCs w:val="20"/>
                <w:color w:val="auto"/>
              </w:rPr>
            </w:pPr>
            <w:r>
              <w:rPr>
                <w:rFonts w:ascii="Arial" w:cs="Arial" w:eastAsia="Arial" w:hAnsi="Arial"/>
                <w:sz w:val="14"/>
                <w:szCs w:val="14"/>
                <w:color w:val="auto"/>
              </w:rPr>
              <w:t>5,138</w:t>
            </w:r>
          </w:p>
        </w:tc>
        <w:tc>
          <w:tcPr>
            <w:tcW w:w="900" w:type="dxa"/>
            <w:vAlign w:val="bottom"/>
            <w:shd w:val="clear" w:color="auto" w:fill="E8EDF4"/>
          </w:tcPr>
          <w:p>
            <w:pPr>
              <w:jc w:val="right"/>
              <w:ind w:right="128"/>
              <w:spacing w:after="0"/>
              <w:rPr>
                <w:sz w:val="20"/>
                <w:szCs w:val="20"/>
                <w:color w:val="auto"/>
              </w:rPr>
            </w:pPr>
            <w:r>
              <w:rPr>
                <w:rFonts w:ascii="Arial" w:cs="Arial" w:eastAsia="Arial" w:hAnsi="Arial"/>
                <w:sz w:val="14"/>
                <w:szCs w:val="14"/>
                <w:color w:val="auto"/>
              </w:rPr>
              <w:t>5,138</w:t>
            </w:r>
          </w:p>
        </w:tc>
        <w:tc>
          <w:tcPr>
            <w:tcW w:w="1040" w:type="dxa"/>
            <w:vAlign w:val="bottom"/>
            <w:shd w:val="clear" w:color="auto" w:fill="E8EDF4"/>
          </w:tcPr>
          <w:p>
            <w:pPr>
              <w:ind w:left="620"/>
              <w:spacing w:after="0"/>
              <w:rPr>
                <w:sz w:val="20"/>
                <w:szCs w:val="20"/>
                <w:color w:val="auto"/>
              </w:rPr>
            </w:pPr>
            <w:r>
              <w:rPr>
                <w:rFonts w:ascii="Arial" w:cs="Arial" w:eastAsia="Arial" w:hAnsi="Arial"/>
                <w:sz w:val="14"/>
                <w:szCs w:val="14"/>
                <w:color w:val="auto"/>
              </w:rPr>
              <w:t>5,929</w:t>
            </w:r>
          </w:p>
        </w:tc>
      </w:tr>
      <w:tr>
        <w:trPr>
          <w:trHeight w:val="275"/>
        </w:trPr>
        <w:tc>
          <w:tcPr>
            <w:tcW w:w="4140" w:type="dxa"/>
            <w:vAlign w:val="bottom"/>
          </w:tcPr>
          <w:p>
            <w:pPr>
              <w:ind w:left="20"/>
              <w:spacing w:after="0"/>
              <w:rPr>
                <w:sz w:val="20"/>
                <w:szCs w:val="20"/>
                <w:color w:val="auto"/>
              </w:rPr>
            </w:pPr>
            <w:r>
              <w:rPr>
                <w:rFonts w:ascii="Arial" w:cs="Arial" w:eastAsia="Arial" w:hAnsi="Arial"/>
                <w:sz w:val="14"/>
                <w:szCs w:val="14"/>
                <w:color w:val="auto"/>
              </w:rPr>
              <w:t>3/13/2019</w:t>
            </w:r>
          </w:p>
        </w:tc>
        <w:tc>
          <w:tcPr>
            <w:tcW w:w="1100" w:type="dxa"/>
            <w:vAlign w:val="bottom"/>
          </w:tcPr>
          <w:p>
            <w:pPr>
              <w:jc w:val="right"/>
              <w:spacing w:after="0"/>
              <w:rPr>
                <w:sz w:val="20"/>
                <w:szCs w:val="20"/>
                <w:color w:val="auto"/>
              </w:rPr>
            </w:pPr>
            <w:r>
              <w:rPr>
                <w:rFonts w:ascii="Arial" w:cs="Arial" w:eastAsia="Arial" w:hAnsi="Arial"/>
                <w:sz w:val="14"/>
                <w:szCs w:val="14"/>
                <w:color w:val="auto"/>
              </w:rPr>
              <w:t>3/13/2020</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25,200</w:t>
            </w:r>
          </w:p>
        </w:tc>
        <w:tc>
          <w:tcPr>
            <w:tcW w:w="1080" w:type="dxa"/>
            <w:vAlign w:val="bottom"/>
          </w:tcPr>
          <w:p>
            <w:pPr>
              <w:ind w:left="560"/>
              <w:spacing w:after="0"/>
              <w:rPr>
                <w:sz w:val="20"/>
                <w:szCs w:val="20"/>
                <w:color w:val="auto"/>
              </w:rPr>
            </w:pPr>
            <w:r>
              <w:rPr>
                <w:rFonts w:ascii="Arial" w:cs="Arial" w:eastAsia="Arial" w:hAnsi="Arial"/>
                <w:sz w:val="14"/>
                <w:szCs w:val="14"/>
                <w:color w:val="auto"/>
              </w:rPr>
              <w:t>6,628</w:t>
            </w: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2,541</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4,419</w:t>
            </w:r>
          </w:p>
        </w:tc>
        <w:tc>
          <w:tcPr>
            <w:tcW w:w="1040" w:type="dxa"/>
            <w:vAlign w:val="bottom"/>
          </w:tcPr>
          <w:p>
            <w:pPr>
              <w:ind w:left="620"/>
              <w:spacing w:after="0"/>
              <w:rPr>
                <w:sz w:val="20"/>
                <w:szCs w:val="20"/>
                <w:color w:val="auto"/>
              </w:rPr>
            </w:pPr>
            <w:r>
              <w:rPr>
                <w:rFonts w:ascii="Arial" w:cs="Arial" w:eastAsia="Arial" w:hAnsi="Arial"/>
                <w:sz w:val="14"/>
                <w:szCs w:val="14"/>
                <w:color w:val="auto"/>
              </w:rPr>
              <w:t>4,419</w:t>
            </w:r>
          </w:p>
        </w:tc>
      </w:tr>
      <w:tr>
        <w:trPr>
          <w:trHeight w:val="162"/>
        </w:trPr>
        <w:tc>
          <w:tcPr>
            <w:tcW w:w="4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3/13/2021</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25,201</w:t>
            </w:r>
          </w:p>
        </w:tc>
        <w:tc>
          <w:tcPr>
            <w:tcW w:w="1080" w:type="dxa"/>
            <w:vAlign w:val="bottom"/>
          </w:tcPr>
          <w:p>
            <w:pPr>
              <w:ind w:left="560"/>
              <w:spacing w:after="0"/>
              <w:rPr>
                <w:sz w:val="20"/>
                <w:szCs w:val="20"/>
                <w:color w:val="auto"/>
              </w:rPr>
            </w:pPr>
            <w:r>
              <w:rPr>
                <w:rFonts w:ascii="Arial" w:cs="Arial" w:eastAsia="Arial" w:hAnsi="Arial"/>
                <w:sz w:val="14"/>
                <w:szCs w:val="14"/>
                <w:color w:val="auto"/>
              </w:rPr>
              <w:t>6,628</w:t>
            </w: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2,541</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4,419</w:t>
            </w:r>
          </w:p>
        </w:tc>
        <w:tc>
          <w:tcPr>
            <w:tcW w:w="1040" w:type="dxa"/>
            <w:vAlign w:val="bottom"/>
          </w:tcPr>
          <w:p>
            <w:pPr>
              <w:ind w:left="620"/>
              <w:spacing w:after="0"/>
              <w:rPr>
                <w:sz w:val="20"/>
                <w:szCs w:val="20"/>
                <w:color w:val="auto"/>
              </w:rPr>
            </w:pPr>
            <w:r>
              <w:rPr>
                <w:rFonts w:ascii="Arial" w:cs="Arial" w:eastAsia="Arial" w:hAnsi="Arial"/>
                <w:sz w:val="14"/>
                <w:szCs w:val="14"/>
                <w:color w:val="auto"/>
              </w:rPr>
              <w:t>4,419</w:t>
            </w:r>
          </w:p>
        </w:tc>
      </w:tr>
      <w:tr>
        <w:trPr>
          <w:trHeight w:val="162"/>
        </w:trPr>
        <w:tc>
          <w:tcPr>
            <w:tcW w:w="4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3/13/2022</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25,201</w:t>
            </w:r>
          </w:p>
        </w:tc>
        <w:tc>
          <w:tcPr>
            <w:tcW w:w="1080" w:type="dxa"/>
            <w:vAlign w:val="bottom"/>
          </w:tcPr>
          <w:p>
            <w:pPr>
              <w:ind w:left="560"/>
              <w:spacing w:after="0"/>
              <w:rPr>
                <w:sz w:val="20"/>
                <w:szCs w:val="20"/>
                <w:color w:val="auto"/>
              </w:rPr>
            </w:pPr>
            <w:r>
              <w:rPr>
                <w:rFonts w:ascii="Arial" w:cs="Arial" w:eastAsia="Arial" w:hAnsi="Arial"/>
                <w:sz w:val="14"/>
                <w:szCs w:val="14"/>
                <w:color w:val="auto"/>
              </w:rPr>
              <w:t>6,628</w:t>
            </w: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2,541</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4,419</w:t>
            </w:r>
          </w:p>
        </w:tc>
        <w:tc>
          <w:tcPr>
            <w:tcW w:w="1040" w:type="dxa"/>
            <w:vAlign w:val="bottom"/>
          </w:tcPr>
          <w:p>
            <w:pPr>
              <w:ind w:left="620"/>
              <w:spacing w:after="0"/>
              <w:rPr>
                <w:sz w:val="20"/>
                <w:szCs w:val="20"/>
                <w:color w:val="auto"/>
              </w:rPr>
            </w:pPr>
            <w:r>
              <w:rPr>
                <w:rFonts w:ascii="Arial" w:cs="Arial" w:eastAsia="Arial" w:hAnsi="Arial"/>
                <w:sz w:val="14"/>
                <w:szCs w:val="14"/>
                <w:color w:val="auto"/>
              </w:rPr>
              <w:t>4,419</w:t>
            </w:r>
          </w:p>
        </w:tc>
      </w:tr>
      <w:tr>
        <w:trPr>
          <w:trHeight w:val="157"/>
        </w:trPr>
        <w:tc>
          <w:tcPr>
            <w:tcW w:w="4140" w:type="dxa"/>
            <w:vAlign w:val="bottom"/>
          </w:tcPr>
          <w:p>
            <w:pPr>
              <w:spacing w:after="0"/>
              <w:rPr>
                <w:sz w:val="13"/>
                <w:szCs w:val="13"/>
                <w:color w:val="auto"/>
              </w:rPr>
            </w:pPr>
          </w:p>
        </w:tc>
        <w:tc>
          <w:tcPr>
            <w:tcW w:w="1100" w:type="dxa"/>
            <w:vAlign w:val="bottom"/>
          </w:tcPr>
          <w:p>
            <w:pPr>
              <w:jc w:val="right"/>
              <w:spacing w:after="0" w:line="157" w:lineRule="exact"/>
              <w:rPr>
                <w:sz w:val="20"/>
                <w:szCs w:val="20"/>
                <w:color w:val="auto"/>
              </w:rPr>
            </w:pPr>
            <w:r>
              <w:rPr>
                <w:rFonts w:ascii="Arial" w:cs="Arial" w:eastAsia="Arial" w:hAnsi="Arial"/>
                <w:sz w:val="14"/>
                <w:szCs w:val="14"/>
                <w:color w:val="auto"/>
              </w:rPr>
              <w:t>3/13/2023</w:t>
            </w:r>
          </w:p>
        </w:tc>
        <w:tc>
          <w:tcPr>
            <w:tcW w:w="1060" w:type="dxa"/>
            <w:vAlign w:val="bottom"/>
          </w:tcPr>
          <w:p>
            <w:pPr>
              <w:jc w:val="right"/>
              <w:ind w:right="108"/>
              <w:spacing w:after="0" w:line="157" w:lineRule="exact"/>
              <w:rPr>
                <w:sz w:val="20"/>
                <w:szCs w:val="20"/>
                <w:color w:val="auto"/>
              </w:rPr>
            </w:pPr>
            <w:r>
              <w:rPr>
                <w:rFonts w:ascii="Arial" w:cs="Arial" w:eastAsia="Arial" w:hAnsi="Arial"/>
                <w:sz w:val="14"/>
                <w:szCs w:val="14"/>
                <w:color w:val="auto"/>
              </w:rPr>
              <w:t>25,201</w:t>
            </w:r>
          </w:p>
        </w:tc>
        <w:tc>
          <w:tcPr>
            <w:tcW w:w="1080" w:type="dxa"/>
            <w:vAlign w:val="bottom"/>
          </w:tcPr>
          <w:p>
            <w:pPr>
              <w:ind w:left="560"/>
              <w:spacing w:after="0" w:line="157" w:lineRule="exact"/>
              <w:rPr>
                <w:sz w:val="20"/>
                <w:szCs w:val="20"/>
                <w:color w:val="auto"/>
              </w:rPr>
            </w:pPr>
            <w:r>
              <w:rPr>
                <w:rFonts w:ascii="Arial" w:cs="Arial" w:eastAsia="Arial" w:hAnsi="Arial"/>
                <w:sz w:val="14"/>
                <w:szCs w:val="14"/>
                <w:color w:val="auto"/>
              </w:rPr>
              <w:t>6,629</w:t>
            </w:r>
          </w:p>
        </w:tc>
        <w:tc>
          <w:tcPr>
            <w:tcW w:w="800" w:type="dxa"/>
            <w:vAlign w:val="bottom"/>
          </w:tcPr>
          <w:p>
            <w:pPr>
              <w:jc w:val="right"/>
              <w:ind w:right="108"/>
              <w:spacing w:after="0" w:line="157" w:lineRule="exact"/>
              <w:rPr>
                <w:sz w:val="20"/>
                <w:szCs w:val="20"/>
                <w:color w:val="auto"/>
              </w:rPr>
            </w:pPr>
            <w:r>
              <w:rPr>
                <w:rFonts w:ascii="Arial" w:cs="Arial" w:eastAsia="Arial" w:hAnsi="Arial"/>
                <w:sz w:val="14"/>
                <w:szCs w:val="14"/>
                <w:color w:val="auto"/>
              </w:rPr>
              <w:t>2,541</w:t>
            </w:r>
          </w:p>
        </w:tc>
        <w:tc>
          <w:tcPr>
            <w:tcW w:w="900" w:type="dxa"/>
            <w:vAlign w:val="bottom"/>
          </w:tcPr>
          <w:p>
            <w:pPr>
              <w:jc w:val="right"/>
              <w:ind w:right="128"/>
              <w:spacing w:after="0" w:line="157" w:lineRule="exact"/>
              <w:rPr>
                <w:sz w:val="20"/>
                <w:szCs w:val="20"/>
                <w:color w:val="auto"/>
              </w:rPr>
            </w:pPr>
            <w:r>
              <w:rPr>
                <w:rFonts w:ascii="Arial" w:cs="Arial" w:eastAsia="Arial" w:hAnsi="Arial"/>
                <w:sz w:val="14"/>
                <w:szCs w:val="14"/>
                <w:color w:val="auto"/>
              </w:rPr>
              <w:t>4,419</w:t>
            </w:r>
          </w:p>
        </w:tc>
        <w:tc>
          <w:tcPr>
            <w:tcW w:w="1040" w:type="dxa"/>
            <w:vAlign w:val="bottom"/>
          </w:tcPr>
          <w:p>
            <w:pPr>
              <w:ind w:left="620"/>
              <w:spacing w:after="0" w:line="157" w:lineRule="exact"/>
              <w:rPr>
                <w:sz w:val="20"/>
                <w:szCs w:val="20"/>
                <w:color w:val="auto"/>
              </w:rPr>
            </w:pPr>
            <w:r>
              <w:rPr>
                <w:rFonts w:ascii="Arial" w:cs="Arial" w:eastAsia="Arial" w:hAnsi="Arial"/>
                <w:sz w:val="14"/>
                <w:szCs w:val="14"/>
                <w:color w:val="auto"/>
              </w:rPr>
              <w:t>4,419</w:t>
            </w:r>
          </w:p>
        </w:tc>
      </w:tr>
      <w:tr>
        <w:trPr>
          <w:trHeight w:val="270"/>
        </w:trPr>
        <w:tc>
          <w:tcPr>
            <w:tcW w:w="4140" w:type="dxa"/>
            <w:vAlign w:val="bottom"/>
            <w:shd w:val="clear" w:color="auto" w:fill="E8EDF4"/>
          </w:tcPr>
          <w:p>
            <w:pPr>
              <w:ind w:left="20"/>
              <w:spacing w:after="0"/>
              <w:rPr>
                <w:sz w:val="20"/>
                <w:szCs w:val="20"/>
                <w:color w:val="auto"/>
              </w:rPr>
            </w:pPr>
            <w:r>
              <w:rPr>
                <w:rFonts w:ascii="Arial" w:cs="Arial" w:eastAsia="Arial" w:hAnsi="Arial"/>
                <w:sz w:val="14"/>
                <w:szCs w:val="14"/>
                <w:color w:val="auto"/>
              </w:rPr>
              <w:t>06/17/2019</w:t>
            </w:r>
          </w:p>
        </w:tc>
        <w:tc>
          <w:tcPr>
            <w:tcW w:w="1100" w:type="dxa"/>
            <w:vAlign w:val="bottom"/>
            <w:shd w:val="clear" w:color="auto" w:fill="E8EDF4"/>
          </w:tcPr>
          <w:p>
            <w:pPr>
              <w:jc w:val="right"/>
              <w:spacing w:after="0"/>
              <w:rPr>
                <w:sz w:val="20"/>
                <w:szCs w:val="20"/>
                <w:color w:val="auto"/>
              </w:rPr>
            </w:pPr>
            <w:r>
              <w:rPr>
                <w:rFonts w:ascii="Arial" w:cs="Arial" w:eastAsia="Arial" w:hAnsi="Arial"/>
                <w:sz w:val="14"/>
                <w:szCs w:val="14"/>
                <w:color w:val="auto"/>
              </w:rPr>
              <w:t>3/13/2020</w:t>
            </w:r>
          </w:p>
        </w:tc>
        <w:tc>
          <w:tcPr>
            <w:tcW w:w="1060" w:type="dxa"/>
            <w:vAlign w:val="bottom"/>
            <w:shd w:val="clear" w:color="auto" w:fill="E8EDF4"/>
          </w:tcPr>
          <w:p>
            <w:pPr>
              <w:jc w:val="right"/>
              <w:ind w:right="18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8EDF4"/>
          </w:tcPr>
          <w:p>
            <w:pPr>
              <w:ind w:left="700"/>
              <w:spacing w:after="0"/>
              <w:rPr>
                <w:sz w:val="20"/>
                <w:szCs w:val="20"/>
                <w:color w:val="auto"/>
              </w:rPr>
            </w:pPr>
            <w:r>
              <w:rPr>
                <w:rFonts w:ascii="Arial" w:cs="Arial" w:eastAsia="Arial" w:hAnsi="Arial"/>
                <w:sz w:val="14"/>
                <w:szCs w:val="14"/>
                <w:color w:val="auto"/>
              </w:rPr>
              <w:t>—</w:t>
            </w:r>
          </w:p>
        </w:tc>
        <w:tc>
          <w:tcPr>
            <w:tcW w:w="800" w:type="dxa"/>
            <w:vAlign w:val="bottom"/>
            <w:shd w:val="clear" w:color="auto" w:fill="E8EDF4"/>
          </w:tcPr>
          <w:p>
            <w:pPr>
              <w:jc w:val="right"/>
              <w:ind w:right="108"/>
              <w:spacing w:after="0"/>
              <w:rPr>
                <w:sz w:val="20"/>
                <w:szCs w:val="20"/>
                <w:color w:val="auto"/>
              </w:rPr>
            </w:pPr>
            <w:r>
              <w:rPr>
                <w:rFonts w:ascii="Arial" w:cs="Arial" w:eastAsia="Arial" w:hAnsi="Arial"/>
                <w:sz w:val="14"/>
                <w:szCs w:val="14"/>
                <w:color w:val="auto"/>
              </w:rPr>
              <w:t>1,878</w:t>
            </w:r>
          </w:p>
        </w:tc>
        <w:tc>
          <w:tcPr>
            <w:tcW w:w="900" w:type="dxa"/>
            <w:vAlign w:val="bottom"/>
            <w:shd w:val="clear" w:color="auto" w:fill="E8EDF4"/>
          </w:tcPr>
          <w:p>
            <w:pPr>
              <w:jc w:val="right"/>
              <w:ind w:right="208"/>
              <w:spacing w:after="0"/>
              <w:rPr>
                <w:sz w:val="20"/>
                <w:szCs w:val="20"/>
                <w:color w:val="auto"/>
              </w:rPr>
            </w:pPr>
            <w:r>
              <w:rPr>
                <w:rFonts w:ascii="Arial" w:cs="Arial" w:eastAsia="Arial" w:hAnsi="Arial"/>
                <w:sz w:val="14"/>
                <w:szCs w:val="14"/>
                <w:color w:val="auto"/>
              </w:rPr>
              <w:t>—</w:t>
            </w:r>
          </w:p>
        </w:tc>
        <w:tc>
          <w:tcPr>
            <w:tcW w:w="1040" w:type="dxa"/>
            <w:vAlign w:val="bottom"/>
            <w:shd w:val="clear" w:color="auto" w:fill="E8EDF4"/>
          </w:tcPr>
          <w:p>
            <w:pPr>
              <w:ind w:left="760"/>
              <w:spacing w:after="0"/>
              <w:rPr>
                <w:sz w:val="20"/>
                <w:szCs w:val="20"/>
                <w:color w:val="auto"/>
              </w:rPr>
            </w:pPr>
            <w:r>
              <w:rPr>
                <w:rFonts w:ascii="Arial" w:cs="Arial" w:eastAsia="Arial" w:hAnsi="Arial"/>
                <w:sz w:val="14"/>
                <w:szCs w:val="14"/>
                <w:color w:val="auto"/>
              </w:rPr>
              <w:t>—</w:t>
            </w:r>
          </w:p>
        </w:tc>
      </w:tr>
      <w:tr>
        <w:trPr>
          <w:trHeight w:val="162"/>
        </w:trPr>
        <w:tc>
          <w:tcPr>
            <w:tcW w:w="4140" w:type="dxa"/>
            <w:vAlign w:val="bottom"/>
            <w:shd w:val="clear" w:color="auto" w:fill="E8EDF4"/>
          </w:tcPr>
          <w:p>
            <w:pPr>
              <w:spacing w:after="0"/>
              <w:rPr>
                <w:sz w:val="14"/>
                <w:szCs w:val="14"/>
                <w:color w:val="auto"/>
              </w:rPr>
            </w:pPr>
          </w:p>
        </w:tc>
        <w:tc>
          <w:tcPr>
            <w:tcW w:w="1100" w:type="dxa"/>
            <w:vAlign w:val="bottom"/>
            <w:shd w:val="clear" w:color="auto" w:fill="E8EDF4"/>
          </w:tcPr>
          <w:p>
            <w:pPr>
              <w:jc w:val="right"/>
              <w:spacing w:after="0"/>
              <w:rPr>
                <w:sz w:val="20"/>
                <w:szCs w:val="20"/>
                <w:color w:val="auto"/>
              </w:rPr>
            </w:pPr>
            <w:r>
              <w:rPr>
                <w:rFonts w:ascii="Arial" w:cs="Arial" w:eastAsia="Arial" w:hAnsi="Arial"/>
                <w:sz w:val="14"/>
                <w:szCs w:val="14"/>
                <w:color w:val="auto"/>
              </w:rPr>
              <w:t>3/13/2021</w:t>
            </w:r>
          </w:p>
        </w:tc>
        <w:tc>
          <w:tcPr>
            <w:tcW w:w="1060" w:type="dxa"/>
            <w:vAlign w:val="bottom"/>
            <w:shd w:val="clear" w:color="auto" w:fill="E8EDF4"/>
          </w:tcPr>
          <w:p>
            <w:pPr>
              <w:jc w:val="right"/>
              <w:ind w:right="18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8EDF4"/>
          </w:tcPr>
          <w:p>
            <w:pPr>
              <w:ind w:left="700"/>
              <w:spacing w:after="0"/>
              <w:rPr>
                <w:sz w:val="20"/>
                <w:szCs w:val="20"/>
                <w:color w:val="auto"/>
              </w:rPr>
            </w:pPr>
            <w:r>
              <w:rPr>
                <w:rFonts w:ascii="Arial" w:cs="Arial" w:eastAsia="Arial" w:hAnsi="Arial"/>
                <w:sz w:val="14"/>
                <w:szCs w:val="14"/>
                <w:color w:val="auto"/>
              </w:rPr>
              <w:t>—</w:t>
            </w:r>
          </w:p>
        </w:tc>
        <w:tc>
          <w:tcPr>
            <w:tcW w:w="800" w:type="dxa"/>
            <w:vAlign w:val="bottom"/>
            <w:shd w:val="clear" w:color="auto" w:fill="E8EDF4"/>
          </w:tcPr>
          <w:p>
            <w:pPr>
              <w:jc w:val="right"/>
              <w:ind w:right="108"/>
              <w:spacing w:after="0"/>
              <w:rPr>
                <w:sz w:val="20"/>
                <w:szCs w:val="20"/>
                <w:color w:val="auto"/>
              </w:rPr>
            </w:pPr>
            <w:r>
              <w:rPr>
                <w:rFonts w:ascii="Arial" w:cs="Arial" w:eastAsia="Arial" w:hAnsi="Arial"/>
                <w:sz w:val="14"/>
                <w:szCs w:val="14"/>
                <w:color w:val="auto"/>
              </w:rPr>
              <w:t>1,878</w:t>
            </w:r>
          </w:p>
        </w:tc>
        <w:tc>
          <w:tcPr>
            <w:tcW w:w="900" w:type="dxa"/>
            <w:vAlign w:val="bottom"/>
            <w:shd w:val="clear" w:color="auto" w:fill="E8EDF4"/>
          </w:tcPr>
          <w:p>
            <w:pPr>
              <w:jc w:val="right"/>
              <w:ind w:right="208"/>
              <w:spacing w:after="0"/>
              <w:rPr>
                <w:sz w:val="20"/>
                <w:szCs w:val="20"/>
                <w:color w:val="auto"/>
              </w:rPr>
            </w:pPr>
            <w:r>
              <w:rPr>
                <w:rFonts w:ascii="Arial" w:cs="Arial" w:eastAsia="Arial" w:hAnsi="Arial"/>
                <w:sz w:val="14"/>
                <w:szCs w:val="14"/>
                <w:color w:val="auto"/>
              </w:rPr>
              <w:t>—</w:t>
            </w:r>
          </w:p>
        </w:tc>
        <w:tc>
          <w:tcPr>
            <w:tcW w:w="1040" w:type="dxa"/>
            <w:vAlign w:val="bottom"/>
            <w:shd w:val="clear" w:color="auto" w:fill="E8EDF4"/>
          </w:tcPr>
          <w:p>
            <w:pPr>
              <w:ind w:left="760"/>
              <w:spacing w:after="0"/>
              <w:rPr>
                <w:sz w:val="20"/>
                <w:szCs w:val="20"/>
                <w:color w:val="auto"/>
              </w:rPr>
            </w:pPr>
            <w:r>
              <w:rPr>
                <w:rFonts w:ascii="Arial" w:cs="Arial" w:eastAsia="Arial" w:hAnsi="Arial"/>
                <w:sz w:val="14"/>
                <w:szCs w:val="14"/>
                <w:color w:val="auto"/>
              </w:rPr>
              <w:t>—</w:t>
            </w:r>
          </w:p>
        </w:tc>
      </w:tr>
      <w:tr>
        <w:trPr>
          <w:trHeight w:val="162"/>
        </w:trPr>
        <w:tc>
          <w:tcPr>
            <w:tcW w:w="4140" w:type="dxa"/>
            <w:vAlign w:val="bottom"/>
            <w:shd w:val="clear" w:color="auto" w:fill="E8EDF4"/>
          </w:tcPr>
          <w:p>
            <w:pPr>
              <w:spacing w:after="0"/>
              <w:rPr>
                <w:sz w:val="14"/>
                <w:szCs w:val="14"/>
                <w:color w:val="auto"/>
              </w:rPr>
            </w:pPr>
          </w:p>
        </w:tc>
        <w:tc>
          <w:tcPr>
            <w:tcW w:w="1100" w:type="dxa"/>
            <w:vAlign w:val="bottom"/>
            <w:shd w:val="clear" w:color="auto" w:fill="E8EDF4"/>
          </w:tcPr>
          <w:p>
            <w:pPr>
              <w:jc w:val="right"/>
              <w:spacing w:after="0"/>
              <w:rPr>
                <w:sz w:val="20"/>
                <w:szCs w:val="20"/>
                <w:color w:val="auto"/>
              </w:rPr>
            </w:pPr>
            <w:r>
              <w:rPr>
                <w:rFonts w:ascii="Arial" w:cs="Arial" w:eastAsia="Arial" w:hAnsi="Arial"/>
                <w:sz w:val="14"/>
                <w:szCs w:val="14"/>
                <w:color w:val="auto"/>
              </w:rPr>
              <w:t>3/13/2022</w:t>
            </w:r>
          </w:p>
        </w:tc>
        <w:tc>
          <w:tcPr>
            <w:tcW w:w="1060" w:type="dxa"/>
            <w:vAlign w:val="bottom"/>
            <w:shd w:val="clear" w:color="auto" w:fill="E8EDF4"/>
          </w:tcPr>
          <w:p>
            <w:pPr>
              <w:jc w:val="right"/>
              <w:ind w:right="18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8EDF4"/>
          </w:tcPr>
          <w:p>
            <w:pPr>
              <w:ind w:left="700"/>
              <w:spacing w:after="0"/>
              <w:rPr>
                <w:sz w:val="20"/>
                <w:szCs w:val="20"/>
                <w:color w:val="auto"/>
              </w:rPr>
            </w:pPr>
            <w:r>
              <w:rPr>
                <w:rFonts w:ascii="Arial" w:cs="Arial" w:eastAsia="Arial" w:hAnsi="Arial"/>
                <w:sz w:val="14"/>
                <w:szCs w:val="14"/>
                <w:color w:val="auto"/>
              </w:rPr>
              <w:t>—</w:t>
            </w:r>
          </w:p>
        </w:tc>
        <w:tc>
          <w:tcPr>
            <w:tcW w:w="800" w:type="dxa"/>
            <w:vAlign w:val="bottom"/>
            <w:shd w:val="clear" w:color="auto" w:fill="E8EDF4"/>
          </w:tcPr>
          <w:p>
            <w:pPr>
              <w:jc w:val="right"/>
              <w:ind w:right="108"/>
              <w:spacing w:after="0"/>
              <w:rPr>
                <w:sz w:val="20"/>
                <w:szCs w:val="20"/>
                <w:color w:val="auto"/>
              </w:rPr>
            </w:pPr>
            <w:r>
              <w:rPr>
                <w:rFonts w:ascii="Arial" w:cs="Arial" w:eastAsia="Arial" w:hAnsi="Arial"/>
                <w:sz w:val="14"/>
                <w:szCs w:val="14"/>
                <w:color w:val="auto"/>
              </w:rPr>
              <w:t>1,878</w:t>
            </w:r>
          </w:p>
        </w:tc>
        <w:tc>
          <w:tcPr>
            <w:tcW w:w="900" w:type="dxa"/>
            <w:vAlign w:val="bottom"/>
            <w:shd w:val="clear" w:color="auto" w:fill="E8EDF4"/>
          </w:tcPr>
          <w:p>
            <w:pPr>
              <w:jc w:val="right"/>
              <w:ind w:right="208"/>
              <w:spacing w:after="0"/>
              <w:rPr>
                <w:sz w:val="20"/>
                <w:szCs w:val="20"/>
                <w:color w:val="auto"/>
              </w:rPr>
            </w:pPr>
            <w:r>
              <w:rPr>
                <w:rFonts w:ascii="Arial" w:cs="Arial" w:eastAsia="Arial" w:hAnsi="Arial"/>
                <w:sz w:val="14"/>
                <w:szCs w:val="14"/>
                <w:color w:val="auto"/>
              </w:rPr>
              <w:t>—</w:t>
            </w:r>
          </w:p>
        </w:tc>
        <w:tc>
          <w:tcPr>
            <w:tcW w:w="1040" w:type="dxa"/>
            <w:vAlign w:val="bottom"/>
            <w:shd w:val="clear" w:color="auto" w:fill="E8EDF4"/>
          </w:tcPr>
          <w:p>
            <w:pPr>
              <w:ind w:left="760"/>
              <w:spacing w:after="0"/>
              <w:rPr>
                <w:sz w:val="20"/>
                <w:szCs w:val="20"/>
                <w:color w:val="auto"/>
              </w:rPr>
            </w:pPr>
            <w:r>
              <w:rPr>
                <w:rFonts w:ascii="Arial" w:cs="Arial" w:eastAsia="Arial" w:hAnsi="Arial"/>
                <w:sz w:val="14"/>
                <w:szCs w:val="14"/>
                <w:color w:val="auto"/>
              </w:rPr>
              <w:t>—</w:t>
            </w:r>
          </w:p>
        </w:tc>
      </w:tr>
      <w:tr>
        <w:trPr>
          <w:trHeight w:val="162"/>
        </w:trPr>
        <w:tc>
          <w:tcPr>
            <w:tcW w:w="4140" w:type="dxa"/>
            <w:vAlign w:val="bottom"/>
            <w:shd w:val="clear" w:color="auto" w:fill="E8EDF4"/>
          </w:tcPr>
          <w:p>
            <w:pPr>
              <w:spacing w:after="0"/>
              <w:rPr>
                <w:sz w:val="14"/>
                <w:szCs w:val="14"/>
                <w:color w:val="auto"/>
              </w:rPr>
            </w:pPr>
          </w:p>
        </w:tc>
        <w:tc>
          <w:tcPr>
            <w:tcW w:w="1100" w:type="dxa"/>
            <w:vAlign w:val="bottom"/>
            <w:shd w:val="clear" w:color="auto" w:fill="E8EDF4"/>
          </w:tcPr>
          <w:p>
            <w:pPr>
              <w:jc w:val="right"/>
              <w:spacing w:after="0"/>
              <w:rPr>
                <w:sz w:val="20"/>
                <w:szCs w:val="20"/>
                <w:color w:val="auto"/>
              </w:rPr>
            </w:pPr>
            <w:r>
              <w:rPr>
                <w:rFonts w:ascii="Arial" w:cs="Arial" w:eastAsia="Arial" w:hAnsi="Arial"/>
                <w:sz w:val="14"/>
                <w:szCs w:val="14"/>
                <w:color w:val="auto"/>
              </w:rPr>
              <w:t>3/13/2022</w:t>
            </w:r>
          </w:p>
        </w:tc>
        <w:tc>
          <w:tcPr>
            <w:tcW w:w="1060" w:type="dxa"/>
            <w:vAlign w:val="bottom"/>
            <w:shd w:val="clear" w:color="auto" w:fill="E8EDF4"/>
          </w:tcPr>
          <w:p>
            <w:pPr>
              <w:jc w:val="right"/>
              <w:ind w:right="18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8EDF4"/>
          </w:tcPr>
          <w:p>
            <w:pPr>
              <w:ind w:left="700"/>
              <w:spacing w:after="0"/>
              <w:rPr>
                <w:sz w:val="20"/>
                <w:szCs w:val="20"/>
                <w:color w:val="auto"/>
              </w:rPr>
            </w:pPr>
            <w:r>
              <w:rPr>
                <w:rFonts w:ascii="Arial" w:cs="Arial" w:eastAsia="Arial" w:hAnsi="Arial"/>
                <w:sz w:val="14"/>
                <w:szCs w:val="14"/>
                <w:color w:val="auto"/>
              </w:rPr>
              <w:t>—</w:t>
            </w:r>
          </w:p>
        </w:tc>
        <w:tc>
          <w:tcPr>
            <w:tcW w:w="800" w:type="dxa"/>
            <w:vAlign w:val="bottom"/>
            <w:shd w:val="clear" w:color="auto" w:fill="E8EDF4"/>
          </w:tcPr>
          <w:p>
            <w:pPr>
              <w:jc w:val="right"/>
              <w:ind w:right="108"/>
              <w:spacing w:after="0"/>
              <w:rPr>
                <w:sz w:val="20"/>
                <w:szCs w:val="20"/>
                <w:color w:val="auto"/>
              </w:rPr>
            </w:pPr>
            <w:r>
              <w:rPr>
                <w:rFonts w:ascii="Arial" w:cs="Arial" w:eastAsia="Arial" w:hAnsi="Arial"/>
                <w:sz w:val="14"/>
                <w:szCs w:val="14"/>
                <w:color w:val="auto"/>
              </w:rPr>
              <w:t>1,878</w:t>
            </w:r>
          </w:p>
        </w:tc>
        <w:tc>
          <w:tcPr>
            <w:tcW w:w="900" w:type="dxa"/>
            <w:vAlign w:val="bottom"/>
            <w:shd w:val="clear" w:color="auto" w:fill="E8EDF4"/>
          </w:tcPr>
          <w:p>
            <w:pPr>
              <w:jc w:val="right"/>
              <w:ind w:right="208"/>
              <w:spacing w:after="0"/>
              <w:rPr>
                <w:sz w:val="20"/>
                <w:szCs w:val="20"/>
                <w:color w:val="auto"/>
              </w:rPr>
            </w:pPr>
            <w:r>
              <w:rPr>
                <w:rFonts w:ascii="Arial" w:cs="Arial" w:eastAsia="Arial" w:hAnsi="Arial"/>
                <w:sz w:val="14"/>
                <w:szCs w:val="14"/>
                <w:color w:val="auto"/>
              </w:rPr>
              <w:t>—</w:t>
            </w:r>
          </w:p>
        </w:tc>
        <w:tc>
          <w:tcPr>
            <w:tcW w:w="1040" w:type="dxa"/>
            <w:vAlign w:val="bottom"/>
            <w:shd w:val="clear" w:color="auto" w:fill="E8EDF4"/>
          </w:tcPr>
          <w:p>
            <w:pPr>
              <w:ind w:left="760"/>
              <w:spacing w:after="0"/>
              <w:rPr>
                <w:sz w:val="20"/>
                <w:szCs w:val="20"/>
                <w:color w:val="auto"/>
              </w:rPr>
            </w:pPr>
            <w:r>
              <w:rPr>
                <w:rFonts w:ascii="Arial" w:cs="Arial" w:eastAsia="Arial" w:hAnsi="Arial"/>
                <w:sz w:val="14"/>
                <w:szCs w:val="14"/>
                <w:color w:val="auto"/>
              </w:rPr>
              <w:t>—</w:t>
            </w:r>
          </w:p>
        </w:tc>
      </w:tr>
    </w:tbl>
    <w:p>
      <w:pPr>
        <w:spacing w:after="0" w:line="121" w:lineRule="exact"/>
        <w:rPr>
          <w:sz w:val="20"/>
          <w:szCs w:val="20"/>
          <w:color w:val="auto"/>
        </w:rPr>
      </w:pPr>
    </w:p>
    <w:p>
      <w:pPr>
        <w:ind w:left="640" w:hanging="436"/>
        <w:spacing w:after="0"/>
        <w:tabs>
          <w:tab w:leader="none" w:pos="6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expiration date of each stock option award is ten years after its grant date.</w:t>
      </w:r>
    </w:p>
    <w:p>
      <w:pPr>
        <w:spacing w:after="0" w:line="117" w:lineRule="exact"/>
        <w:rPr>
          <w:rFonts w:ascii="Arial" w:cs="Arial" w:eastAsia="Arial" w:hAnsi="Arial"/>
          <w:sz w:val="18"/>
          <w:szCs w:val="18"/>
          <w:color w:val="auto"/>
        </w:rPr>
      </w:pPr>
    </w:p>
    <w:p>
      <w:pPr>
        <w:ind w:left="640" w:hanging="436"/>
        <w:spacing w:after="0"/>
        <w:tabs>
          <w:tab w:leader="none" w:pos="6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time-based RSUs granted before March 2018 as part of the annual award cycle vest in one installment on the third anniversary of the grant date. The time-based RSUs granted in 2018 and 2019 vest in four equal installments on the first, second, third and fourth anniversaries of the grant date.</w:t>
      </w:r>
    </w:p>
    <w:p>
      <w:pPr>
        <w:spacing w:after="0" w:line="108" w:lineRule="exact"/>
        <w:rPr>
          <w:rFonts w:ascii="Arial" w:cs="Arial" w:eastAsia="Arial" w:hAnsi="Arial"/>
          <w:sz w:val="18"/>
          <w:szCs w:val="18"/>
          <w:color w:val="auto"/>
        </w:rPr>
      </w:pPr>
    </w:p>
    <w:p>
      <w:pPr>
        <w:ind w:left="640" w:right="80" w:hanging="436"/>
        <w:spacing w:after="0" w:line="246" w:lineRule="auto"/>
        <w:tabs>
          <w:tab w:leader="none" w:pos="6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market value was calculated based on $109.37, the closing price per share of our common stock on November 1, 2019, the last trading day of fiscal 2019.</w:t>
      </w:r>
    </w:p>
    <w:p>
      <w:pPr>
        <w:spacing w:after="0" w:line="102" w:lineRule="exact"/>
        <w:rPr>
          <w:rFonts w:ascii="Arial" w:cs="Arial" w:eastAsia="Arial" w:hAnsi="Arial"/>
          <w:sz w:val="18"/>
          <w:szCs w:val="18"/>
          <w:color w:val="auto"/>
        </w:rPr>
      </w:pPr>
    </w:p>
    <w:p>
      <w:pPr>
        <w:ind w:left="640" w:right="340" w:hanging="436"/>
        <w:spacing w:after="0"/>
        <w:tabs>
          <w:tab w:leader="none" w:pos="6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For awards granted on March 8, 2017, the number of shares, if any, earned under the relative TSR PRSU award will vest in one installment fourteen days after the third anniversary of the grant date. For the Linear Integration PRSUs granted on July 17, 2017 and October 16, 2017, the number of shares, if any, earned will vest in one installment on July 17, 2020.</w:t>
      </w:r>
    </w:p>
    <w:p>
      <w:pPr>
        <w:spacing w:after="0" w:line="108" w:lineRule="exact"/>
        <w:rPr>
          <w:rFonts w:ascii="Arial" w:cs="Arial" w:eastAsia="Arial" w:hAnsi="Arial"/>
          <w:sz w:val="18"/>
          <w:szCs w:val="18"/>
          <w:color w:val="auto"/>
        </w:rPr>
      </w:pPr>
    </w:p>
    <w:p>
      <w:pPr>
        <w:ind w:left="640" w:right="380" w:hanging="436"/>
        <w:spacing w:after="0"/>
        <w:tabs>
          <w:tab w:leader="none" w:pos="6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 connection with the Linear Technology acquisition and in accordance with the terms of the merger agreement, the Company issued equity and cash awards to certain Linear Technology employees, including Mr. Pietkiewicz, in replacement of outstanding Linear Technology equity awards. These awards vest, subject to continued employment as follows:</w:t>
      </w:r>
    </w:p>
    <w:p>
      <w:pPr>
        <w:spacing w:after="0" w:line="231" w:lineRule="exact"/>
        <w:rPr>
          <w:sz w:val="20"/>
          <w:szCs w:val="20"/>
          <w:color w:val="auto"/>
        </w:rPr>
      </w:pPr>
    </w:p>
    <w:tbl>
      <w:tblPr>
        <w:tblLayout w:type="fixed"/>
        <w:tblInd w:w="1080" w:type="dxa"/>
        <w:tblCellMar>
          <w:top w:w="0" w:type="dxa"/>
          <w:left w:w="0" w:type="dxa"/>
          <w:bottom w:w="0" w:type="dxa"/>
          <w:right w:w="0" w:type="dxa"/>
        </w:tblCellMar>
      </w:tblPr>
      <w:tr>
        <w:trPr>
          <w:trHeight w:val="162"/>
        </w:trPr>
        <w:tc>
          <w:tcPr>
            <w:tcW w:w="2980" w:type="dxa"/>
            <w:vAlign w:val="bottom"/>
            <w:shd w:val="clear" w:color="auto" w:fill="052B82"/>
          </w:tcPr>
          <w:p>
            <w:pPr>
              <w:jc w:val="center"/>
              <w:ind w:right="119"/>
              <w:spacing w:after="0"/>
              <w:rPr>
                <w:sz w:val="20"/>
                <w:szCs w:val="20"/>
                <w:color w:val="auto"/>
              </w:rPr>
            </w:pPr>
            <w:r>
              <w:rPr>
                <w:rFonts w:ascii="Arial" w:cs="Arial" w:eastAsia="Arial" w:hAnsi="Arial"/>
                <w:sz w:val="14"/>
                <w:szCs w:val="14"/>
                <w:b w:val="1"/>
                <w:bCs w:val="1"/>
                <w:color w:val="FFFFFF"/>
              </w:rPr>
              <w:t>Grant Date</w:t>
            </w:r>
          </w:p>
        </w:tc>
        <w:tc>
          <w:tcPr>
            <w:tcW w:w="3360" w:type="dxa"/>
            <w:vAlign w:val="bottom"/>
            <w:shd w:val="clear" w:color="auto" w:fill="052B82"/>
          </w:tcPr>
          <w:p>
            <w:pPr>
              <w:jc w:val="center"/>
              <w:ind w:right="114"/>
              <w:spacing w:after="0"/>
              <w:rPr>
                <w:sz w:val="20"/>
                <w:szCs w:val="20"/>
                <w:color w:val="auto"/>
              </w:rPr>
            </w:pPr>
            <w:r>
              <w:rPr>
                <w:rFonts w:ascii="Arial" w:cs="Arial" w:eastAsia="Arial" w:hAnsi="Arial"/>
                <w:sz w:val="14"/>
                <w:szCs w:val="14"/>
                <w:b w:val="1"/>
                <w:bCs w:val="1"/>
                <w:color w:val="FFFFFF"/>
              </w:rPr>
              <w:t>Vest Date</w:t>
            </w:r>
          </w:p>
        </w:tc>
        <w:tc>
          <w:tcPr>
            <w:tcW w:w="820" w:type="dxa"/>
            <w:vAlign w:val="bottom"/>
            <w:shd w:val="clear" w:color="auto" w:fill="052B82"/>
          </w:tcPr>
          <w:p>
            <w:pPr>
              <w:ind w:left="80"/>
              <w:spacing w:after="0"/>
              <w:rPr>
                <w:sz w:val="20"/>
                <w:szCs w:val="20"/>
                <w:color w:val="auto"/>
              </w:rPr>
            </w:pPr>
            <w:r>
              <w:rPr>
                <w:rFonts w:ascii="Arial" w:cs="Arial" w:eastAsia="Arial" w:hAnsi="Arial"/>
                <w:sz w:val="14"/>
                <w:szCs w:val="14"/>
                <w:b w:val="1"/>
                <w:bCs w:val="1"/>
                <w:color w:val="FFFFFF"/>
              </w:rPr>
              <w:t>Shares(#)</w:t>
            </w:r>
          </w:p>
        </w:tc>
        <w:tc>
          <w:tcPr>
            <w:tcW w:w="1280" w:type="dxa"/>
            <w:vAlign w:val="bottom"/>
            <w:shd w:val="clear" w:color="auto" w:fill="052B82"/>
          </w:tcPr>
          <w:p>
            <w:pPr>
              <w:spacing w:after="0"/>
              <w:rPr>
                <w:sz w:val="14"/>
                <w:szCs w:val="14"/>
                <w:color w:val="auto"/>
              </w:rPr>
            </w:pPr>
          </w:p>
        </w:tc>
        <w:tc>
          <w:tcPr>
            <w:tcW w:w="82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Cash($)</w:t>
            </w:r>
          </w:p>
        </w:tc>
      </w:tr>
      <w:tr>
        <w:trPr>
          <w:trHeight w:val="203"/>
        </w:trPr>
        <w:tc>
          <w:tcPr>
            <w:tcW w:w="2980" w:type="dxa"/>
            <w:vAlign w:val="bottom"/>
          </w:tcPr>
          <w:p>
            <w:pPr>
              <w:jc w:val="right"/>
              <w:ind w:right="1099"/>
              <w:spacing w:after="0" w:line="202" w:lineRule="exact"/>
              <w:rPr>
                <w:sz w:val="20"/>
                <w:szCs w:val="20"/>
                <w:color w:val="auto"/>
              </w:rPr>
            </w:pPr>
            <w:r>
              <w:rPr>
                <w:rFonts w:ascii="Arial" w:cs="Arial" w:eastAsia="Arial" w:hAnsi="Arial"/>
                <w:sz w:val="18"/>
                <w:szCs w:val="18"/>
                <w:color w:val="auto"/>
              </w:rPr>
              <w:t>3/10/2017</w:t>
            </w:r>
          </w:p>
        </w:tc>
        <w:tc>
          <w:tcPr>
            <w:tcW w:w="3360" w:type="dxa"/>
            <w:vAlign w:val="bottom"/>
          </w:tcPr>
          <w:p>
            <w:pPr>
              <w:jc w:val="center"/>
              <w:ind w:right="114"/>
              <w:spacing w:after="0" w:line="202" w:lineRule="exact"/>
              <w:rPr>
                <w:sz w:val="20"/>
                <w:szCs w:val="20"/>
                <w:color w:val="auto"/>
              </w:rPr>
            </w:pPr>
            <w:r>
              <w:rPr>
                <w:rFonts w:ascii="Arial" w:cs="Arial" w:eastAsia="Arial" w:hAnsi="Arial"/>
                <w:sz w:val="18"/>
                <w:szCs w:val="18"/>
                <w:color w:val="auto"/>
                <w:w w:val="99"/>
              </w:rPr>
              <w:t>4/21/2020</w:t>
            </w:r>
          </w:p>
        </w:tc>
        <w:tc>
          <w:tcPr>
            <w:tcW w:w="820" w:type="dxa"/>
            <w:vAlign w:val="bottom"/>
          </w:tcPr>
          <w:p>
            <w:pPr>
              <w:jc w:val="center"/>
              <w:spacing w:after="0" w:line="202" w:lineRule="exact"/>
              <w:rPr>
                <w:sz w:val="20"/>
                <w:szCs w:val="20"/>
                <w:color w:val="auto"/>
              </w:rPr>
            </w:pPr>
            <w:r>
              <w:rPr>
                <w:rFonts w:ascii="Arial" w:cs="Arial" w:eastAsia="Arial" w:hAnsi="Arial"/>
                <w:sz w:val="18"/>
                <w:szCs w:val="18"/>
                <w:color w:val="auto"/>
              </w:rPr>
              <w:t>1,392</w:t>
            </w:r>
          </w:p>
        </w:tc>
        <w:tc>
          <w:tcPr>
            <w:tcW w:w="2100" w:type="dxa"/>
            <w:vAlign w:val="bottom"/>
            <w:gridSpan w:val="2"/>
          </w:tcPr>
          <w:p>
            <w:pPr>
              <w:jc w:val="center"/>
              <w:ind w:left="1190"/>
              <w:spacing w:after="0" w:line="202" w:lineRule="exact"/>
              <w:rPr>
                <w:sz w:val="20"/>
                <w:szCs w:val="20"/>
                <w:color w:val="auto"/>
              </w:rPr>
            </w:pPr>
            <w:r>
              <w:rPr>
                <w:rFonts w:ascii="Arial" w:cs="Arial" w:eastAsia="Arial" w:hAnsi="Arial"/>
                <w:sz w:val="18"/>
                <w:szCs w:val="18"/>
                <w:color w:val="auto"/>
              </w:rPr>
              <w:t>276,000</w:t>
            </w:r>
          </w:p>
        </w:tc>
      </w:tr>
      <w:tr>
        <w:trPr>
          <w:trHeight w:val="203"/>
        </w:trPr>
        <w:tc>
          <w:tcPr>
            <w:tcW w:w="2980" w:type="dxa"/>
            <w:vAlign w:val="bottom"/>
            <w:shd w:val="clear" w:color="auto" w:fill="E8EDF4"/>
          </w:tcPr>
          <w:p>
            <w:pPr>
              <w:spacing w:after="0"/>
              <w:rPr>
                <w:sz w:val="17"/>
                <w:szCs w:val="17"/>
                <w:color w:val="auto"/>
              </w:rPr>
            </w:pPr>
          </w:p>
        </w:tc>
        <w:tc>
          <w:tcPr>
            <w:tcW w:w="3360" w:type="dxa"/>
            <w:vAlign w:val="bottom"/>
            <w:shd w:val="clear" w:color="auto" w:fill="E8EDF4"/>
          </w:tcPr>
          <w:p>
            <w:pPr>
              <w:jc w:val="center"/>
              <w:ind w:right="114"/>
              <w:spacing w:after="0" w:line="202" w:lineRule="exact"/>
              <w:rPr>
                <w:sz w:val="20"/>
                <w:szCs w:val="20"/>
                <w:color w:val="auto"/>
              </w:rPr>
            </w:pPr>
            <w:r>
              <w:rPr>
                <w:rFonts w:ascii="Arial" w:cs="Arial" w:eastAsia="Arial" w:hAnsi="Arial"/>
                <w:sz w:val="18"/>
                <w:szCs w:val="18"/>
                <w:color w:val="auto"/>
                <w:w w:val="99"/>
              </w:rPr>
              <w:t>7/21/2020</w:t>
            </w:r>
          </w:p>
        </w:tc>
        <w:tc>
          <w:tcPr>
            <w:tcW w:w="820" w:type="dxa"/>
            <w:vAlign w:val="bottom"/>
            <w:shd w:val="clear" w:color="auto" w:fill="E8EDF4"/>
          </w:tcPr>
          <w:p>
            <w:pPr>
              <w:jc w:val="center"/>
              <w:spacing w:after="0" w:line="202" w:lineRule="exact"/>
              <w:rPr>
                <w:sz w:val="20"/>
                <w:szCs w:val="20"/>
                <w:color w:val="auto"/>
              </w:rPr>
            </w:pPr>
            <w:r>
              <w:rPr>
                <w:rFonts w:ascii="Arial" w:cs="Arial" w:eastAsia="Arial" w:hAnsi="Arial"/>
                <w:sz w:val="18"/>
                <w:szCs w:val="18"/>
                <w:color w:val="auto"/>
              </w:rPr>
              <w:t>5,968</w:t>
            </w:r>
          </w:p>
        </w:tc>
        <w:tc>
          <w:tcPr>
            <w:tcW w:w="1280" w:type="dxa"/>
            <w:vAlign w:val="bottom"/>
            <w:shd w:val="clear" w:color="auto" w:fill="E8EDF4"/>
          </w:tcPr>
          <w:p>
            <w:pPr>
              <w:spacing w:after="0"/>
              <w:rPr>
                <w:sz w:val="17"/>
                <w:szCs w:val="17"/>
                <w:color w:val="auto"/>
              </w:rPr>
            </w:pPr>
          </w:p>
        </w:tc>
        <w:tc>
          <w:tcPr>
            <w:tcW w:w="820" w:type="dxa"/>
            <w:vAlign w:val="bottom"/>
            <w:shd w:val="clear" w:color="auto" w:fill="E8EDF4"/>
          </w:tcPr>
          <w:p>
            <w:pPr>
              <w:ind w:left="260"/>
              <w:spacing w:after="0" w:line="202" w:lineRule="exact"/>
              <w:rPr>
                <w:sz w:val="20"/>
                <w:szCs w:val="20"/>
                <w:color w:val="auto"/>
              </w:rPr>
            </w:pPr>
            <w:r>
              <w:rPr>
                <w:rFonts w:ascii="Arial" w:cs="Arial" w:eastAsia="Arial" w:hAnsi="Arial"/>
                <w:sz w:val="18"/>
                <w:szCs w:val="18"/>
                <w:color w:val="auto"/>
              </w:rPr>
              <w:t>—</w:t>
            </w:r>
          </w:p>
        </w:tc>
      </w:tr>
      <w:tr>
        <w:trPr>
          <w:trHeight w:val="210"/>
        </w:trPr>
        <w:tc>
          <w:tcPr>
            <w:tcW w:w="2980" w:type="dxa"/>
            <w:vAlign w:val="bottom"/>
          </w:tcPr>
          <w:p>
            <w:pPr>
              <w:spacing w:after="0"/>
              <w:rPr>
                <w:sz w:val="18"/>
                <w:szCs w:val="18"/>
                <w:color w:val="auto"/>
              </w:rPr>
            </w:pPr>
          </w:p>
        </w:tc>
        <w:tc>
          <w:tcPr>
            <w:tcW w:w="3360" w:type="dxa"/>
            <w:vAlign w:val="bottom"/>
          </w:tcPr>
          <w:p>
            <w:pPr>
              <w:jc w:val="center"/>
              <w:ind w:right="114"/>
              <w:spacing w:after="0" w:line="202" w:lineRule="exact"/>
              <w:rPr>
                <w:sz w:val="20"/>
                <w:szCs w:val="20"/>
                <w:color w:val="auto"/>
              </w:rPr>
            </w:pPr>
            <w:r>
              <w:rPr>
                <w:rFonts w:ascii="Arial" w:cs="Arial" w:eastAsia="Arial" w:hAnsi="Arial"/>
                <w:sz w:val="18"/>
                <w:szCs w:val="18"/>
                <w:color w:val="auto"/>
                <w:w w:val="99"/>
              </w:rPr>
              <w:t>7/21/2021</w:t>
            </w:r>
          </w:p>
        </w:tc>
        <w:tc>
          <w:tcPr>
            <w:tcW w:w="82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rPr>
              <w:t>5,968</w:t>
            </w:r>
          </w:p>
        </w:tc>
        <w:tc>
          <w:tcPr>
            <w:tcW w:w="1280" w:type="dxa"/>
            <w:vAlign w:val="bottom"/>
          </w:tcPr>
          <w:p>
            <w:pPr>
              <w:spacing w:after="0"/>
              <w:rPr>
                <w:sz w:val="18"/>
                <w:szCs w:val="18"/>
                <w:color w:val="auto"/>
              </w:rPr>
            </w:pPr>
          </w:p>
        </w:tc>
        <w:tc>
          <w:tcPr>
            <w:tcW w:w="820" w:type="dxa"/>
            <w:vAlign w:val="bottom"/>
            <w:tcBorders>
              <w:bottom w:val="single" w:sz="8" w:color="auto"/>
            </w:tcBorders>
          </w:tcPr>
          <w:p>
            <w:pPr>
              <w:ind w:left="260"/>
              <w:spacing w:after="0" w:line="202" w:lineRule="exact"/>
              <w:rPr>
                <w:sz w:val="20"/>
                <w:szCs w:val="20"/>
                <w:color w:val="auto"/>
              </w:rPr>
            </w:pPr>
            <w:r>
              <w:rPr>
                <w:rFonts w:ascii="Arial" w:cs="Arial" w:eastAsia="Arial" w:hAnsi="Arial"/>
                <w:sz w:val="18"/>
                <w:szCs w:val="18"/>
                <w:color w:val="auto"/>
              </w:rPr>
              <w:t>—</w:t>
            </w:r>
          </w:p>
        </w:tc>
      </w:tr>
      <w:tr>
        <w:trPr>
          <w:trHeight w:val="203"/>
        </w:trPr>
        <w:tc>
          <w:tcPr>
            <w:tcW w:w="2980" w:type="dxa"/>
            <w:vAlign w:val="bottom"/>
            <w:shd w:val="clear" w:color="auto" w:fill="E8EDF4"/>
          </w:tcPr>
          <w:p>
            <w:pPr>
              <w:spacing w:after="0"/>
              <w:rPr>
                <w:sz w:val="17"/>
                <w:szCs w:val="17"/>
                <w:color w:val="auto"/>
              </w:rPr>
            </w:pPr>
          </w:p>
        </w:tc>
        <w:tc>
          <w:tcPr>
            <w:tcW w:w="3360" w:type="dxa"/>
            <w:vAlign w:val="bottom"/>
            <w:shd w:val="clear" w:color="auto" w:fill="E8EDF4"/>
          </w:tcPr>
          <w:p>
            <w:pPr>
              <w:jc w:val="center"/>
              <w:ind w:right="114"/>
              <w:spacing w:after="0" w:line="202" w:lineRule="exact"/>
              <w:rPr>
                <w:sz w:val="20"/>
                <w:szCs w:val="20"/>
                <w:color w:val="auto"/>
              </w:rPr>
            </w:pPr>
            <w:r>
              <w:rPr>
                <w:rFonts w:ascii="Arial" w:cs="Arial" w:eastAsia="Arial" w:hAnsi="Arial"/>
                <w:sz w:val="18"/>
                <w:szCs w:val="18"/>
                <w:b w:val="1"/>
                <w:bCs w:val="1"/>
                <w:color w:val="auto"/>
                <w:w w:val="97"/>
              </w:rPr>
              <w:t>Total:</w:t>
            </w:r>
          </w:p>
        </w:tc>
        <w:tc>
          <w:tcPr>
            <w:tcW w:w="820" w:type="dxa"/>
            <w:vAlign w:val="bottom"/>
            <w:shd w:val="clear" w:color="auto" w:fill="E8EDF4"/>
          </w:tcPr>
          <w:p>
            <w:pPr>
              <w:jc w:val="center"/>
              <w:spacing w:after="0" w:line="202" w:lineRule="exact"/>
              <w:rPr>
                <w:sz w:val="20"/>
                <w:szCs w:val="20"/>
                <w:color w:val="auto"/>
              </w:rPr>
            </w:pPr>
            <w:r>
              <w:rPr>
                <w:rFonts w:ascii="Arial" w:cs="Arial" w:eastAsia="Arial" w:hAnsi="Arial"/>
                <w:sz w:val="18"/>
                <w:szCs w:val="18"/>
                <w:b w:val="1"/>
                <w:bCs w:val="1"/>
                <w:color w:val="auto"/>
                <w:w w:val="98"/>
              </w:rPr>
              <w:t>13,328</w:t>
            </w:r>
          </w:p>
        </w:tc>
        <w:tc>
          <w:tcPr>
            <w:tcW w:w="2100" w:type="dxa"/>
            <w:vAlign w:val="bottom"/>
            <w:gridSpan w:val="2"/>
            <w:shd w:val="clear" w:color="auto" w:fill="E8EDF4"/>
          </w:tcPr>
          <w:p>
            <w:pPr>
              <w:jc w:val="center"/>
              <w:ind w:left="1190"/>
              <w:spacing w:after="0" w:line="202" w:lineRule="exact"/>
              <w:rPr>
                <w:sz w:val="20"/>
                <w:szCs w:val="20"/>
                <w:color w:val="auto"/>
              </w:rPr>
            </w:pPr>
            <w:r>
              <w:rPr>
                <w:rFonts w:ascii="Arial" w:cs="Arial" w:eastAsia="Arial" w:hAnsi="Arial"/>
                <w:sz w:val="18"/>
                <w:szCs w:val="18"/>
                <w:b w:val="1"/>
                <w:bCs w:val="1"/>
                <w:color w:val="auto"/>
              </w:rPr>
              <w:t>276,000</w:t>
            </w:r>
          </w:p>
        </w:tc>
      </w:tr>
    </w:tbl>
    <w:p>
      <w:pPr>
        <w:spacing w:after="0" w:line="148"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4"/>
          <w:szCs w:val="14"/>
          <w:b w:val="1"/>
          <w:bCs w:val="1"/>
          <w:color w:val="052B82"/>
        </w:rPr>
        <w:t>2020 Proxy Statement</w:t>
      </w:r>
      <w:r>
        <w:rPr>
          <w:sz w:val="20"/>
          <w:szCs w:val="20"/>
          <w:color w:val="auto"/>
        </w:rPr>
        <w:tab/>
      </w:r>
      <w:r>
        <w:rPr>
          <w:rFonts w:ascii="Arial" w:cs="Arial" w:eastAsia="Arial" w:hAnsi="Arial"/>
          <w:sz w:val="17"/>
          <w:szCs w:val="17"/>
          <w:color w:val="999999"/>
        </w:rPr>
        <w:t>61</w:t>
      </w:r>
    </w:p>
    <w:p>
      <w:pPr>
        <w:sectPr>
          <w:pgSz w:w="11900" w:h="16838" w:orient="portrait"/>
          <w:cols w:equalWidth="0" w:num="1">
            <w:col w:w="11220"/>
          </w:cols>
          <w:pgMar w:left="24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2649855" cy="1371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52B82"/>
        </w:rPr>
        <w:t>OPTION EXERCISES AND STOCK VESTED DURING FISCAL 2019</w:t>
      </w:r>
    </w:p>
    <w:p>
      <w:pPr>
        <w:spacing w:after="0" w:line="126" w:lineRule="exact"/>
        <w:rPr>
          <w:sz w:val="20"/>
          <w:szCs w:val="20"/>
          <w:color w:val="auto"/>
        </w:rPr>
      </w:pPr>
    </w:p>
    <w:p>
      <w:pPr>
        <w:ind w:left="200" w:right="20" w:firstLine="441"/>
        <w:spacing w:after="0" w:line="246" w:lineRule="auto"/>
        <w:rPr>
          <w:sz w:val="20"/>
          <w:szCs w:val="20"/>
          <w:color w:val="auto"/>
        </w:rPr>
      </w:pPr>
      <w:r>
        <w:rPr>
          <w:rFonts w:ascii="Arial" w:cs="Arial" w:eastAsia="Arial" w:hAnsi="Arial"/>
          <w:sz w:val="18"/>
          <w:szCs w:val="18"/>
          <w:color w:val="auto"/>
        </w:rPr>
        <w:t>The following table provides information on the aggregate value realized by each named executive officer upon the exercise of stock options and the vesting of restricted stock units/awards, time-based RSUs and PRSUs during fiscal 2019:</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3060" w:type="dxa"/>
            <w:vAlign w:val="bottom"/>
            <w:shd w:val="clear" w:color="auto" w:fill="052B82"/>
          </w:tcPr>
          <w:p>
            <w:pPr>
              <w:spacing w:after="0"/>
              <w:rPr>
                <w:sz w:val="14"/>
                <w:szCs w:val="14"/>
                <w:color w:val="auto"/>
              </w:rPr>
            </w:pPr>
          </w:p>
        </w:tc>
        <w:tc>
          <w:tcPr>
            <w:tcW w:w="2240" w:type="dxa"/>
            <w:vAlign w:val="bottom"/>
            <w:shd w:val="clear" w:color="auto" w:fill="052B82"/>
          </w:tcPr>
          <w:p>
            <w:pPr>
              <w:jc w:val="right"/>
              <w:spacing w:after="0"/>
              <w:rPr>
                <w:sz w:val="20"/>
                <w:szCs w:val="20"/>
                <w:color w:val="auto"/>
              </w:rPr>
            </w:pPr>
            <w:r>
              <w:rPr>
                <w:rFonts w:ascii="Arial" w:cs="Arial" w:eastAsia="Arial" w:hAnsi="Arial"/>
                <w:sz w:val="14"/>
                <w:szCs w:val="14"/>
                <w:b w:val="1"/>
                <w:bCs w:val="1"/>
                <w:color w:val="FFFFFF"/>
              </w:rPr>
              <w:t>Option Awards</w:t>
            </w:r>
          </w:p>
        </w:tc>
        <w:tc>
          <w:tcPr>
            <w:tcW w:w="1280" w:type="dxa"/>
            <w:vAlign w:val="bottom"/>
            <w:vMerge w:val="restart"/>
            <w:shd w:val="clear" w:color="auto" w:fill="052B82"/>
          </w:tcPr>
          <w:p>
            <w:pPr>
              <w:jc w:val="right"/>
              <w:ind w:right="197"/>
              <w:spacing w:after="0"/>
              <w:rPr>
                <w:sz w:val="20"/>
                <w:szCs w:val="20"/>
                <w:color w:val="auto"/>
              </w:rPr>
            </w:pPr>
            <w:r>
              <w:rPr>
                <w:rFonts w:ascii="Arial" w:cs="Arial" w:eastAsia="Arial" w:hAnsi="Arial"/>
                <w:sz w:val="14"/>
                <w:szCs w:val="14"/>
                <w:b w:val="1"/>
                <w:bCs w:val="1"/>
                <w:color w:val="FFFFFF"/>
                <w:w w:val="99"/>
              </w:rPr>
              <w:t>Value Realized</w:t>
            </w:r>
          </w:p>
        </w:tc>
        <w:tc>
          <w:tcPr>
            <w:tcW w:w="2220" w:type="dxa"/>
            <w:vAlign w:val="bottom"/>
            <w:shd w:val="clear" w:color="auto" w:fill="052B82"/>
          </w:tcPr>
          <w:p>
            <w:pPr>
              <w:jc w:val="right"/>
              <w:spacing w:after="0"/>
              <w:rPr>
                <w:sz w:val="20"/>
                <w:szCs w:val="20"/>
                <w:color w:val="auto"/>
              </w:rPr>
            </w:pPr>
            <w:r>
              <w:rPr>
                <w:rFonts w:ascii="Arial" w:cs="Arial" w:eastAsia="Arial" w:hAnsi="Arial"/>
                <w:sz w:val="14"/>
                <w:szCs w:val="14"/>
                <w:b w:val="1"/>
                <w:bCs w:val="1"/>
                <w:color w:val="FFFFFF"/>
              </w:rPr>
              <w:t>Stock Awards</w:t>
            </w:r>
          </w:p>
        </w:tc>
        <w:tc>
          <w:tcPr>
            <w:tcW w:w="1320" w:type="dxa"/>
            <w:vAlign w:val="bottom"/>
            <w:vMerge w:val="restart"/>
            <w:shd w:val="clear" w:color="auto" w:fill="052B82"/>
          </w:tcPr>
          <w:p>
            <w:pPr>
              <w:jc w:val="center"/>
              <w:ind w:right="237"/>
              <w:spacing w:after="0"/>
              <w:rPr>
                <w:sz w:val="20"/>
                <w:szCs w:val="20"/>
                <w:color w:val="auto"/>
              </w:rPr>
            </w:pPr>
            <w:r>
              <w:rPr>
                <w:rFonts w:ascii="Arial" w:cs="Arial" w:eastAsia="Arial" w:hAnsi="Arial"/>
                <w:sz w:val="14"/>
                <w:szCs w:val="14"/>
                <w:b w:val="1"/>
                <w:bCs w:val="1"/>
                <w:color w:val="FFFFFF"/>
              </w:rPr>
              <w:t>Value Realized</w:t>
            </w:r>
          </w:p>
        </w:tc>
        <w:tc>
          <w:tcPr>
            <w:tcW w:w="0" w:type="dxa"/>
            <w:vAlign w:val="bottom"/>
          </w:tcPr>
          <w:p>
            <w:pPr>
              <w:spacing w:after="0"/>
              <w:rPr>
                <w:sz w:val="1"/>
                <w:szCs w:val="1"/>
                <w:color w:val="auto"/>
              </w:rPr>
            </w:pPr>
          </w:p>
        </w:tc>
      </w:tr>
      <w:tr>
        <w:trPr>
          <w:trHeight w:val="162"/>
        </w:trPr>
        <w:tc>
          <w:tcPr>
            <w:tcW w:w="3060" w:type="dxa"/>
            <w:vAlign w:val="bottom"/>
            <w:shd w:val="clear" w:color="auto" w:fill="052B82"/>
          </w:tcPr>
          <w:p>
            <w:pPr>
              <w:spacing w:after="0"/>
              <w:rPr>
                <w:sz w:val="14"/>
                <w:szCs w:val="14"/>
                <w:color w:val="auto"/>
              </w:rPr>
            </w:pPr>
          </w:p>
        </w:tc>
        <w:tc>
          <w:tcPr>
            <w:tcW w:w="2240" w:type="dxa"/>
            <w:vAlign w:val="bottom"/>
            <w:shd w:val="clear" w:color="auto" w:fill="052B82"/>
          </w:tcPr>
          <w:p>
            <w:pPr>
              <w:spacing w:after="0"/>
              <w:rPr>
                <w:sz w:val="14"/>
                <w:szCs w:val="14"/>
                <w:color w:val="auto"/>
              </w:rPr>
            </w:pPr>
          </w:p>
        </w:tc>
        <w:tc>
          <w:tcPr>
            <w:tcW w:w="1280" w:type="dxa"/>
            <w:vAlign w:val="bottom"/>
            <w:vMerge w:val="continue"/>
            <w:shd w:val="clear" w:color="auto" w:fill="052B82"/>
          </w:tcPr>
          <w:p>
            <w:pPr>
              <w:spacing w:after="0"/>
              <w:rPr>
                <w:sz w:val="14"/>
                <w:szCs w:val="14"/>
                <w:color w:val="auto"/>
              </w:rPr>
            </w:pPr>
          </w:p>
        </w:tc>
        <w:tc>
          <w:tcPr>
            <w:tcW w:w="2220" w:type="dxa"/>
            <w:vAlign w:val="bottom"/>
            <w:shd w:val="clear" w:color="auto" w:fill="052B82"/>
          </w:tcPr>
          <w:p>
            <w:pPr>
              <w:spacing w:after="0"/>
              <w:rPr>
                <w:sz w:val="14"/>
                <w:szCs w:val="14"/>
                <w:color w:val="auto"/>
              </w:rPr>
            </w:pPr>
          </w:p>
        </w:tc>
        <w:tc>
          <w:tcPr>
            <w:tcW w:w="1320" w:type="dxa"/>
            <w:vAlign w:val="bottom"/>
            <w:vMerge w:val="continue"/>
            <w:shd w:val="clear" w:color="auto" w:fill="052B82"/>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60" w:type="dxa"/>
            <w:vAlign w:val="bottom"/>
            <w:shd w:val="clear" w:color="auto" w:fill="052B82"/>
          </w:tcPr>
          <w:p>
            <w:pPr>
              <w:spacing w:after="0"/>
              <w:rPr>
                <w:sz w:val="14"/>
                <w:szCs w:val="14"/>
                <w:color w:val="auto"/>
              </w:rPr>
            </w:pPr>
          </w:p>
        </w:tc>
        <w:tc>
          <w:tcPr>
            <w:tcW w:w="2240" w:type="dxa"/>
            <w:vAlign w:val="bottom"/>
            <w:shd w:val="clear" w:color="auto" w:fill="052B82"/>
          </w:tcPr>
          <w:p>
            <w:pPr>
              <w:jc w:val="right"/>
              <w:ind w:right="577"/>
              <w:spacing w:after="0"/>
              <w:rPr>
                <w:sz w:val="20"/>
                <w:szCs w:val="20"/>
                <w:color w:val="auto"/>
              </w:rPr>
            </w:pPr>
            <w:r>
              <w:rPr>
                <w:rFonts w:ascii="Arial" w:cs="Arial" w:eastAsia="Arial" w:hAnsi="Arial"/>
                <w:sz w:val="14"/>
                <w:szCs w:val="14"/>
                <w:b w:val="1"/>
                <w:bCs w:val="1"/>
                <w:color w:val="FFFFFF"/>
              </w:rPr>
              <w:t>Number of Shares</w:t>
            </w:r>
          </w:p>
        </w:tc>
        <w:tc>
          <w:tcPr>
            <w:tcW w:w="1280" w:type="dxa"/>
            <w:vAlign w:val="bottom"/>
            <w:shd w:val="clear" w:color="auto" w:fill="052B82"/>
          </w:tcPr>
          <w:p>
            <w:pPr>
              <w:jc w:val="right"/>
              <w:ind w:right="297"/>
              <w:spacing w:after="0"/>
              <w:rPr>
                <w:sz w:val="20"/>
                <w:szCs w:val="20"/>
                <w:color w:val="auto"/>
              </w:rPr>
            </w:pPr>
            <w:r>
              <w:rPr>
                <w:rFonts w:ascii="Arial" w:cs="Arial" w:eastAsia="Arial" w:hAnsi="Arial"/>
                <w:sz w:val="14"/>
                <w:szCs w:val="14"/>
                <w:b w:val="1"/>
                <w:bCs w:val="1"/>
                <w:color w:val="FFFFFF"/>
              </w:rPr>
              <w:t>on Exercise</w:t>
            </w:r>
          </w:p>
        </w:tc>
        <w:tc>
          <w:tcPr>
            <w:tcW w:w="2220" w:type="dxa"/>
            <w:vAlign w:val="bottom"/>
            <w:shd w:val="clear" w:color="auto" w:fill="052B82"/>
          </w:tcPr>
          <w:p>
            <w:pPr>
              <w:jc w:val="right"/>
              <w:ind w:right="537"/>
              <w:spacing w:after="0"/>
              <w:rPr>
                <w:sz w:val="20"/>
                <w:szCs w:val="20"/>
                <w:color w:val="auto"/>
              </w:rPr>
            </w:pPr>
            <w:r>
              <w:rPr>
                <w:rFonts w:ascii="Arial" w:cs="Arial" w:eastAsia="Arial" w:hAnsi="Arial"/>
                <w:sz w:val="14"/>
                <w:szCs w:val="14"/>
                <w:b w:val="1"/>
                <w:bCs w:val="1"/>
                <w:color w:val="FFFFFF"/>
              </w:rPr>
              <w:t>Number of Shares</w:t>
            </w:r>
          </w:p>
        </w:tc>
        <w:tc>
          <w:tcPr>
            <w:tcW w:w="1320" w:type="dxa"/>
            <w:vAlign w:val="bottom"/>
            <w:shd w:val="clear" w:color="auto" w:fill="052B82"/>
          </w:tcPr>
          <w:p>
            <w:pPr>
              <w:jc w:val="center"/>
              <w:ind w:right="237"/>
              <w:spacing w:after="0"/>
              <w:rPr>
                <w:sz w:val="20"/>
                <w:szCs w:val="20"/>
                <w:color w:val="auto"/>
              </w:rPr>
            </w:pPr>
            <w:r>
              <w:rPr>
                <w:rFonts w:ascii="Arial" w:cs="Arial" w:eastAsia="Arial" w:hAnsi="Arial"/>
                <w:sz w:val="14"/>
                <w:szCs w:val="14"/>
                <w:b w:val="1"/>
                <w:bCs w:val="1"/>
                <w:color w:val="FFFFFF"/>
              </w:rPr>
              <w:t>on Vesting</w:t>
            </w:r>
          </w:p>
        </w:tc>
        <w:tc>
          <w:tcPr>
            <w:tcW w:w="0" w:type="dxa"/>
            <w:vAlign w:val="bottom"/>
          </w:tcPr>
          <w:p>
            <w:pPr>
              <w:spacing w:after="0"/>
              <w:rPr>
                <w:sz w:val="1"/>
                <w:szCs w:val="1"/>
                <w:color w:val="auto"/>
              </w:rPr>
            </w:pPr>
          </w:p>
        </w:tc>
      </w:tr>
      <w:tr>
        <w:trPr>
          <w:trHeight w:val="189"/>
        </w:trPr>
        <w:tc>
          <w:tcPr>
            <w:tcW w:w="3060" w:type="dxa"/>
            <w:vAlign w:val="bottom"/>
            <w:shd w:val="clear" w:color="auto" w:fill="052B82"/>
          </w:tcPr>
          <w:p>
            <w:pPr>
              <w:ind w:left="20"/>
              <w:spacing w:after="0"/>
              <w:rPr>
                <w:sz w:val="20"/>
                <w:szCs w:val="20"/>
                <w:color w:val="auto"/>
              </w:rPr>
            </w:pPr>
            <w:r>
              <w:rPr>
                <w:rFonts w:ascii="Arial" w:cs="Arial" w:eastAsia="Arial" w:hAnsi="Arial"/>
                <w:sz w:val="14"/>
                <w:szCs w:val="14"/>
                <w:b w:val="1"/>
                <w:bCs w:val="1"/>
                <w:color w:val="FFFFFF"/>
              </w:rPr>
              <w:t>Officer Name</w:t>
            </w:r>
          </w:p>
        </w:tc>
        <w:tc>
          <w:tcPr>
            <w:tcW w:w="2240" w:type="dxa"/>
            <w:vAlign w:val="bottom"/>
            <w:shd w:val="clear" w:color="auto" w:fill="052B82"/>
          </w:tcPr>
          <w:p>
            <w:pPr>
              <w:jc w:val="right"/>
              <w:ind w:right="457"/>
              <w:spacing w:after="0"/>
              <w:rPr>
                <w:sz w:val="20"/>
                <w:szCs w:val="20"/>
                <w:color w:val="auto"/>
              </w:rPr>
            </w:pPr>
            <w:r>
              <w:rPr>
                <w:rFonts w:ascii="Arial" w:cs="Arial" w:eastAsia="Arial" w:hAnsi="Arial"/>
                <w:sz w:val="14"/>
                <w:szCs w:val="14"/>
                <w:b w:val="1"/>
                <w:bCs w:val="1"/>
                <w:color w:val="FFFFFF"/>
              </w:rPr>
              <w:t>Acquired on Exercise</w:t>
            </w:r>
          </w:p>
        </w:tc>
        <w:tc>
          <w:tcPr>
            <w:tcW w:w="1280" w:type="dxa"/>
            <w:vAlign w:val="bottom"/>
            <w:shd w:val="clear" w:color="auto" w:fill="052B82"/>
          </w:tcPr>
          <w:p>
            <w:pPr>
              <w:jc w:val="right"/>
              <w:ind w:right="517"/>
              <w:spacing w:after="0"/>
              <w:rPr>
                <w:sz w:val="20"/>
                <w:szCs w:val="20"/>
                <w:color w:val="auto"/>
              </w:rPr>
            </w:pPr>
            <w:r>
              <w:rPr>
                <w:rFonts w:ascii="Arial" w:cs="Arial" w:eastAsia="Arial" w:hAnsi="Arial"/>
                <w:sz w:val="14"/>
                <w:szCs w:val="14"/>
                <w:b w:val="1"/>
                <w:bCs w:val="1"/>
                <w:color w:val="FFFFFF"/>
              </w:rPr>
              <w:t>($)(1)</w:t>
            </w:r>
          </w:p>
        </w:tc>
        <w:tc>
          <w:tcPr>
            <w:tcW w:w="2220" w:type="dxa"/>
            <w:vAlign w:val="bottom"/>
            <w:shd w:val="clear" w:color="auto" w:fill="052B82"/>
          </w:tcPr>
          <w:p>
            <w:pPr>
              <w:jc w:val="right"/>
              <w:ind w:right="477"/>
              <w:spacing w:after="0"/>
              <w:rPr>
                <w:sz w:val="20"/>
                <w:szCs w:val="20"/>
                <w:color w:val="auto"/>
              </w:rPr>
            </w:pPr>
            <w:r>
              <w:rPr>
                <w:rFonts w:ascii="Arial" w:cs="Arial" w:eastAsia="Arial" w:hAnsi="Arial"/>
                <w:sz w:val="14"/>
                <w:szCs w:val="14"/>
                <w:b w:val="1"/>
                <w:bCs w:val="1"/>
                <w:color w:val="FFFFFF"/>
              </w:rPr>
              <w:t>Acquired on Vesting</w:t>
            </w:r>
          </w:p>
        </w:tc>
        <w:tc>
          <w:tcPr>
            <w:tcW w:w="1320" w:type="dxa"/>
            <w:vAlign w:val="bottom"/>
            <w:shd w:val="clear" w:color="auto" w:fill="052B82"/>
          </w:tcPr>
          <w:p>
            <w:pPr>
              <w:jc w:val="center"/>
              <w:ind w:right="237"/>
              <w:spacing w:after="0"/>
              <w:rPr>
                <w:sz w:val="20"/>
                <w:szCs w:val="20"/>
                <w:color w:val="auto"/>
              </w:rPr>
            </w:pPr>
            <w:r>
              <w:rPr>
                <w:rFonts w:ascii="Arial" w:cs="Arial" w:eastAsia="Arial" w:hAnsi="Arial"/>
                <w:sz w:val="14"/>
                <w:szCs w:val="14"/>
                <w:b w:val="1"/>
                <w:bCs w:val="1"/>
                <w:color w:val="FFFFFF"/>
              </w:rPr>
              <w:t>($)(2)</w:t>
            </w:r>
          </w:p>
        </w:tc>
        <w:tc>
          <w:tcPr>
            <w:tcW w:w="0" w:type="dxa"/>
            <w:vAlign w:val="bottom"/>
          </w:tcPr>
          <w:p>
            <w:pPr>
              <w:spacing w:after="0"/>
              <w:rPr>
                <w:sz w:val="1"/>
                <w:szCs w:val="1"/>
                <w:color w:val="auto"/>
              </w:rPr>
            </w:pPr>
          </w:p>
        </w:tc>
      </w:tr>
      <w:tr>
        <w:trPr>
          <w:trHeight w:val="257"/>
        </w:trPr>
        <w:tc>
          <w:tcPr>
            <w:tcW w:w="3060" w:type="dxa"/>
            <w:vAlign w:val="bottom"/>
          </w:tcPr>
          <w:p>
            <w:pPr>
              <w:ind w:left="100"/>
              <w:spacing w:after="0"/>
              <w:rPr>
                <w:sz w:val="20"/>
                <w:szCs w:val="20"/>
                <w:color w:val="auto"/>
              </w:rPr>
            </w:pPr>
            <w:r>
              <w:rPr>
                <w:rFonts w:ascii="Arial" w:cs="Arial" w:eastAsia="Arial" w:hAnsi="Arial"/>
                <w:sz w:val="18"/>
                <w:szCs w:val="18"/>
                <w:color w:val="auto"/>
              </w:rPr>
              <w:t>Vincent Roche</w:t>
            </w:r>
          </w:p>
        </w:tc>
        <w:tc>
          <w:tcPr>
            <w:tcW w:w="2240" w:type="dxa"/>
            <w:vAlign w:val="bottom"/>
          </w:tcPr>
          <w:p>
            <w:pPr>
              <w:jc w:val="right"/>
              <w:ind w:right="457"/>
              <w:spacing w:after="0"/>
              <w:rPr>
                <w:sz w:val="20"/>
                <w:szCs w:val="20"/>
                <w:color w:val="auto"/>
              </w:rPr>
            </w:pPr>
            <w:r>
              <w:rPr>
                <w:rFonts w:ascii="Arial" w:cs="Arial" w:eastAsia="Arial" w:hAnsi="Arial"/>
                <w:sz w:val="18"/>
                <w:szCs w:val="18"/>
                <w:color w:val="auto"/>
              </w:rPr>
              <w:t>80,000</w:t>
            </w:r>
          </w:p>
        </w:tc>
        <w:tc>
          <w:tcPr>
            <w:tcW w:w="1280" w:type="dxa"/>
            <w:vAlign w:val="bottom"/>
          </w:tcPr>
          <w:p>
            <w:pPr>
              <w:jc w:val="right"/>
              <w:ind w:right="177"/>
              <w:spacing w:after="0"/>
              <w:rPr>
                <w:sz w:val="20"/>
                <w:szCs w:val="20"/>
                <w:color w:val="auto"/>
              </w:rPr>
            </w:pPr>
            <w:r>
              <w:rPr>
                <w:rFonts w:ascii="Arial" w:cs="Arial" w:eastAsia="Arial" w:hAnsi="Arial"/>
                <w:sz w:val="18"/>
                <w:szCs w:val="18"/>
                <w:color w:val="auto"/>
              </w:rPr>
              <w:t>4,179,634</w:t>
            </w:r>
          </w:p>
        </w:tc>
        <w:tc>
          <w:tcPr>
            <w:tcW w:w="2220" w:type="dxa"/>
            <w:vAlign w:val="bottom"/>
          </w:tcPr>
          <w:p>
            <w:pPr>
              <w:jc w:val="right"/>
              <w:ind w:right="457"/>
              <w:spacing w:after="0"/>
              <w:rPr>
                <w:sz w:val="20"/>
                <w:szCs w:val="20"/>
                <w:color w:val="auto"/>
              </w:rPr>
            </w:pPr>
            <w:r>
              <w:rPr>
                <w:rFonts w:ascii="Arial" w:cs="Arial" w:eastAsia="Arial" w:hAnsi="Arial"/>
                <w:sz w:val="18"/>
                <w:szCs w:val="18"/>
                <w:color w:val="auto"/>
              </w:rPr>
              <w:t>69,224</w:t>
            </w:r>
          </w:p>
        </w:tc>
        <w:tc>
          <w:tcPr>
            <w:tcW w:w="1320" w:type="dxa"/>
            <w:vAlign w:val="bottom"/>
          </w:tcPr>
          <w:p>
            <w:pPr>
              <w:jc w:val="right"/>
              <w:ind w:right="237"/>
              <w:spacing w:after="0"/>
              <w:rPr>
                <w:sz w:val="20"/>
                <w:szCs w:val="20"/>
                <w:color w:val="auto"/>
              </w:rPr>
            </w:pPr>
            <w:r>
              <w:rPr>
                <w:rFonts w:ascii="Arial" w:cs="Arial" w:eastAsia="Arial" w:hAnsi="Arial"/>
                <w:sz w:val="18"/>
                <w:szCs w:val="18"/>
                <w:color w:val="auto"/>
              </w:rPr>
              <w:t>7,365,652</w:t>
            </w:r>
          </w:p>
        </w:tc>
        <w:tc>
          <w:tcPr>
            <w:tcW w:w="0" w:type="dxa"/>
            <w:vAlign w:val="bottom"/>
          </w:tcPr>
          <w:p>
            <w:pPr>
              <w:spacing w:after="0"/>
              <w:rPr>
                <w:sz w:val="1"/>
                <w:szCs w:val="1"/>
                <w:color w:val="auto"/>
              </w:rPr>
            </w:pPr>
          </w:p>
        </w:tc>
      </w:tr>
      <w:tr>
        <w:trPr>
          <w:trHeight w:val="41"/>
        </w:trPr>
        <w:tc>
          <w:tcPr>
            <w:tcW w:w="306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3060" w:type="dxa"/>
            <w:vAlign w:val="bottom"/>
            <w:tcBorders>
              <w:bottom w:val="single" w:sz="8" w:color="E8EDF4"/>
            </w:tcBorders>
            <w:shd w:val="clear" w:color="auto" w:fill="E8EDF4"/>
          </w:tcPr>
          <w:p>
            <w:pPr>
              <w:ind w:left="100"/>
              <w:spacing w:after="0"/>
              <w:rPr>
                <w:sz w:val="20"/>
                <w:szCs w:val="20"/>
                <w:color w:val="auto"/>
              </w:rPr>
            </w:pPr>
            <w:r>
              <w:rPr>
                <w:rFonts w:ascii="Arial" w:cs="Arial" w:eastAsia="Arial" w:hAnsi="Arial"/>
                <w:sz w:val="18"/>
                <w:szCs w:val="18"/>
                <w:color w:val="auto"/>
              </w:rPr>
              <w:t>Prashanth Mahendra-Rajah</w:t>
            </w:r>
          </w:p>
        </w:tc>
        <w:tc>
          <w:tcPr>
            <w:tcW w:w="2240" w:type="dxa"/>
            <w:vAlign w:val="bottom"/>
            <w:tcBorders>
              <w:bottom w:val="single" w:sz="8" w:color="E8EDF4"/>
            </w:tcBorders>
            <w:shd w:val="clear" w:color="auto" w:fill="E8EDF4"/>
          </w:tcPr>
          <w:p>
            <w:pPr>
              <w:jc w:val="right"/>
              <w:ind w:right="557"/>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E8EDF4"/>
            </w:tcBorders>
            <w:shd w:val="clear" w:color="auto" w:fill="E8EDF4"/>
          </w:tcPr>
          <w:p>
            <w:pPr>
              <w:jc w:val="right"/>
              <w:ind w:right="277"/>
              <w:spacing w:after="0"/>
              <w:rPr>
                <w:sz w:val="20"/>
                <w:szCs w:val="20"/>
                <w:color w:val="auto"/>
              </w:rPr>
            </w:pPr>
            <w:r>
              <w:rPr>
                <w:rFonts w:ascii="Arial" w:cs="Arial" w:eastAsia="Arial" w:hAnsi="Arial"/>
                <w:sz w:val="18"/>
                <w:szCs w:val="18"/>
                <w:color w:val="auto"/>
              </w:rPr>
              <w:t>—</w:t>
            </w:r>
          </w:p>
        </w:tc>
        <w:tc>
          <w:tcPr>
            <w:tcW w:w="2220" w:type="dxa"/>
            <w:vAlign w:val="bottom"/>
            <w:tcBorders>
              <w:bottom w:val="single" w:sz="8" w:color="E8EDF4"/>
            </w:tcBorders>
            <w:shd w:val="clear" w:color="auto" w:fill="E8EDF4"/>
          </w:tcPr>
          <w:p>
            <w:pPr>
              <w:jc w:val="right"/>
              <w:ind w:right="457"/>
              <w:spacing w:after="0"/>
              <w:rPr>
                <w:sz w:val="20"/>
                <w:szCs w:val="20"/>
                <w:color w:val="auto"/>
              </w:rPr>
            </w:pPr>
            <w:r>
              <w:rPr>
                <w:rFonts w:ascii="Arial" w:cs="Arial" w:eastAsia="Arial" w:hAnsi="Arial"/>
                <w:sz w:val="18"/>
                <w:szCs w:val="18"/>
                <w:color w:val="auto"/>
              </w:rPr>
              <w:t>9,990</w:t>
            </w:r>
          </w:p>
        </w:tc>
        <w:tc>
          <w:tcPr>
            <w:tcW w:w="1320" w:type="dxa"/>
            <w:vAlign w:val="bottom"/>
            <w:tcBorders>
              <w:bottom w:val="single" w:sz="8" w:color="E8EDF4"/>
            </w:tcBorders>
            <w:shd w:val="clear" w:color="auto" w:fill="E8EDF4"/>
          </w:tcPr>
          <w:p>
            <w:pPr>
              <w:jc w:val="right"/>
              <w:ind w:right="237"/>
              <w:spacing w:after="0"/>
              <w:rPr>
                <w:sz w:val="20"/>
                <w:szCs w:val="20"/>
                <w:color w:val="auto"/>
              </w:rPr>
            </w:pPr>
            <w:r>
              <w:rPr>
                <w:rFonts w:ascii="Arial" w:cs="Arial" w:eastAsia="Arial" w:hAnsi="Arial"/>
                <w:sz w:val="18"/>
                <w:szCs w:val="18"/>
                <w:color w:val="auto"/>
              </w:rPr>
              <w:t>1,093,776</w:t>
            </w:r>
          </w:p>
        </w:tc>
        <w:tc>
          <w:tcPr>
            <w:tcW w:w="0" w:type="dxa"/>
            <w:vAlign w:val="bottom"/>
          </w:tcPr>
          <w:p>
            <w:pPr>
              <w:spacing w:after="0"/>
              <w:rPr>
                <w:sz w:val="1"/>
                <w:szCs w:val="1"/>
                <w:color w:val="auto"/>
              </w:rPr>
            </w:pPr>
          </w:p>
        </w:tc>
      </w:tr>
      <w:tr>
        <w:trPr>
          <w:trHeight w:val="338"/>
        </w:trPr>
        <w:tc>
          <w:tcPr>
            <w:tcW w:w="3060" w:type="dxa"/>
            <w:vAlign w:val="bottom"/>
          </w:tcPr>
          <w:p>
            <w:pPr>
              <w:ind w:left="100"/>
              <w:spacing w:after="0"/>
              <w:rPr>
                <w:sz w:val="20"/>
                <w:szCs w:val="20"/>
                <w:color w:val="auto"/>
              </w:rPr>
            </w:pPr>
            <w:r>
              <w:rPr>
                <w:rFonts w:ascii="Arial" w:cs="Arial" w:eastAsia="Arial" w:hAnsi="Arial"/>
                <w:sz w:val="18"/>
                <w:szCs w:val="18"/>
                <w:color w:val="auto"/>
              </w:rPr>
              <w:t>Martin Cotter</w:t>
            </w:r>
          </w:p>
        </w:tc>
        <w:tc>
          <w:tcPr>
            <w:tcW w:w="2240" w:type="dxa"/>
            <w:vAlign w:val="bottom"/>
          </w:tcPr>
          <w:p>
            <w:pPr>
              <w:jc w:val="right"/>
              <w:ind w:right="457"/>
              <w:spacing w:after="0"/>
              <w:rPr>
                <w:sz w:val="20"/>
                <w:szCs w:val="20"/>
                <w:color w:val="auto"/>
              </w:rPr>
            </w:pPr>
            <w:r>
              <w:rPr>
                <w:rFonts w:ascii="Arial" w:cs="Arial" w:eastAsia="Arial" w:hAnsi="Arial"/>
                <w:sz w:val="18"/>
                <w:szCs w:val="18"/>
                <w:color w:val="auto"/>
              </w:rPr>
              <w:t>31,710</w:t>
            </w:r>
          </w:p>
        </w:tc>
        <w:tc>
          <w:tcPr>
            <w:tcW w:w="1280" w:type="dxa"/>
            <w:vAlign w:val="bottom"/>
          </w:tcPr>
          <w:p>
            <w:pPr>
              <w:jc w:val="right"/>
              <w:ind w:right="177"/>
              <w:spacing w:after="0"/>
              <w:rPr>
                <w:sz w:val="20"/>
                <w:szCs w:val="20"/>
                <w:color w:val="auto"/>
              </w:rPr>
            </w:pPr>
            <w:r>
              <w:rPr>
                <w:rFonts w:ascii="Arial" w:cs="Arial" w:eastAsia="Arial" w:hAnsi="Arial"/>
                <w:sz w:val="18"/>
                <w:szCs w:val="18"/>
                <w:color w:val="auto"/>
              </w:rPr>
              <w:t>2,180,584</w:t>
            </w:r>
          </w:p>
        </w:tc>
        <w:tc>
          <w:tcPr>
            <w:tcW w:w="2220" w:type="dxa"/>
            <w:vAlign w:val="bottom"/>
          </w:tcPr>
          <w:p>
            <w:pPr>
              <w:jc w:val="right"/>
              <w:ind w:right="457"/>
              <w:spacing w:after="0"/>
              <w:rPr>
                <w:sz w:val="20"/>
                <w:szCs w:val="20"/>
                <w:color w:val="auto"/>
              </w:rPr>
            </w:pPr>
            <w:r>
              <w:rPr>
                <w:rFonts w:ascii="Arial" w:cs="Arial" w:eastAsia="Arial" w:hAnsi="Arial"/>
                <w:sz w:val="18"/>
                <w:szCs w:val="18"/>
                <w:color w:val="auto"/>
              </w:rPr>
              <w:t>8,788</w:t>
            </w:r>
          </w:p>
        </w:tc>
        <w:tc>
          <w:tcPr>
            <w:tcW w:w="1320" w:type="dxa"/>
            <w:vAlign w:val="bottom"/>
          </w:tcPr>
          <w:p>
            <w:pPr>
              <w:jc w:val="right"/>
              <w:ind w:right="237"/>
              <w:spacing w:after="0"/>
              <w:rPr>
                <w:sz w:val="20"/>
                <w:szCs w:val="20"/>
                <w:color w:val="auto"/>
              </w:rPr>
            </w:pPr>
            <w:r>
              <w:rPr>
                <w:rFonts w:ascii="Arial" w:cs="Arial" w:eastAsia="Arial" w:hAnsi="Arial"/>
                <w:sz w:val="18"/>
                <w:szCs w:val="18"/>
                <w:color w:val="auto"/>
              </w:rPr>
              <w:t>960,097</w:t>
            </w:r>
          </w:p>
        </w:tc>
        <w:tc>
          <w:tcPr>
            <w:tcW w:w="0" w:type="dxa"/>
            <w:vAlign w:val="bottom"/>
          </w:tcPr>
          <w:p>
            <w:pPr>
              <w:spacing w:after="0"/>
              <w:rPr>
                <w:sz w:val="1"/>
                <w:szCs w:val="1"/>
                <w:color w:val="auto"/>
              </w:rPr>
            </w:pPr>
          </w:p>
        </w:tc>
      </w:tr>
      <w:tr>
        <w:trPr>
          <w:trHeight w:val="41"/>
        </w:trPr>
        <w:tc>
          <w:tcPr>
            <w:tcW w:w="306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3060" w:type="dxa"/>
            <w:vAlign w:val="bottom"/>
            <w:tcBorders>
              <w:bottom w:val="single" w:sz="8" w:color="E8EDF4"/>
            </w:tcBorders>
            <w:shd w:val="clear" w:color="auto" w:fill="E8EDF4"/>
          </w:tcPr>
          <w:p>
            <w:pPr>
              <w:ind w:left="100"/>
              <w:spacing w:after="0"/>
              <w:rPr>
                <w:sz w:val="20"/>
                <w:szCs w:val="20"/>
                <w:color w:val="auto"/>
              </w:rPr>
            </w:pPr>
            <w:r>
              <w:rPr>
                <w:rFonts w:ascii="Arial" w:cs="Arial" w:eastAsia="Arial" w:hAnsi="Arial"/>
                <w:sz w:val="18"/>
                <w:szCs w:val="18"/>
                <w:color w:val="auto"/>
              </w:rPr>
              <w:t>John Hassett</w:t>
            </w:r>
          </w:p>
        </w:tc>
        <w:tc>
          <w:tcPr>
            <w:tcW w:w="2240" w:type="dxa"/>
            <w:vAlign w:val="bottom"/>
            <w:tcBorders>
              <w:bottom w:val="single" w:sz="8" w:color="E8EDF4"/>
            </w:tcBorders>
            <w:shd w:val="clear" w:color="auto" w:fill="E8EDF4"/>
          </w:tcPr>
          <w:p>
            <w:pPr>
              <w:jc w:val="right"/>
              <w:ind w:right="457"/>
              <w:spacing w:after="0"/>
              <w:rPr>
                <w:sz w:val="20"/>
                <w:szCs w:val="20"/>
                <w:color w:val="auto"/>
              </w:rPr>
            </w:pPr>
            <w:r>
              <w:rPr>
                <w:rFonts w:ascii="Arial" w:cs="Arial" w:eastAsia="Arial" w:hAnsi="Arial"/>
                <w:sz w:val="18"/>
                <w:szCs w:val="18"/>
                <w:color w:val="auto"/>
              </w:rPr>
              <w:t>32,584</w:t>
            </w:r>
          </w:p>
        </w:tc>
        <w:tc>
          <w:tcPr>
            <w:tcW w:w="1280" w:type="dxa"/>
            <w:vAlign w:val="bottom"/>
            <w:tcBorders>
              <w:bottom w:val="single" w:sz="8" w:color="E8EDF4"/>
            </w:tcBorders>
            <w:shd w:val="clear" w:color="auto" w:fill="E8EDF4"/>
          </w:tcPr>
          <w:p>
            <w:pPr>
              <w:jc w:val="right"/>
              <w:ind w:right="177"/>
              <w:spacing w:after="0"/>
              <w:rPr>
                <w:sz w:val="20"/>
                <w:szCs w:val="20"/>
                <w:color w:val="auto"/>
              </w:rPr>
            </w:pPr>
            <w:r>
              <w:rPr>
                <w:rFonts w:ascii="Arial" w:cs="Arial" w:eastAsia="Arial" w:hAnsi="Arial"/>
                <w:sz w:val="18"/>
                <w:szCs w:val="18"/>
                <w:color w:val="auto"/>
              </w:rPr>
              <w:t>1,929,870</w:t>
            </w:r>
          </w:p>
        </w:tc>
        <w:tc>
          <w:tcPr>
            <w:tcW w:w="2220" w:type="dxa"/>
            <w:vAlign w:val="bottom"/>
            <w:tcBorders>
              <w:bottom w:val="single" w:sz="8" w:color="E8EDF4"/>
            </w:tcBorders>
            <w:shd w:val="clear" w:color="auto" w:fill="E8EDF4"/>
          </w:tcPr>
          <w:p>
            <w:pPr>
              <w:jc w:val="right"/>
              <w:ind w:right="457"/>
              <w:spacing w:after="0"/>
              <w:rPr>
                <w:sz w:val="20"/>
                <w:szCs w:val="20"/>
                <w:color w:val="auto"/>
              </w:rPr>
            </w:pPr>
            <w:r>
              <w:rPr>
                <w:rFonts w:ascii="Arial" w:cs="Arial" w:eastAsia="Arial" w:hAnsi="Arial"/>
                <w:sz w:val="18"/>
                <w:szCs w:val="18"/>
                <w:color w:val="auto"/>
              </w:rPr>
              <w:t>12,079</w:t>
            </w:r>
          </w:p>
        </w:tc>
        <w:tc>
          <w:tcPr>
            <w:tcW w:w="1320" w:type="dxa"/>
            <w:vAlign w:val="bottom"/>
            <w:tcBorders>
              <w:bottom w:val="single" w:sz="8" w:color="E8EDF4"/>
            </w:tcBorders>
            <w:shd w:val="clear" w:color="auto" w:fill="E8EDF4"/>
          </w:tcPr>
          <w:p>
            <w:pPr>
              <w:jc w:val="right"/>
              <w:ind w:right="237"/>
              <w:spacing w:after="0"/>
              <w:rPr>
                <w:sz w:val="20"/>
                <w:szCs w:val="20"/>
                <w:color w:val="auto"/>
              </w:rPr>
            </w:pPr>
            <w:r>
              <w:rPr>
                <w:rFonts w:ascii="Arial" w:cs="Arial" w:eastAsia="Arial" w:hAnsi="Arial"/>
                <w:sz w:val="18"/>
                <w:szCs w:val="18"/>
                <w:color w:val="auto"/>
              </w:rPr>
              <w:t>1,292,447</w:t>
            </w:r>
          </w:p>
        </w:tc>
        <w:tc>
          <w:tcPr>
            <w:tcW w:w="0" w:type="dxa"/>
            <w:vAlign w:val="bottom"/>
          </w:tcPr>
          <w:p>
            <w:pPr>
              <w:spacing w:after="0"/>
              <w:rPr>
                <w:sz w:val="1"/>
                <w:szCs w:val="1"/>
                <w:color w:val="auto"/>
              </w:rPr>
            </w:pPr>
          </w:p>
        </w:tc>
      </w:tr>
      <w:tr>
        <w:trPr>
          <w:trHeight w:val="338"/>
        </w:trPr>
        <w:tc>
          <w:tcPr>
            <w:tcW w:w="3060" w:type="dxa"/>
            <w:vAlign w:val="bottom"/>
          </w:tcPr>
          <w:p>
            <w:pPr>
              <w:ind w:left="100"/>
              <w:spacing w:after="0"/>
              <w:rPr>
                <w:sz w:val="20"/>
                <w:szCs w:val="20"/>
                <w:color w:val="auto"/>
              </w:rPr>
            </w:pPr>
            <w:r>
              <w:rPr>
                <w:rFonts w:ascii="Arial" w:cs="Arial" w:eastAsia="Arial" w:hAnsi="Arial"/>
                <w:sz w:val="18"/>
                <w:szCs w:val="18"/>
                <w:color w:val="auto"/>
              </w:rPr>
              <w:t>Steve Pietkiewicz (3)</w:t>
            </w:r>
          </w:p>
        </w:tc>
        <w:tc>
          <w:tcPr>
            <w:tcW w:w="2240" w:type="dxa"/>
            <w:vAlign w:val="bottom"/>
          </w:tcPr>
          <w:p>
            <w:pPr>
              <w:jc w:val="right"/>
              <w:ind w:right="557"/>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277"/>
              <w:spacing w:after="0"/>
              <w:rPr>
                <w:sz w:val="20"/>
                <w:szCs w:val="20"/>
                <w:color w:val="auto"/>
              </w:rPr>
            </w:pPr>
            <w:r>
              <w:rPr>
                <w:rFonts w:ascii="Arial" w:cs="Arial" w:eastAsia="Arial" w:hAnsi="Arial"/>
                <w:sz w:val="18"/>
                <w:szCs w:val="18"/>
                <w:color w:val="auto"/>
              </w:rPr>
              <w:t>—</w:t>
            </w:r>
          </w:p>
        </w:tc>
        <w:tc>
          <w:tcPr>
            <w:tcW w:w="2220" w:type="dxa"/>
            <w:vAlign w:val="bottom"/>
          </w:tcPr>
          <w:p>
            <w:pPr>
              <w:jc w:val="right"/>
              <w:ind w:right="457"/>
              <w:spacing w:after="0"/>
              <w:rPr>
                <w:sz w:val="20"/>
                <w:szCs w:val="20"/>
                <w:color w:val="auto"/>
              </w:rPr>
            </w:pPr>
            <w:r>
              <w:rPr>
                <w:rFonts w:ascii="Arial" w:cs="Arial" w:eastAsia="Arial" w:hAnsi="Arial"/>
                <w:sz w:val="18"/>
                <w:szCs w:val="18"/>
                <w:color w:val="auto"/>
              </w:rPr>
              <w:t>14,575</w:t>
            </w:r>
          </w:p>
        </w:tc>
        <w:tc>
          <w:tcPr>
            <w:tcW w:w="1320" w:type="dxa"/>
            <w:vAlign w:val="bottom"/>
          </w:tcPr>
          <w:p>
            <w:pPr>
              <w:jc w:val="right"/>
              <w:ind w:right="237"/>
              <w:spacing w:after="0"/>
              <w:rPr>
                <w:sz w:val="20"/>
                <w:szCs w:val="20"/>
                <w:color w:val="auto"/>
              </w:rPr>
            </w:pPr>
            <w:r>
              <w:rPr>
                <w:rFonts w:ascii="Arial" w:cs="Arial" w:eastAsia="Arial" w:hAnsi="Arial"/>
                <w:sz w:val="18"/>
                <w:szCs w:val="18"/>
                <w:color w:val="auto"/>
              </w:rPr>
              <w:t>1,617,124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-1448435</wp:posOffset>
            </wp:positionV>
            <wp:extent cx="414210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142105"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111760</wp:posOffset>
            </wp:positionV>
            <wp:extent cx="76327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09" w:lineRule="exact"/>
        <w:rPr>
          <w:sz w:val="20"/>
          <w:szCs w:val="20"/>
          <w:color w:val="auto"/>
        </w:rPr>
      </w:pPr>
    </w:p>
    <w:p>
      <w:pPr>
        <w:ind w:left="640" w:right="240" w:hanging="436"/>
        <w:spacing w:after="0" w:line="246" w:lineRule="auto"/>
        <w:tabs>
          <w:tab w:leader="none" w:pos="6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Value realized represents the difference between the closing price per share of our common stock on the date of exercise and the exercise price per share, multiplied by the number of shares acquired on exercise.</w:t>
      </w:r>
    </w:p>
    <w:p>
      <w:pPr>
        <w:spacing w:after="0" w:line="102" w:lineRule="exact"/>
        <w:rPr>
          <w:rFonts w:ascii="Arial" w:cs="Arial" w:eastAsia="Arial" w:hAnsi="Arial"/>
          <w:sz w:val="18"/>
          <w:szCs w:val="18"/>
          <w:color w:val="auto"/>
        </w:rPr>
      </w:pPr>
    </w:p>
    <w:p>
      <w:pPr>
        <w:ind w:left="640" w:right="220" w:hanging="436"/>
        <w:spacing w:after="0" w:line="246" w:lineRule="auto"/>
        <w:tabs>
          <w:tab w:leader="none" w:pos="6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Value realized represents the closing price per share of our common stock on the vesting date, multiplied by the number of shares vested.</w:t>
      </w:r>
    </w:p>
    <w:p>
      <w:pPr>
        <w:spacing w:after="0" w:line="102" w:lineRule="exact"/>
        <w:rPr>
          <w:rFonts w:ascii="Arial" w:cs="Arial" w:eastAsia="Arial" w:hAnsi="Arial"/>
          <w:sz w:val="18"/>
          <w:szCs w:val="18"/>
          <w:color w:val="auto"/>
        </w:rPr>
      </w:pPr>
    </w:p>
    <w:p>
      <w:pPr>
        <w:ind w:left="640" w:hanging="436"/>
        <w:spacing w:after="0"/>
        <w:tabs>
          <w:tab w:leader="none" w:pos="6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 addition to the amounts reflected in the table, during fiscal 2019 Mr. Pietkiewicz received $538,200 upon the vesting of cash awards, which were granted by the Company in connection with the Linear Technology acquisition, and in accordance with the terms of the merger agreement, in replacement of outstanding Linear Technology equity awards.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52B82"/>
        </w:rPr>
        <w:t>NON-QUALIFIED DEFERRED COMPENSATION PLAN</w:t>
      </w:r>
    </w:p>
    <w:p>
      <w:pPr>
        <w:spacing w:after="0" w:line="126"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7"/>
          <w:szCs w:val="17"/>
          <w:color w:val="auto"/>
        </w:rPr>
        <w:t>Since 1995, our executive officers and directors, along with some of our management and engineering employees, have been eligible to participate in our Deferred Compensation Plan, or DCP. We established the DCP to provide participants with the opportunity to defer receiving all or a portion of their compensation, which includes salary, bonus, commissions and director fees. Under our DCP, we provide all participants (other than non-employee directors) with Company contributions equal to 8% of eligible deferred contributions.</w:t>
      </w:r>
    </w:p>
    <w:p>
      <w:pPr>
        <w:spacing w:after="0" w:line="189" w:lineRule="exact"/>
        <w:rPr>
          <w:sz w:val="20"/>
          <w:szCs w:val="20"/>
          <w:color w:val="auto"/>
        </w:rPr>
      </w:pPr>
    </w:p>
    <w:p>
      <w:pPr>
        <w:ind w:left="200" w:firstLine="441"/>
        <w:spacing w:after="0" w:line="237" w:lineRule="auto"/>
        <w:rPr>
          <w:sz w:val="20"/>
          <w:szCs w:val="20"/>
          <w:color w:val="auto"/>
        </w:rPr>
      </w:pPr>
      <w:r>
        <w:rPr>
          <w:rFonts w:ascii="Arial" w:cs="Arial" w:eastAsia="Arial" w:hAnsi="Arial"/>
          <w:sz w:val="18"/>
          <w:szCs w:val="18"/>
          <w:color w:val="auto"/>
        </w:rPr>
        <w:t>We credit each participant’s account with earnings on the deferred amounts. These earnings represent the amounts that the participant would have earned if the deferred amounts had been invested in one or more of the various investment options selected by the participant. Under the terms of the DCP, only the payment of the compensation earned is deferred; we do not defer the expense in our financial statements related to the participant’s deferred compensation and investment earnings. We charge the salary, bonuses, commissions, director fees and investment earnings on deferred balances to our income statement as an expense in the period in which the participant earned the compensation. Our balance sheet includes separate line items for Deferred Compensation Plan Investments and Deferred Compensation Plan Liabilities.</w:t>
      </w:r>
    </w:p>
    <w:p>
      <w:pPr>
        <w:spacing w:after="0" w:line="203" w:lineRule="exact"/>
        <w:rPr>
          <w:sz w:val="20"/>
          <w:szCs w:val="20"/>
          <w:color w:val="auto"/>
        </w:rPr>
      </w:pPr>
    </w:p>
    <w:p>
      <w:pPr>
        <w:ind w:left="200" w:right="60" w:firstLine="441"/>
        <w:spacing w:after="0" w:line="237" w:lineRule="auto"/>
        <w:rPr>
          <w:sz w:val="20"/>
          <w:szCs w:val="20"/>
          <w:color w:val="auto"/>
        </w:rPr>
      </w:pPr>
      <w:r>
        <w:rPr>
          <w:rFonts w:ascii="Arial" w:cs="Arial" w:eastAsia="Arial" w:hAnsi="Arial"/>
          <w:sz w:val="18"/>
          <w:szCs w:val="18"/>
          <w:color w:val="auto"/>
        </w:rPr>
        <w:t>We hold DCP assets in a separate Rabbi trust segregated from other assets. We invest in the same investment alternatives that the DCP participants select for their DCP balances. Participants whose employment with us terminates due to retirement after reaching age 62 with ten years of service, disability or death will be paid their DCP balance in either a lump sum or in installments over ten or fewer years, based on the elections they have made. Participants (other than key employees, including our NEOs) who terminate their employment with us for any other reason will receive payment of their DCP balance in the form of a lump sum upon their termination of employment. Payments to our NEOs and key employees will be delayed six months or as otherwise required by relevant tax regulations.</w:t>
      </w:r>
    </w:p>
    <w:p>
      <w:pPr>
        <w:spacing w:after="0" w:line="136" w:lineRule="exact"/>
        <w:rPr>
          <w:sz w:val="20"/>
          <w:szCs w:val="20"/>
          <w:color w:val="auto"/>
        </w:rPr>
      </w:pPr>
    </w:p>
    <w:p>
      <w:pPr>
        <w:ind w:left="600" w:hanging="396"/>
        <w:spacing w:after="0"/>
        <w:tabs>
          <w:tab w:leader="none" w:pos="600" w:val="left"/>
        </w:tabs>
        <w:numPr>
          <w:ilvl w:val="0"/>
          <w:numId w:val="100"/>
        </w:numPr>
        <w:rPr>
          <w:rFonts w:ascii="Arial" w:cs="Arial" w:eastAsia="Arial" w:hAnsi="Arial"/>
          <w:sz w:val="18"/>
          <w:szCs w:val="18"/>
          <w:color w:val="999999"/>
        </w:rPr>
      </w:pPr>
      <w:r>
        <w:rPr>
          <w:rFonts w:ascii="Arial" w:cs="Arial" w:eastAsia="Arial" w:hAnsi="Arial"/>
          <w:sz w:val="14"/>
          <w:szCs w:val="14"/>
          <w:b w:val="1"/>
          <w:bCs w:val="1"/>
          <w:color w:val="052B82"/>
        </w:rPr>
        <w:t>Analog Devices, Inc.</w:t>
      </w:r>
    </w:p>
    <w:p>
      <w:pPr>
        <w:sectPr>
          <w:pgSz w:w="11900" w:h="16838" w:orient="portrait"/>
          <w:cols w:equalWidth="0" w:num="1">
            <w:col w:w="11180"/>
          </w:cols>
          <w:pgMar w:left="240" w:top="459" w:right="4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205740</wp:posOffset>
            </wp:positionV>
            <wp:extent cx="2649855" cy="1371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0" w:right="240" w:firstLine="441"/>
        <w:spacing w:after="0"/>
        <w:rPr>
          <w:sz w:val="20"/>
          <w:szCs w:val="20"/>
          <w:color w:val="auto"/>
        </w:rPr>
      </w:pPr>
      <w:r>
        <w:rPr>
          <w:rFonts w:ascii="Arial" w:cs="Arial" w:eastAsia="Arial" w:hAnsi="Arial"/>
          <w:sz w:val="18"/>
          <w:szCs w:val="18"/>
          <w:color w:val="auto"/>
        </w:rPr>
        <w:t>Mr. Pietkiewicz did not participate in the DCP in fiscal 2017 or fiscal 2018 because the DCP was not available to legacy Linear Technology employees during that time. The following table shows the non-qualified deferred compensation activity for the NEOs during fiscal 2019:</w:t>
      </w:r>
    </w:p>
    <w:p>
      <w:pPr>
        <w:spacing w:after="0" w:line="39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Non-Qualified Deferred Compensation for Fiscal 2019</w:t>
      </w:r>
    </w:p>
    <w:p>
      <w:pPr>
        <w:spacing w:after="0" w:line="249"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3100" w:type="dxa"/>
            <w:vAlign w:val="bottom"/>
            <w:shd w:val="clear" w:color="auto" w:fill="052B82"/>
          </w:tcPr>
          <w:p>
            <w:pPr>
              <w:spacing w:after="0"/>
              <w:rPr>
                <w:sz w:val="14"/>
                <w:szCs w:val="14"/>
                <w:color w:val="auto"/>
              </w:rPr>
            </w:pPr>
          </w:p>
        </w:tc>
        <w:tc>
          <w:tcPr>
            <w:tcW w:w="2180" w:type="dxa"/>
            <w:vAlign w:val="bottom"/>
            <w:shd w:val="clear" w:color="auto" w:fill="052B82"/>
          </w:tcPr>
          <w:p>
            <w:pPr>
              <w:jc w:val="center"/>
              <w:ind w:left="578"/>
              <w:spacing w:after="0"/>
              <w:rPr>
                <w:sz w:val="20"/>
                <w:szCs w:val="20"/>
                <w:color w:val="auto"/>
              </w:rPr>
            </w:pPr>
            <w:r>
              <w:rPr>
                <w:rFonts w:ascii="Arial" w:cs="Arial" w:eastAsia="Arial" w:hAnsi="Arial"/>
                <w:sz w:val="14"/>
                <w:szCs w:val="14"/>
                <w:b w:val="1"/>
                <w:bCs w:val="1"/>
                <w:color w:val="FFFFFF"/>
              </w:rPr>
              <w:t>Executive</w:t>
            </w:r>
          </w:p>
        </w:tc>
        <w:tc>
          <w:tcPr>
            <w:tcW w:w="152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Analog Devices</w:t>
            </w:r>
          </w:p>
        </w:tc>
        <w:tc>
          <w:tcPr>
            <w:tcW w:w="120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Aggregate</w:t>
            </w:r>
          </w:p>
        </w:tc>
        <w:tc>
          <w:tcPr>
            <w:tcW w:w="1560" w:type="dxa"/>
            <w:vAlign w:val="bottom"/>
            <w:shd w:val="clear" w:color="auto" w:fill="052B82"/>
          </w:tcPr>
          <w:p>
            <w:pPr>
              <w:spacing w:after="0"/>
              <w:rPr>
                <w:sz w:val="14"/>
                <w:szCs w:val="14"/>
                <w:color w:val="auto"/>
              </w:rPr>
            </w:pPr>
          </w:p>
        </w:tc>
        <w:tc>
          <w:tcPr>
            <w:tcW w:w="14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Aggregate</w:t>
            </w:r>
          </w:p>
        </w:tc>
      </w:tr>
      <w:tr>
        <w:trPr>
          <w:trHeight w:val="162"/>
        </w:trPr>
        <w:tc>
          <w:tcPr>
            <w:tcW w:w="3100" w:type="dxa"/>
            <w:vAlign w:val="bottom"/>
            <w:shd w:val="clear" w:color="auto" w:fill="052B82"/>
          </w:tcPr>
          <w:p>
            <w:pPr>
              <w:spacing w:after="0"/>
              <w:rPr>
                <w:sz w:val="14"/>
                <w:szCs w:val="14"/>
                <w:color w:val="auto"/>
              </w:rPr>
            </w:pPr>
          </w:p>
        </w:tc>
        <w:tc>
          <w:tcPr>
            <w:tcW w:w="2180" w:type="dxa"/>
            <w:vAlign w:val="bottom"/>
            <w:shd w:val="clear" w:color="auto" w:fill="052B82"/>
          </w:tcPr>
          <w:p>
            <w:pPr>
              <w:jc w:val="center"/>
              <w:ind w:left="578"/>
              <w:spacing w:after="0"/>
              <w:rPr>
                <w:sz w:val="20"/>
                <w:szCs w:val="20"/>
                <w:color w:val="auto"/>
              </w:rPr>
            </w:pPr>
            <w:r>
              <w:rPr>
                <w:rFonts w:ascii="Arial" w:cs="Arial" w:eastAsia="Arial" w:hAnsi="Arial"/>
                <w:sz w:val="14"/>
                <w:szCs w:val="14"/>
                <w:b w:val="1"/>
                <w:bCs w:val="1"/>
                <w:color w:val="FFFFFF"/>
              </w:rPr>
              <w:t>Contributions in</w:t>
            </w:r>
          </w:p>
        </w:tc>
        <w:tc>
          <w:tcPr>
            <w:tcW w:w="152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Contributions in</w:t>
            </w:r>
          </w:p>
        </w:tc>
        <w:tc>
          <w:tcPr>
            <w:tcW w:w="120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Earnings in</w:t>
            </w:r>
          </w:p>
        </w:tc>
        <w:tc>
          <w:tcPr>
            <w:tcW w:w="15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Aggregate</w:t>
            </w:r>
          </w:p>
        </w:tc>
        <w:tc>
          <w:tcPr>
            <w:tcW w:w="14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Balance at Last</w:t>
            </w:r>
          </w:p>
        </w:tc>
      </w:tr>
      <w:tr>
        <w:trPr>
          <w:trHeight w:val="162"/>
        </w:trPr>
        <w:tc>
          <w:tcPr>
            <w:tcW w:w="3100" w:type="dxa"/>
            <w:vAlign w:val="bottom"/>
            <w:shd w:val="clear" w:color="auto" w:fill="052B82"/>
          </w:tcPr>
          <w:p>
            <w:pPr>
              <w:spacing w:after="0"/>
              <w:rPr>
                <w:sz w:val="14"/>
                <w:szCs w:val="14"/>
                <w:color w:val="auto"/>
              </w:rPr>
            </w:pPr>
          </w:p>
        </w:tc>
        <w:tc>
          <w:tcPr>
            <w:tcW w:w="2180" w:type="dxa"/>
            <w:vAlign w:val="bottom"/>
            <w:shd w:val="clear" w:color="auto" w:fill="052B82"/>
          </w:tcPr>
          <w:p>
            <w:pPr>
              <w:jc w:val="center"/>
              <w:ind w:left="578"/>
              <w:spacing w:after="0"/>
              <w:rPr>
                <w:sz w:val="20"/>
                <w:szCs w:val="20"/>
                <w:color w:val="auto"/>
              </w:rPr>
            </w:pPr>
            <w:r>
              <w:rPr>
                <w:rFonts w:ascii="Arial" w:cs="Arial" w:eastAsia="Arial" w:hAnsi="Arial"/>
                <w:sz w:val="14"/>
                <w:szCs w:val="14"/>
                <w:b w:val="1"/>
                <w:bCs w:val="1"/>
                <w:color w:val="FFFFFF"/>
              </w:rPr>
              <w:t>Last Fiscal Year</w:t>
            </w:r>
          </w:p>
        </w:tc>
        <w:tc>
          <w:tcPr>
            <w:tcW w:w="152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Last Fiscal Year</w:t>
            </w:r>
          </w:p>
        </w:tc>
        <w:tc>
          <w:tcPr>
            <w:tcW w:w="120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Last Fiscal</w:t>
            </w:r>
          </w:p>
        </w:tc>
        <w:tc>
          <w:tcPr>
            <w:tcW w:w="15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Withdrawals/</w:t>
            </w:r>
          </w:p>
        </w:tc>
        <w:tc>
          <w:tcPr>
            <w:tcW w:w="14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Fiscal Year</w:t>
            </w:r>
          </w:p>
        </w:tc>
      </w:tr>
      <w:tr>
        <w:trPr>
          <w:trHeight w:val="189"/>
        </w:trPr>
        <w:tc>
          <w:tcPr>
            <w:tcW w:w="3100" w:type="dxa"/>
            <w:vAlign w:val="bottom"/>
            <w:shd w:val="clear" w:color="auto" w:fill="052B82"/>
          </w:tcPr>
          <w:p>
            <w:pPr>
              <w:ind w:left="20"/>
              <w:spacing w:after="0"/>
              <w:rPr>
                <w:sz w:val="20"/>
                <w:szCs w:val="20"/>
                <w:color w:val="auto"/>
              </w:rPr>
            </w:pPr>
            <w:r>
              <w:rPr>
                <w:rFonts w:ascii="Arial" w:cs="Arial" w:eastAsia="Arial" w:hAnsi="Arial"/>
                <w:sz w:val="14"/>
                <w:szCs w:val="14"/>
                <w:b w:val="1"/>
                <w:bCs w:val="1"/>
                <w:color w:val="FFFFFF"/>
              </w:rPr>
              <w:t>Name</w:t>
            </w:r>
          </w:p>
        </w:tc>
        <w:tc>
          <w:tcPr>
            <w:tcW w:w="2180" w:type="dxa"/>
            <w:vAlign w:val="bottom"/>
            <w:shd w:val="clear" w:color="auto" w:fill="052B82"/>
          </w:tcPr>
          <w:p>
            <w:pPr>
              <w:jc w:val="center"/>
              <w:ind w:left="558"/>
              <w:spacing w:after="0"/>
              <w:rPr>
                <w:sz w:val="20"/>
                <w:szCs w:val="20"/>
                <w:color w:val="auto"/>
              </w:rPr>
            </w:pPr>
            <w:r>
              <w:rPr>
                <w:rFonts w:ascii="Arial" w:cs="Arial" w:eastAsia="Arial" w:hAnsi="Arial"/>
                <w:sz w:val="14"/>
                <w:szCs w:val="14"/>
                <w:b w:val="1"/>
                <w:bCs w:val="1"/>
                <w:color w:val="FFFFFF"/>
              </w:rPr>
              <w:t>($)</w:t>
            </w:r>
          </w:p>
        </w:tc>
        <w:tc>
          <w:tcPr>
            <w:tcW w:w="152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($)(1)</w:t>
            </w:r>
          </w:p>
        </w:tc>
        <w:tc>
          <w:tcPr>
            <w:tcW w:w="120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Year ($)(2)</w:t>
            </w:r>
          </w:p>
        </w:tc>
        <w:tc>
          <w:tcPr>
            <w:tcW w:w="15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Distributions ($)</w:t>
            </w:r>
          </w:p>
        </w:tc>
        <w:tc>
          <w:tcPr>
            <w:tcW w:w="14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End ($)(3)</w:t>
            </w:r>
          </w:p>
        </w:tc>
      </w:tr>
      <w:tr>
        <w:trPr>
          <w:trHeight w:val="203"/>
        </w:trPr>
        <w:tc>
          <w:tcPr>
            <w:tcW w:w="3100" w:type="dxa"/>
            <w:vAlign w:val="bottom"/>
          </w:tcPr>
          <w:p>
            <w:pPr>
              <w:ind w:left="40"/>
              <w:spacing w:after="0" w:line="202" w:lineRule="exact"/>
              <w:rPr>
                <w:sz w:val="20"/>
                <w:szCs w:val="20"/>
                <w:color w:val="auto"/>
              </w:rPr>
            </w:pPr>
            <w:r>
              <w:rPr>
                <w:rFonts w:ascii="Arial" w:cs="Arial" w:eastAsia="Arial" w:hAnsi="Arial"/>
                <w:sz w:val="18"/>
                <w:szCs w:val="18"/>
                <w:color w:val="auto"/>
              </w:rPr>
              <w:t>Vincent Roche</w:t>
            </w:r>
          </w:p>
        </w:tc>
        <w:tc>
          <w:tcPr>
            <w:tcW w:w="2180" w:type="dxa"/>
            <w:vAlign w:val="bottom"/>
          </w:tcPr>
          <w:p>
            <w:pPr>
              <w:jc w:val="right"/>
              <w:ind w:right="118"/>
              <w:spacing w:after="0" w:line="202" w:lineRule="exact"/>
              <w:rPr>
                <w:sz w:val="20"/>
                <w:szCs w:val="20"/>
                <w:color w:val="auto"/>
              </w:rPr>
            </w:pPr>
            <w:r>
              <w:rPr>
                <w:rFonts w:ascii="Arial" w:cs="Arial" w:eastAsia="Arial" w:hAnsi="Arial"/>
                <w:sz w:val="18"/>
                <w:szCs w:val="18"/>
                <w:color w:val="auto"/>
              </w:rPr>
              <w:t>2,245,054</w:t>
            </w:r>
          </w:p>
        </w:tc>
        <w:tc>
          <w:tcPr>
            <w:tcW w:w="1520" w:type="dxa"/>
            <w:vAlign w:val="bottom"/>
          </w:tcPr>
          <w:p>
            <w:pPr>
              <w:jc w:val="right"/>
              <w:ind w:right="118"/>
              <w:spacing w:after="0" w:line="202" w:lineRule="exact"/>
              <w:rPr>
                <w:sz w:val="20"/>
                <w:szCs w:val="20"/>
                <w:color w:val="auto"/>
              </w:rPr>
            </w:pPr>
            <w:r>
              <w:rPr>
                <w:rFonts w:ascii="Arial" w:cs="Arial" w:eastAsia="Arial" w:hAnsi="Arial"/>
                <w:sz w:val="18"/>
                <w:szCs w:val="18"/>
                <w:color w:val="auto"/>
              </w:rPr>
              <w:t>8,246</w:t>
            </w:r>
          </w:p>
        </w:tc>
        <w:tc>
          <w:tcPr>
            <w:tcW w:w="1200" w:type="dxa"/>
            <w:vAlign w:val="bottom"/>
          </w:tcPr>
          <w:p>
            <w:pPr>
              <w:jc w:val="right"/>
              <w:ind w:right="118"/>
              <w:spacing w:after="0" w:line="202" w:lineRule="exact"/>
              <w:rPr>
                <w:sz w:val="20"/>
                <w:szCs w:val="20"/>
                <w:color w:val="auto"/>
              </w:rPr>
            </w:pPr>
            <w:r>
              <w:rPr>
                <w:rFonts w:ascii="Arial" w:cs="Arial" w:eastAsia="Arial" w:hAnsi="Arial"/>
                <w:sz w:val="18"/>
                <w:szCs w:val="18"/>
                <w:color w:val="auto"/>
              </w:rPr>
              <w:t>364,136</w:t>
            </w:r>
          </w:p>
        </w:tc>
        <w:tc>
          <w:tcPr>
            <w:tcW w:w="1560" w:type="dxa"/>
            <w:vAlign w:val="bottom"/>
          </w:tcPr>
          <w:p>
            <w:pPr>
              <w:ind w:left="460"/>
              <w:spacing w:after="0" w:line="202" w:lineRule="exact"/>
              <w:rPr>
                <w:sz w:val="20"/>
                <w:szCs w:val="20"/>
                <w:color w:val="auto"/>
              </w:rPr>
            </w:pPr>
            <w:r>
              <w:rPr>
                <w:rFonts w:ascii="Arial" w:cs="Arial" w:eastAsia="Arial" w:hAnsi="Arial"/>
                <w:sz w:val="18"/>
                <w:szCs w:val="18"/>
                <w:color w:val="auto"/>
              </w:rPr>
              <w:t>(2,263,901)</w:t>
            </w:r>
          </w:p>
        </w:tc>
        <w:tc>
          <w:tcPr>
            <w:tcW w:w="1460" w:type="dxa"/>
            <w:vAlign w:val="bottom"/>
          </w:tcPr>
          <w:p>
            <w:pPr>
              <w:jc w:val="right"/>
              <w:ind w:right="138"/>
              <w:spacing w:after="0" w:line="202" w:lineRule="exact"/>
              <w:rPr>
                <w:sz w:val="20"/>
                <w:szCs w:val="20"/>
                <w:color w:val="auto"/>
              </w:rPr>
            </w:pPr>
            <w:r>
              <w:rPr>
                <w:rFonts w:ascii="Arial" w:cs="Arial" w:eastAsia="Arial" w:hAnsi="Arial"/>
                <w:sz w:val="18"/>
                <w:szCs w:val="18"/>
                <w:color w:val="auto"/>
              </w:rPr>
              <w:t>8,035,612</w:t>
            </w:r>
          </w:p>
        </w:tc>
      </w:tr>
      <w:tr>
        <w:trPr>
          <w:trHeight w:val="203"/>
        </w:trPr>
        <w:tc>
          <w:tcPr>
            <w:tcW w:w="3100" w:type="dxa"/>
            <w:vAlign w:val="bottom"/>
            <w:shd w:val="clear" w:color="auto" w:fill="E8EDF4"/>
          </w:tcPr>
          <w:p>
            <w:pPr>
              <w:ind w:left="40"/>
              <w:spacing w:after="0" w:line="202" w:lineRule="exact"/>
              <w:rPr>
                <w:sz w:val="20"/>
                <w:szCs w:val="20"/>
                <w:color w:val="auto"/>
              </w:rPr>
            </w:pPr>
            <w:r>
              <w:rPr>
                <w:rFonts w:ascii="Arial" w:cs="Arial" w:eastAsia="Arial" w:hAnsi="Arial"/>
                <w:sz w:val="18"/>
                <w:szCs w:val="18"/>
                <w:color w:val="auto"/>
              </w:rPr>
              <w:t>Prashanth Mahendra-Rajah</w:t>
            </w:r>
          </w:p>
        </w:tc>
        <w:tc>
          <w:tcPr>
            <w:tcW w:w="2180" w:type="dxa"/>
            <w:vAlign w:val="bottom"/>
            <w:shd w:val="clear" w:color="auto" w:fill="E8EDF4"/>
          </w:tcPr>
          <w:p>
            <w:pPr>
              <w:jc w:val="right"/>
              <w:ind w:right="118"/>
              <w:spacing w:after="0" w:line="202" w:lineRule="exact"/>
              <w:rPr>
                <w:sz w:val="20"/>
                <w:szCs w:val="20"/>
                <w:color w:val="auto"/>
              </w:rPr>
            </w:pPr>
            <w:r>
              <w:rPr>
                <w:rFonts w:ascii="Arial" w:cs="Arial" w:eastAsia="Arial" w:hAnsi="Arial"/>
                <w:sz w:val="18"/>
                <w:szCs w:val="18"/>
                <w:color w:val="auto"/>
              </w:rPr>
              <w:t>24,038</w:t>
            </w:r>
          </w:p>
        </w:tc>
        <w:tc>
          <w:tcPr>
            <w:tcW w:w="1520" w:type="dxa"/>
            <w:vAlign w:val="bottom"/>
            <w:shd w:val="clear" w:color="auto" w:fill="E8EDF4"/>
          </w:tcPr>
          <w:p>
            <w:pPr>
              <w:jc w:val="right"/>
              <w:ind w:right="118"/>
              <w:spacing w:after="0" w:line="202" w:lineRule="exact"/>
              <w:rPr>
                <w:sz w:val="20"/>
                <w:szCs w:val="20"/>
                <w:color w:val="auto"/>
              </w:rPr>
            </w:pPr>
            <w:r>
              <w:rPr>
                <w:rFonts w:ascii="Arial" w:cs="Arial" w:eastAsia="Arial" w:hAnsi="Arial"/>
                <w:sz w:val="18"/>
                <w:szCs w:val="18"/>
                <w:color w:val="auto"/>
              </w:rPr>
              <w:t>1,923</w:t>
            </w:r>
          </w:p>
        </w:tc>
        <w:tc>
          <w:tcPr>
            <w:tcW w:w="1200" w:type="dxa"/>
            <w:vAlign w:val="bottom"/>
            <w:shd w:val="clear" w:color="auto" w:fill="E8EDF4"/>
          </w:tcPr>
          <w:p>
            <w:pPr>
              <w:jc w:val="right"/>
              <w:ind w:right="118"/>
              <w:spacing w:after="0" w:line="202" w:lineRule="exact"/>
              <w:rPr>
                <w:sz w:val="20"/>
                <w:szCs w:val="20"/>
                <w:color w:val="auto"/>
              </w:rPr>
            </w:pPr>
            <w:r>
              <w:rPr>
                <w:rFonts w:ascii="Arial" w:cs="Arial" w:eastAsia="Arial" w:hAnsi="Arial"/>
                <w:sz w:val="18"/>
                <w:szCs w:val="18"/>
                <w:color w:val="auto"/>
              </w:rPr>
              <w:t>2,132</w:t>
            </w:r>
          </w:p>
        </w:tc>
        <w:tc>
          <w:tcPr>
            <w:tcW w:w="1560" w:type="dxa"/>
            <w:vAlign w:val="bottom"/>
            <w:shd w:val="clear" w:color="auto" w:fill="E8EDF4"/>
          </w:tcPr>
          <w:p>
            <w:pPr>
              <w:ind w:left="1040"/>
              <w:spacing w:after="0" w:line="202" w:lineRule="exact"/>
              <w:rPr>
                <w:sz w:val="20"/>
                <w:szCs w:val="20"/>
                <w:color w:val="auto"/>
              </w:rPr>
            </w:pPr>
            <w:r>
              <w:rPr>
                <w:rFonts w:ascii="Arial" w:cs="Arial" w:eastAsia="Arial" w:hAnsi="Arial"/>
                <w:sz w:val="18"/>
                <w:szCs w:val="18"/>
                <w:color w:val="auto"/>
              </w:rPr>
              <w:t>—</w:t>
            </w:r>
          </w:p>
        </w:tc>
        <w:tc>
          <w:tcPr>
            <w:tcW w:w="1460" w:type="dxa"/>
            <w:vAlign w:val="bottom"/>
            <w:shd w:val="clear" w:color="auto" w:fill="E8EDF4"/>
          </w:tcPr>
          <w:p>
            <w:pPr>
              <w:jc w:val="right"/>
              <w:ind w:right="138"/>
              <w:spacing w:after="0" w:line="202" w:lineRule="exact"/>
              <w:rPr>
                <w:sz w:val="20"/>
                <w:szCs w:val="20"/>
                <w:color w:val="auto"/>
              </w:rPr>
            </w:pPr>
            <w:r>
              <w:rPr>
                <w:rFonts w:ascii="Arial" w:cs="Arial" w:eastAsia="Arial" w:hAnsi="Arial"/>
                <w:sz w:val="18"/>
                <w:szCs w:val="18"/>
                <w:color w:val="auto"/>
              </w:rPr>
              <w:t>114,045</w:t>
            </w:r>
          </w:p>
        </w:tc>
      </w:tr>
      <w:tr>
        <w:trPr>
          <w:trHeight w:val="203"/>
        </w:trPr>
        <w:tc>
          <w:tcPr>
            <w:tcW w:w="3100" w:type="dxa"/>
            <w:vAlign w:val="bottom"/>
          </w:tcPr>
          <w:p>
            <w:pPr>
              <w:ind w:left="40"/>
              <w:spacing w:after="0" w:line="202" w:lineRule="exact"/>
              <w:rPr>
                <w:sz w:val="20"/>
                <w:szCs w:val="20"/>
                <w:color w:val="auto"/>
              </w:rPr>
            </w:pPr>
            <w:r>
              <w:rPr>
                <w:rFonts w:ascii="Arial" w:cs="Arial" w:eastAsia="Arial" w:hAnsi="Arial"/>
                <w:sz w:val="18"/>
                <w:szCs w:val="18"/>
                <w:color w:val="auto"/>
              </w:rPr>
              <w:t>Martin Cotter</w:t>
            </w:r>
          </w:p>
        </w:tc>
        <w:tc>
          <w:tcPr>
            <w:tcW w:w="2180" w:type="dxa"/>
            <w:vAlign w:val="bottom"/>
          </w:tcPr>
          <w:p>
            <w:pPr>
              <w:jc w:val="right"/>
              <w:ind w:right="218"/>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ind w:right="218"/>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118"/>
              <w:spacing w:after="0" w:line="202" w:lineRule="exact"/>
              <w:rPr>
                <w:sz w:val="20"/>
                <w:szCs w:val="20"/>
                <w:color w:val="auto"/>
              </w:rPr>
            </w:pPr>
            <w:r>
              <w:rPr>
                <w:rFonts w:ascii="Arial" w:cs="Arial" w:eastAsia="Arial" w:hAnsi="Arial"/>
                <w:sz w:val="18"/>
                <w:szCs w:val="18"/>
                <w:color w:val="auto"/>
              </w:rPr>
              <w:t>701</w:t>
            </w:r>
          </w:p>
        </w:tc>
        <w:tc>
          <w:tcPr>
            <w:tcW w:w="1560" w:type="dxa"/>
            <w:vAlign w:val="bottom"/>
          </w:tcPr>
          <w:p>
            <w:pPr>
              <w:ind w:left="1040"/>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138"/>
              <w:spacing w:after="0" w:line="202" w:lineRule="exact"/>
              <w:rPr>
                <w:sz w:val="20"/>
                <w:szCs w:val="20"/>
                <w:color w:val="auto"/>
              </w:rPr>
            </w:pPr>
            <w:r>
              <w:rPr>
                <w:rFonts w:ascii="Arial" w:cs="Arial" w:eastAsia="Arial" w:hAnsi="Arial"/>
                <w:sz w:val="18"/>
                <w:szCs w:val="18"/>
                <w:color w:val="auto"/>
              </w:rPr>
              <w:t>32,159</w:t>
            </w:r>
          </w:p>
        </w:tc>
      </w:tr>
      <w:tr>
        <w:trPr>
          <w:trHeight w:val="203"/>
        </w:trPr>
        <w:tc>
          <w:tcPr>
            <w:tcW w:w="3100" w:type="dxa"/>
            <w:vAlign w:val="bottom"/>
            <w:shd w:val="clear" w:color="auto" w:fill="E8EDF4"/>
          </w:tcPr>
          <w:p>
            <w:pPr>
              <w:ind w:left="40"/>
              <w:spacing w:after="0" w:line="202" w:lineRule="exact"/>
              <w:rPr>
                <w:sz w:val="20"/>
                <w:szCs w:val="20"/>
                <w:color w:val="auto"/>
              </w:rPr>
            </w:pPr>
            <w:r>
              <w:rPr>
                <w:rFonts w:ascii="Arial" w:cs="Arial" w:eastAsia="Arial" w:hAnsi="Arial"/>
                <w:sz w:val="18"/>
                <w:szCs w:val="18"/>
                <w:color w:val="auto"/>
              </w:rPr>
              <w:t>John Hassett</w:t>
            </w:r>
          </w:p>
        </w:tc>
        <w:tc>
          <w:tcPr>
            <w:tcW w:w="2180" w:type="dxa"/>
            <w:vAlign w:val="bottom"/>
            <w:shd w:val="clear" w:color="auto" w:fill="E8EDF4"/>
          </w:tcPr>
          <w:p>
            <w:pPr>
              <w:jc w:val="right"/>
              <w:ind w:right="218"/>
              <w:spacing w:after="0" w:line="202" w:lineRule="exact"/>
              <w:rPr>
                <w:sz w:val="20"/>
                <w:szCs w:val="20"/>
                <w:color w:val="auto"/>
              </w:rPr>
            </w:pPr>
            <w:r>
              <w:rPr>
                <w:rFonts w:ascii="Arial" w:cs="Arial" w:eastAsia="Arial" w:hAnsi="Arial"/>
                <w:sz w:val="18"/>
                <w:szCs w:val="18"/>
                <w:color w:val="auto"/>
              </w:rPr>
              <w:t>—</w:t>
            </w:r>
          </w:p>
        </w:tc>
        <w:tc>
          <w:tcPr>
            <w:tcW w:w="1520" w:type="dxa"/>
            <w:vAlign w:val="bottom"/>
            <w:shd w:val="clear" w:color="auto" w:fill="E8EDF4"/>
          </w:tcPr>
          <w:p>
            <w:pPr>
              <w:jc w:val="right"/>
              <w:ind w:right="218"/>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E8EDF4"/>
          </w:tcPr>
          <w:p>
            <w:pPr>
              <w:jc w:val="right"/>
              <w:ind w:right="218"/>
              <w:spacing w:after="0" w:line="202" w:lineRule="exact"/>
              <w:rPr>
                <w:sz w:val="20"/>
                <w:szCs w:val="20"/>
                <w:color w:val="auto"/>
              </w:rPr>
            </w:pPr>
            <w:r>
              <w:rPr>
                <w:rFonts w:ascii="Arial" w:cs="Arial" w:eastAsia="Arial" w:hAnsi="Arial"/>
                <w:sz w:val="18"/>
                <w:szCs w:val="18"/>
                <w:color w:val="auto"/>
              </w:rPr>
              <w:t>—</w:t>
            </w:r>
          </w:p>
        </w:tc>
        <w:tc>
          <w:tcPr>
            <w:tcW w:w="1560" w:type="dxa"/>
            <w:vAlign w:val="bottom"/>
            <w:shd w:val="clear" w:color="auto" w:fill="E8EDF4"/>
          </w:tcPr>
          <w:p>
            <w:pPr>
              <w:ind w:left="1040"/>
              <w:spacing w:after="0" w:line="202" w:lineRule="exact"/>
              <w:rPr>
                <w:sz w:val="20"/>
                <w:szCs w:val="20"/>
                <w:color w:val="auto"/>
              </w:rPr>
            </w:pPr>
            <w:r>
              <w:rPr>
                <w:rFonts w:ascii="Arial" w:cs="Arial" w:eastAsia="Arial" w:hAnsi="Arial"/>
                <w:sz w:val="18"/>
                <w:szCs w:val="18"/>
                <w:color w:val="auto"/>
              </w:rPr>
              <w:t>—</w:t>
            </w:r>
          </w:p>
        </w:tc>
        <w:tc>
          <w:tcPr>
            <w:tcW w:w="1460" w:type="dxa"/>
            <w:vAlign w:val="bottom"/>
            <w:shd w:val="clear" w:color="auto" w:fill="E8EDF4"/>
          </w:tcPr>
          <w:p>
            <w:pPr>
              <w:jc w:val="right"/>
              <w:ind w:right="238"/>
              <w:spacing w:after="0" w:line="202" w:lineRule="exact"/>
              <w:rPr>
                <w:sz w:val="20"/>
                <w:szCs w:val="20"/>
                <w:color w:val="auto"/>
              </w:rPr>
            </w:pPr>
            <w:r>
              <w:rPr>
                <w:rFonts w:ascii="Arial" w:cs="Arial" w:eastAsia="Arial" w:hAnsi="Arial"/>
                <w:sz w:val="18"/>
                <w:szCs w:val="18"/>
                <w:color w:val="auto"/>
              </w:rPr>
              <w:t>—</w:t>
            </w:r>
          </w:p>
        </w:tc>
      </w:tr>
      <w:tr>
        <w:trPr>
          <w:trHeight w:val="217"/>
        </w:trPr>
        <w:tc>
          <w:tcPr>
            <w:tcW w:w="3100" w:type="dxa"/>
            <w:vAlign w:val="bottom"/>
          </w:tcPr>
          <w:p>
            <w:pPr>
              <w:ind w:left="40"/>
              <w:spacing w:after="0"/>
              <w:rPr>
                <w:sz w:val="20"/>
                <w:szCs w:val="20"/>
                <w:color w:val="auto"/>
              </w:rPr>
            </w:pPr>
            <w:r>
              <w:rPr>
                <w:rFonts w:ascii="Arial" w:cs="Arial" w:eastAsia="Arial" w:hAnsi="Arial"/>
                <w:sz w:val="18"/>
                <w:szCs w:val="18"/>
                <w:color w:val="auto"/>
              </w:rPr>
              <w:t>Steve Pietkiewicz</w:t>
            </w:r>
          </w:p>
        </w:tc>
        <w:tc>
          <w:tcPr>
            <w:tcW w:w="2180" w:type="dxa"/>
            <w:vAlign w:val="bottom"/>
          </w:tcPr>
          <w:p>
            <w:pPr>
              <w:jc w:val="right"/>
              <w:ind w:right="118"/>
              <w:spacing w:after="0"/>
              <w:rPr>
                <w:sz w:val="20"/>
                <w:szCs w:val="20"/>
                <w:color w:val="auto"/>
              </w:rPr>
            </w:pPr>
            <w:r>
              <w:rPr>
                <w:rFonts w:ascii="Arial" w:cs="Arial" w:eastAsia="Arial" w:hAnsi="Arial"/>
                <w:sz w:val="18"/>
                <w:szCs w:val="18"/>
                <w:color w:val="auto"/>
              </w:rPr>
              <w:t>319,231</w:t>
            </w:r>
          </w:p>
        </w:tc>
        <w:tc>
          <w:tcPr>
            <w:tcW w:w="1520" w:type="dxa"/>
            <w:vAlign w:val="bottom"/>
          </w:tcPr>
          <w:p>
            <w:pPr>
              <w:jc w:val="right"/>
              <w:ind w:right="118"/>
              <w:spacing w:after="0"/>
              <w:rPr>
                <w:sz w:val="20"/>
                <w:szCs w:val="20"/>
                <w:color w:val="auto"/>
              </w:rPr>
            </w:pPr>
            <w:r>
              <w:rPr>
                <w:rFonts w:ascii="Arial" w:cs="Arial" w:eastAsia="Arial" w:hAnsi="Arial"/>
                <w:sz w:val="18"/>
                <w:szCs w:val="18"/>
                <w:color w:val="auto"/>
              </w:rPr>
              <w:t>29,539</w:t>
            </w:r>
          </w:p>
        </w:tc>
        <w:tc>
          <w:tcPr>
            <w:tcW w:w="1200" w:type="dxa"/>
            <w:vAlign w:val="bottom"/>
          </w:tcPr>
          <w:p>
            <w:pPr>
              <w:jc w:val="right"/>
              <w:ind w:right="118"/>
              <w:spacing w:after="0"/>
              <w:rPr>
                <w:sz w:val="20"/>
                <w:szCs w:val="20"/>
                <w:color w:val="auto"/>
              </w:rPr>
            </w:pPr>
            <w:r>
              <w:rPr>
                <w:rFonts w:ascii="Arial" w:cs="Arial" w:eastAsia="Arial" w:hAnsi="Arial"/>
                <w:sz w:val="18"/>
                <w:szCs w:val="18"/>
                <w:color w:val="auto"/>
              </w:rPr>
              <w:t>23,598</w:t>
            </w:r>
          </w:p>
        </w:tc>
        <w:tc>
          <w:tcPr>
            <w:tcW w:w="1560" w:type="dxa"/>
            <w:vAlign w:val="bottom"/>
          </w:tcPr>
          <w:p>
            <w:pPr>
              <w:ind w:left="104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38"/>
              <w:spacing w:after="0"/>
              <w:rPr>
                <w:sz w:val="20"/>
                <w:szCs w:val="20"/>
                <w:color w:val="auto"/>
              </w:rPr>
            </w:pPr>
            <w:r>
              <w:rPr>
                <w:rFonts w:ascii="Arial" w:cs="Arial" w:eastAsia="Arial" w:hAnsi="Arial"/>
                <w:sz w:val="18"/>
                <w:szCs w:val="18"/>
                <w:color w:val="auto"/>
              </w:rPr>
              <w:t>372,368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76327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4" w:lineRule="exact"/>
        <w:rPr>
          <w:sz w:val="20"/>
          <w:szCs w:val="20"/>
          <w:color w:val="auto"/>
        </w:rPr>
      </w:pPr>
    </w:p>
    <w:p>
      <w:pPr>
        <w:ind w:left="640" w:hanging="436"/>
        <w:spacing w:after="0"/>
        <w:tabs>
          <w:tab w:leader="none" w:pos="6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These amounts are included in the Summary Compensation Table above in the “All Other Compensation” column.</w:t>
      </w:r>
    </w:p>
    <w:p>
      <w:pPr>
        <w:spacing w:after="0" w:line="117" w:lineRule="exact"/>
        <w:rPr>
          <w:rFonts w:ascii="Arial" w:cs="Arial" w:eastAsia="Arial" w:hAnsi="Arial"/>
          <w:sz w:val="18"/>
          <w:szCs w:val="18"/>
          <w:color w:val="auto"/>
        </w:rPr>
      </w:pPr>
    </w:p>
    <w:p>
      <w:pPr>
        <w:ind w:left="640" w:right="120" w:hanging="436"/>
        <w:spacing w:after="0" w:line="246" w:lineRule="auto"/>
        <w:tabs>
          <w:tab w:leader="none" w:pos="6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These amounts are excluded from the Summary Compensation Table above in accordance with SEC regulations, as we did not pay above-market earnings on deferred compensation in fiscal 2019.</w:t>
      </w:r>
    </w:p>
    <w:p>
      <w:pPr>
        <w:spacing w:after="0" w:line="102" w:lineRule="exact"/>
        <w:rPr>
          <w:rFonts w:ascii="Arial" w:cs="Arial" w:eastAsia="Arial" w:hAnsi="Arial"/>
          <w:sz w:val="18"/>
          <w:szCs w:val="18"/>
          <w:color w:val="auto"/>
        </w:rPr>
      </w:pPr>
    </w:p>
    <w:p>
      <w:pPr>
        <w:ind w:left="640" w:right="220" w:hanging="436"/>
        <w:spacing w:after="0" w:line="246" w:lineRule="auto"/>
        <w:tabs>
          <w:tab w:leader="none" w:pos="6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Of the amounts in this column, the following amounts have also been reported in the Summary Compensation Table for fiscal 2018 and 2017:</w:t>
      </w:r>
    </w:p>
    <w:p>
      <w:pPr>
        <w:spacing w:after="0" w:line="213" w:lineRule="exact"/>
        <w:rPr>
          <w:sz w:val="20"/>
          <w:szCs w:val="20"/>
          <w:color w:val="auto"/>
        </w:rPr>
      </w:pPr>
    </w:p>
    <w:tbl>
      <w:tblPr>
        <w:tblLayout w:type="fixed"/>
        <w:tblInd w:w="1540" w:type="dxa"/>
        <w:tblCellMar>
          <w:top w:w="0" w:type="dxa"/>
          <w:left w:w="0" w:type="dxa"/>
          <w:bottom w:w="0" w:type="dxa"/>
          <w:right w:w="0" w:type="dxa"/>
        </w:tblCellMar>
      </w:tblPr>
      <w:tr>
        <w:trPr>
          <w:trHeight w:val="161"/>
        </w:trPr>
        <w:tc>
          <w:tcPr>
            <w:tcW w:w="3160" w:type="dxa"/>
            <w:vAlign w:val="bottom"/>
            <w:shd w:val="clear" w:color="auto" w:fill="052B82"/>
          </w:tcPr>
          <w:p>
            <w:pPr>
              <w:spacing w:after="0"/>
              <w:rPr>
                <w:sz w:val="14"/>
                <w:szCs w:val="14"/>
                <w:color w:val="auto"/>
              </w:rPr>
            </w:pPr>
          </w:p>
        </w:tc>
        <w:tc>
          <w:tcPr>
            <w:tcW w:w="2860" w:type="dxa"/>
            <w:vAlign w:val="bottom"/>
            <w:shd w:val="clear" w:color="auto" w:fill="052B82"/>
          </w:tcPr>
          <w:p>
            <w:pPr>
              <w:jc w:val="right"/>
              <w:ind w:right="235"/>
              <w:spacing w:after="0"/>
              <w:rPr>
                <w:sz w:val="20"/>
                <w:szCs w:val="20"/>
                <w:color w:val="auto"/>
              </w:rPr>
            </w:pPr>
            <w:r>
              <w:rPr>
                <w:rFonts w:ascii="Arial" w:cs="Arial" w:eastAsia="Arial" w:hAnsi="Arial"/>
                <w:sz w:val="14"/>
                <w:szCs w:val="14"/>
                <w:b w:val="1"/>
                <w:bCs w:val="1"/>
                <w:color w:val="FFFFFF"/>
              </w:rPr>
              <w:t>Previously Reported for</w:t>
            </w:r>
          </w:p>
        </w:tc>
        <w:tc>
          <w:tcPr>
            <w:tcW w:w="2340" w:type="dxa"/>
            <w:vAlign w:val="bottom"/>
            <w:shd w:val="clear" w:color="auto" w:fill="052B82"/>
          </w:tcPr>
          <w:p>
            <w:pPr>
              <w:jc w:val="right"/>
              <w:ind w:right="315"/>
              <w:spacing w:after="0"/>
              <w:rPr>
                <w:sz w:val="20"/>
                <w:szCs w:val="20"/>
                <w:color w:val="auto"/>
              </w:rPr>
            </w:pPr>
            <w:r>
              <w:rPr>
                <w:rFonts w:ascii="Arial" w:cs="Arial" w:eastAsia="Arial" w:hAnsi="Arial"/>
                <w:sz w:val="14"/>
                <w:szCs w:val="14"/>
                <w:b w:val="1"/>
                <w:bCs w:val="1"/>
                <w:color w:val="FFFFFF"/>
              </w:rPr>
              <w:t>Previously Reported for</w:t>
            </w:r>
          </w:p>
        </w:tc>
      </w:tr>
      <w:tr>
        <w:trPr>
          <w:trHeight w:val="175"/>
        </w:trPr>
        <w:tc>
          <w:tcPr>
            <w:tcW w:w="3160" w:type="dxa"/>
            <w:vAlign w:val="bottom"/>
            <w:shd w:val="clear" w:color="auto" w:fill="052B82"/>
          </w:tcPr>
          <w:p>
            <w:pPr>
              <w:ind w:left="20"/>
              <w:spacing w:after="0"/>
              <w:rPr>
                <w:sz w:val="20"/>
                <w:szCs w:val="20"/>
                <w:color w:val="auto"/>
              </w:rPr>
            </w:pPr>
            <w:r>
              <w:rPr>
                <w:rFonts w:ascii="Arial" w:cs="Arial" w:eastAsia="Arial" w:hAnsi="Arial"/>
                <w:sz w:val="14"/>
                <w:szCs w:val="14"/>
                <w:b w:val="1"/>
                <w:bCs w:val="1"/>
                <w:color w:val="FFFFFF"/>
              </w:rPr>
              <w:t>Name</w:t>
            </w:r>
          </w:p>
        </w:tc>
        <w:tc>
          <w:tcPr>
            <w:tcW w:w="2860" w:type="dxa"/>
            <w:vAlign w:val="bottom"/>
            <w:shd w:val="clear" w:color="auto" w:fill="052B82"/>
          </w:tcPr>
          <w:p>
            <w:pPr>
              <w:jc w:val="right"/>
              <w:ind w:right="555"/>
              <w:spacing w:after="0"/>
              <w:rPr>
                <w:sz w:val="20"/>
                <w:szCs w:val="20"/>
                <w:color w:val="auto"/>
              </w:rPr>
            </w:pPr>
            <w:r>
              <w:rPr>
                <w:rFonts w:ascii="Arial" w:cs="Arial" w:eastAsia="Arial" w:hAnsi="Arial"/>
                <w:sz w:val="14"/>
                <w:szCs w:val="14"/>
                <w:b w:val="1"/>
                <w:bCs w:val="1"/>
                <w:color w:val="FFFFFF"/>
              </w:rPr>
              <w:t>Fiscal 2018 ($)</w:t>
            </w:r>
          </w:p>
        </w:tc>
        <w:tc>
          <w:tcPr>
            <w:tcW w:w="2340" w:type="dxa"/>
            <w:vAlign w:val="bottom"/>
            <w:shd w:val="clear" w:color="auto" w:fill="052B82"/>
          </w:tcPr>
          <w:p>
            <w:pPr>
              <w:jc w:val="right"/>
              <w:ind w:right="635"/>
              <w:spacing w:after="0"/>
              <w:rPr>
                <w:sz w:val="20"/>
                <w:szCs w:val="20"/>
                <w:color w:val="auto"/>
              </w:rPr>
            </w:pPr>
            <w:r>
              <w:rPr>
                <w:rFonts w:ascii="Arial" w:cs="Arial" w:eastAsia="Arial" w:hAnsi="Arial"/>
                <w:sz w:val="14"/>
                <w:szCs w:val="14"/>
                <w:b w:val="1"/>
                <w:bCs w:val="1"/>
                <w:color w:val="FFFFFF"/>
              </w:rPr>
              <w:t>Fiscal 2017 ($)</w:t>
            </w:r>
          </w:p>
        </w:tc>
      </w:tr>
      <w:tr>
        <w:trPr>
          <w:trHeight w:val="203"/>
        </w:trPr>
        <w:tc>
          <w:tcPr>
            <w:tcW w:w="3160" w:type="dxa"/>
            <w:vAlign w:val="bottom"/>
          </w:tcPr>
          <w:p>
            <w:pPr>
              <w:ind w:left="40"/>
              <w:spacing w:after="0" w:line="202" w:lineRule="exact"/>
              <w:rPr>
                <w:sz w:val="20"/>
                <w:szCs w:val="20"/>
                <w:color w:val="auto"/>
              </w:rPr>
            </w:pPr>
            <w:r>
              <w:rPr>
                <w:rFonts w:ascii="Arial" w:cs="Arial" w:eastAsia="Arial" w:hAnsi="Arial"/>
                <w:sz w:val="18"/>
                <w:szCs w:val="18"/>
                <w:color w:val="auto"/>
              </w:rPr>
              <w:t>Vincent Roche</w:t>
            </w:r>
          </w:p>
        </w:tc>
        <w:tc>
          <w:tcPr>
            <w:tcW w:w="2860" w:type="dxa"/>
            <w:vAlign w:val="bottom"/>
          </w:tcPr>
          <w:p>
            <w:pPr>
              <w:jc w:val="right"/>
              <w:ind w:right="235"/>
              <w:spacing w:after="0" w:line="202" w:lineRule="exact"/>
              <w:rPr>
                <w:sz w:val="20"/>
                <w:szCs w:val="20"/>
                <w:color w:val="auto"/>
              </w:rPr>
            </w:pPr>
            <w:r>
              <w:rPr>
                <w:rFonts w:ascii="Arial" w:cs="Arial" w:eastAsia="Arial" w:hAnsi="Arial"/>
                <w:sz w:val="18"/>
                <w:szCs w:val="18"/>
                <w:color w:val="auto"/>
              </w:rPr>
              <w:t>3,007,201</w:t>
            </w:r>
          </w:p>
        </w:tc>
        <w:tc>
          <w:tcPr>
            <w:tcW w:w="2340" w:type="dxa"/>
            <w:vAlign w:val="bottom"/>
          </w:tcPr>
          <w:p>
            <w:pPr>
              <w:jc w:val="right"/>
              <w:ind w:right="315"/>
              <w:spacing w:after="0" w:line="202" w:lineRule="exact"/>
              <w:rPr>
                <w:sz w:val="20"/>
                <w:szCs w:val="20"/>
                <w:color w:val="auto"/>
              </w:rPr>
            </w:pPr>
            <w:r>
              <w:rPr>
                <w:rFonts w:ascii="Arial" w:cs="Arial" w:eastAsia="Arial" w:hAnsi="Arial"/>
                <w:sz w:val="18"/>
                <w:szCs w:val="18"/>
                <w:color w:val="auto"/>
              </w:rPr>
              <w:t>1,885,842</w:t>
            </w:r>
          </w:p>
        </w:tc>
      </w:tr>
      <w:tr>
        <w:trPr>
          <w:trHeight w:val="203"/>
        </w:trPr>
        <w:tc>
          <w:tcPr>
            <w:tcW w:w="3160" w:type="dxa"/>
            <w:vAlign w:val="bottom"/>
            <w:shd w:val="clear" w:color="auto" w:fill="E8EDF4"/>
          </w:tcPr>
          <w:p>
            <w:pPr>
              <w:ind w:left="40"/>
              <w:spacing w:after="0" w:line="202" w:lineRule="exact"/>
              <w:rPr>
                <w:sz w:val="20"/>
                <w:szCs w:val="20"/>
                <w:color w:val="auto"/>
              </w:rPr>
            </w:pPr>
            <w:r>
              <w:rPr>
                <w:rFonts w:ascii="Arial" w:cs="Arial" w:eastAsia="Arial" w:hAnsi="Arial"/>
                <w:sz w:val="18"/>
                <w:szCs w:val="18"/>
                <w:color w:val="auto"/>
              </w:rPr>
              <w:t>Prashanth Mahendra-Rajah</w:t>
            </w:r>
          </w:p>
        </w:tc>
        <w:tc>
          <w:tcPr>
            <w:tcW w:w="2860" w:type="dxa"/>
            <w:vAlign w:val="bottom"/>
            <w:shd w:val="clear" w:color="auto" w:fill="E8EDF4"/>
          </w:tcPr>
          <w:p>
            <w:pPr>
              <w:jc w:val="right"/>
              <w:ind w:right="235"/>
              <w:spacing w:after="0" w:line="202" w:lineRule="exact"/>
              <w:rPr>
                <w:sz w:val="20"/>
                <w:szCs w:val="20"/>
                <w:color w:val="auto"/>
              </w:rPr>
            </w:pPr>
            <w:r>
              <w:rPr>
                <w:rFonts w:ascii="Arial" w:cs="Arial" w:eastAsia="Arial" w:hAnsi="Arial"/>
                <w:sz w:val="18"/>
                <w:szCs w:val="18"/>
                <w:color w:val="auto"/>
              </w:rPr>
              <w:t>82,475</w:t>
            </w:r>
          </w:p>
        </w:tc>
        <w:tc>
          <w:tcPr>
            <w:tcW w:w="2340" w:type="dxa"/>
            <w:vAlign w:val="bottom"/>
            <w:shd w:val="clear" w:color="auto" w:fill="E8EDF4"/>
          </w:tcPr>
          <w:p>
            <w:pPr>
              <w:jc w:val="right"/>
              <w:ind w:right="315"/>
              <w:spacing w:after="0" w:line="202" w:lineRule="exact"/>
              <w:rPr>
                <w:sz w:val="20"/>
                <w:szCs w:val="20"/>
                <w:color w:val="auto"/>
              </w:rPr>
            </w:pPr>
            <w:r>
              <w:rPr>
                <w:rFonts w:ascii="Arial" w:cs="Arial" w:eastAsia="Arial" w:hAnsi="Arial"/>
                <w:sz w:val="18"/>
                <w:szCs w:val="18"/>
                <w:color w:val="auto"/>
              </w:rPr>
              <w:t>2,741</w:t>
            </w:r>
          </w:p>
        </w:tc>
      </w:tr>
      <w:tr>
        <w:trPr>
          <w:trHeight w:val="203"/>
        </w:trPr>
        <w:tc>
          <w:tcPr>
            <w:tcW w:w="3160" w:type="dxa"/>
            <w:vAlign w:val="bottom"/>
          </w:tcPr>
          <w:p>
            <w:pPr>
              <w:ind w:left="40"/>
              <w:spacing w:after="0" w:line="202" w:lineRule="exact"/>
              <w:rPr>
                <w:sz w:val="20"/>
                <w:szCs w:val="20"/>
                <w:color w:val="auto"/>
              </w:rPr>
            </w:pPr>
            <w:r>
              <w:rPr>
                <w:rFonts w:ascii="Arial" w:cs="Arial" w:eastAsia="Arial" w:hAnsi="Arial"/>
                <w:sz w:val="18"/>
                <w:szCs w:val="18"/>
                <w:color w:val="auto"/>
              </w:rPr>
              <w:t>Martin Cotter</w:t>
            </w:r>
          </w:p>
        </w:tc>
        <w:tc>
          <w:tcPr>
            <w:tcW w:w="2860" w:type="dxa"/>
            <w:vAlign w:val="bottom"/>
          </w:tcPr>
          <w:p>
            <w:pPr>
              <w:jc w:val="right"/>
              <w:ind w:right="235"/>
              <w:spacing w:after="0" w:line="202" w:lineRule="exact"/>
              <w:rPr>
                <w:sz w:val="20"/>
                <w:szCs w:val="20"/>
                <w:color w:val="auto"/>
              </w:rPr>
            </w:pPr>
            <w:r>
              <w:rPr>
                <w:rFonts w:ascii="Arial" w:cs="Arial" w:eastAsia="Arial" w:hAnsi="Arial"/>
                <w:sz w:val="18"/>
                <w:szCs w:val="18"/>
                <w:color w:val="auto"/>
              </w:rPr>
              <w:t>31,020</w:t>
            </w:r>
          </w:p>
        </w:tc>
        <w:tc>
          <w:tcPr>
            <w:tcW w:w="2340" w:type="dxa"/>
            <w:vAlign w:val="bottom"/>
          </w:tcPr>
          <w:p>
            <w:pPr>
              <w:jc w:val="right"/>
              <w:ind w:right="415"/>
              <w:spacing w:after="0" w:line="202" w:lineRule="exact"/>
              <w:rPr>
                <w:sz w:val="20"/>
                <w:szCs w:val="20"/>
                <w:color w:val="auto"/>
              </w:rPr>
            </w:pPr>
            <w:r>
              <w:rPr>
                <w:rFonts w:ascii="Arial" w:cs="Arial" w:eastAsia="Arial" w:hAnsi="Arial"/>
                <w:sz w:val="18"/>
                <w:szCs w:val="18"/>
                <w:color w:val="auto"/>
              </w:rPr>
              <w:t>—</w:t>
            </w:r>
          </w:p>
        </w:tc>
      </w:tr>
      <w:tr>
        <w:trPr>
          <w:trHeight w:val="203"/>
        </w:trPr>
        <w:tc>
          <w:tcPr>
            <w:tcW w:w="3160" w:type="dxa"/>
            <w:vAlign w:val="bottom"/>
            <w:shd w:val="clear" w:color="auto" w:fill="E8EDF4"/>
          </w:tcPr>
          <w:p>
            <w:pPr>
              <w:ind w:left="40"/>
              <w:spacing w:after="0" w:line="202" w:lineRule="exact"/>
              <w:rPr>
                <w:sz w:val="20"/>
                <w:szCs w:val="20"/>
                <w:color w:val="auto"/>
              </w:rPr>
            </w:pPr>
            <w:r>
              <w:rPr>
                <w:rFonts w:ascii="Arial" w:cs="Arial" w:eastAsia="Arial" w:hAnsi="Arial"/>
                <w:sz w:val="18"/>
                <w:szCs w:val="18"/>
                <w:color w:val="auto"/>
              </w:rPr>
              <w:t>John Hassett</w:t>
            </w:r>
          </w:p>
        </w:tc>
        <w:tc>
          <w:tcPr>
            <w:tcW w:w="2860" w:type="dxa"/>
            <w:vAlign w:val="bottom"/>
            <w:shd w:val="clear" w:color="auto" w:fill="E8EDF4"/>
          </w:tcPr>
          <w:p>
            <w:pPr>
              <w:jc w:val="right"/>
              <w:ind w:right="335"/>
              <w:spacing w:after="0" w:line="202" w:lineRule="exact"/>
              <w:rPr>
                <w:sz w:val="20"/>
                <w:szCs w:val="20"/>
                <w:color w:val="auto"/>
              </w:rPr>
            </w:pPr>
            <w:r>
              <w:rPr>
                <w:rFonts w:ascii="Arial" w:cs="Arial" w:eastAsia="Arial" w:hAnsi="Arial"/>
                <w:sz w:val="18"/>
                <w:szCs w:val="18"/>
                <w:color w:val="auto"/>
              </w:rPr>
              <w:t>—</w:t>
            </w:r>
          </w:p>
        </w:tc>
        <w:tc>
          <w:tcPr>
            <w:tcW w:w="2340" w:type="dxa"/>
            <w:vAlign w:val="bottom"/>
            <w:shd w:val="clear" w:color="auto" w:fill="E8EDF4"/>
          </w:tcPr>
          <w:p>
            <w:pPr>
              <w:jc w:val="right"/>
              <w:ind w:right="415"/>
              <w:spacing w:after="0" w:line="202" w:lineRule="exact"/>
              <w:rPr>
                <w:sz w:val="20"/>
                <w:szCs w:val="20"/>
                <w:color w:val="auto"/>
              </w:rPr>
            </w:pPr>
            <w:r>
              <w:rPr>
                <w:rFonts w:ascii="Arial" w:cs="Arial" w:eastAsia="Arial" w:hAnsi="Arial"/>
                <w:sz w:val="18"/>
                <w:szCs w:val="18"/>
                <w:color w:val="auto"/>
              </w:rPr>
              <w:t>—</w:t>
            </w:r>
          </w:p>
        </w:tc>
      </w:tr>
      <w:tr>
        <w:trPr>
          <w:trHeight w:val="217"/>
        </w:trPr>
        <w:tc>
          <w:tcPr>
            <w:tcW w:w="3160" w:type="dxa"/>
            <w:vAlign w:val="bottom"/>
          </w:tcPr>
          <w:p>
            <w:pPr>
              <w:ind w:left="40"/>
              <w:spacing w:after="0"/>
              <w:rPr>
                <w:sz w:val="20"/>
                <w:szCs w:val="20"/>
                <w:color w:val="auto"/>
              </w:rPr>
            </w:pPr>
            <w:r>
              <w:rPr>
                <w:rFonts w:ascii="Arial" w:cs="Arial" w:eastAsia="Arial" w:hAnsi="Arial"/>
                <w:sz w:val="18"/>
                <w:szCs w:val="18"/>
                <w:color w:val="auto"/>
              </w:rPr>
              <w:t>Steve Pietkiewicz</w:t>
            </w:r>
          </w:p>
        </w:tc>
        <w:tc>
          <w:tcPr>
            <w:tcW w:w="2860" w:type="dxa"/>
            <w:vAlign w:val="bottom"/>
          </w:tcPr>
          <w:p>
            <w:pPr>
              <w:jc w:val="right"/>
              <w:ind w:right="335"/>
              <w:spacing w:after="0"/>
              <w:rPr>
                <w:sz w:val="20"/>
                <w:szCs w:val="20"/>
                <w:color w:val="auto"/>
              </w:rPr>
            </w:pPr>
            <w:r>
              <w:rPr>
                <w:rFonts w:ascii="Arial" w:cs="Arial" w:eastAsia="Arial" w:hAnsi="Arial"/>
                <w:sz w:val="18"/>
                <w:szCs w:val="18"/>
                <w:color w:val="auto"/>
              </w:rPr>
              <w:t>—</w:t>
            </w:r>
          </w:p>
        </w:tc>
        <w:tc>
          <w:tcPr>
            <w:tcW w:w="2340" w:type="dxa"/>
            <w:vAlign w:val="bottom"/>
          </w:tcPr>
          <w:p>
            <w:pPr>
              <w:jc w:val="right"/>
              <w:ind w:right="415"/>
              <w:spacing w:after="0"/>
              <w:rPr>
                <w:sz w:val="20"/>
                <w:szCs w:val="20"/>
                <w:color w:val="auto"/>
              </w:rPr>
            </w:pPr>
            <w:r>
              <w:rPr>
                <w:rFonts w:ascii="Arial" w:cs="Arial" w:eastAsia="Arial" w:hAnsi="Arial"/>
                <w:sz w:val="18"/>
                <w:szCs w:val="18"/>
                <w:color w:val="auto"/>
              </w:rPr>
              <w:t>—</w:t>
            </w:r>
          </w:p>
        </w:tc>
      </w:tr>
    </w:tbl>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52B82"/>
        </w:rPr>
        <w:t>CHANGE IN CONTROL BENEFITS</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Change in Control Retention Agreements</w:t>
      </w:r>
    </w:p>
    <w:p>
      <w:pPr>
        <w:spacing w:after="0" w:line="126" w:lineRule="exact"/>
        <w:rPr>
          <w:sz w:val="20"/>
          <w:szCs w:val="20"/>
          <w:color w:val="auto"/>
        </w:rPr>
      </w:pPr>
    </w:p>
    <w:p>
      <w:pPr>
        <w:ind w:left="200" w:right="300" w:firstLine="441"/>
        <w:spacing w:after="0" w:line="246" w:lineRule="auto"/>
        <w:rPr>
          <w:sz w:val="20"/>
          <w:szCs w:val="20"/>
          <w:color w:val="auto"/>
        </w:rPr>
      </w:pPr>
      <w:r>
        <w:rPr>
          <w:rFonts w:ascii="Arial" w:cs="Arial" w:eastAsia="Arial" w:hAnsi="Arial"/>
          <w:sz w:val="18"/>
          <w:szCs w:val="18"/>
          <w:color w:val="auto"/>
        </w:rPr>
        <w:t>We have entered into change in control retention agreements with each of our executive officers and other key employees. These agreements provide for severance benefits if any of the following occurs:</w:t>
      </w:r>
    </w:p>
    <w:p>
      <w:pPr>
        <w:spacing w:after="0" w:line="102" w:lineRule="exact"/>
        <w:rPr>
          <w:sz w:val="20"/>
          <w:szCs w:val="20"/>
          <w:color w:val="auto"/>
        </w:rPr>
      </w:pPr>
    </w:p>
    <w:p>
      <w:pPr>
        <w:ind w:left="1180" w:right="20" w:hanging="436"/>
        <w:spacing w:after="0"/>
        <w:tabs>
          <w:tab w:leader="none" w:pos="11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within 24 months after a change in control (as defined in each agreement) that was approved by our Board of Directors, we terminate the employee’s employment with us for a reason other than “cause” (as defined in the agreement) or the employee’s death or disability;</w:t>
      </w:r>
    </w:p>
    <w:p>
      <w:pPr>
        <w:spacing w:after="0" w:line="108" w:lineRule="exact"/>
        <w:rPr>
          <w:rFonts w:ascii="Arial" w:cs="Arial" w:eastAsia="Arial" w:hAnsi="Arial"/>
          <w:sz w:val="18"/>
          <w:szCs w:val="18"/>
          <w:color w:val="auto"/>
        </w:rPr>
      </w:pPr>
    </w:p>
    <w:p>
      <w:pPr>
        <w:ind w:left="1180" w:right="280" w:hanging="436"/>
        <w:spacing w:after="0" w:line="246" w:lineRule="auto"/>
        <w:tabs>
          <w:tab w:leader="none" w:pos="11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within 24 months after a change in control that was approved by our Board of Directors, the employee terminates his or her employment for “good reason” (as defined in the agreement); or</w:t>
      </w:r>
    </w:p>
    <w:p>
      <w:pPr>
        <w:spacing w:after="0" w:line="102" w:lineRule="exact"/>
        <w:rPr>
          <w:rFonts w:ascii="Arial" w:cs="Arial" w:eastAsia="Arial" w:hAnsi="Arial"/>
          <w:sz w:val="18"/>
          <w:szCs w:val="18"/>
          <w:color w:val="auto"/>
        </w:rPr>
      </w:pPr>
    </w:p>
    <w:p>
      <w:pPr>
        <w:ind w:left="1180" w:right="80" w:hanging="436"/>
        <w:spacing w:after="0"/>
        <w:tabs>
          <w:tab w:leader="none" w:pos="11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within 12 months after a change in control that was not approved by our Board of Directors, we or the employee terminate the employee’s employment with us for a reason other than “cause” (as defined in the agreement) or the employee’s death or disability.</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purposes of our change in control retention agreements, a “change in control” occurs when:</w:t>
      </w:r>
    </w:p>
    <w:p>
      <w:pPr>
        <w:spacing w:after="0" w:line="117" w:lineRule="exact"/>
        <w:rPr>
          <w:sz w:val="20"/>
          <w:szCs w:val="20"/>
          <w:color w:val="auto"/>
        </w:rPr>
      </w:pPr>
    </w:p>
    <w:p>
      <w:pPr>
        <w:ind w:left="1180" w:hanging="436"/>
        <w:spacing w:after="0"/>
        <w:tabs>
          <w:tab w:leader="none" w:pos="11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person or entity becomes the beneficial owner of 30% or more of the combined voting power of our outstanding securities;</w:t>
      </w:r>
    </w:p>
    <w:p>
      <w:pPr>
        <w:spacing w:after="0" w:line="117" w:lineRule="exact"/>
        <w:rPr>
          <w:rFonts w:ascii="Arial" w:cs="Arial" w:eastAsia="Arial" w:hAnsi="Arial"/>
          <w:sz w:val="18"/>
          <w:szCs w:val="18"/>
          <w:color w:val="auto"/>
        </w:rPr>
      </w:pPr>
    </w:p>
    <w:p>
      <w:pPr>
        <w:ind w:left="1180" w:hanging="436"/>
        <w:spacing w:after="0"/>
        <w:tabs>
          <w:tab w:leader="none" w:pos="11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our shareholders approve specified mergers of ADI with another entity; or</w:t>
      </w:r>
    </w:p>
    <w:p>
      <w:pPr>
        <w:spacing w:after="0" w:line="117" w:lineRule="exact"/>
        <w:rPr>
          <w:rFonts w:ascii="Arial" w:cs="Arial" w:eastAsia="Arial" w:hAnsi="Arial"/>
          <w:sz w:val="18"/>
          <w:szCs w:val="18"/>
          <w:color w:val="auto"/>
        </w:rPr>
      </w:pPr>
    </w:p>
    <w:p>
      <w:pPr>
        <w:ind w:left="1180" w:hanging="436"/>
        <w:spacing w:after="0"/>
        <w:tabs>
          <w:tab w:leader="none" w:pos="11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our shareholders approve a plan of liquidation or sale of all, or substantially all, of ADI’s assets.</w:t>
      </w:r>
    </w:p>
    <w:p>
      <w:pPr>
        <w:spacing w:after="0" w:line="144" w:lineRule="exact"/>
        <w:rPr>
          <w:sz w:val="20"/>
          <w:szCs w:val="20"/>
          <w:color w:val="auto"/>
        </w:rPr>
      </w:pPr>
    </w:p>
    <w:p>
      <w:pPr>
        <w:jc w:val="right"/>
        <w:ind w:right="20"/>
        <w:spacing w:after="0"/>
        <w:tabs>
          <w:tab w:leader="none" w:pos="200" w:val="left"/>
        </w:tabs>
        <w:rPr>
          <w:sz w:val="20"/>
          <w:szCs w:val="20"/>
          <w:color w:val="auto"/>
        </w:rPr>
      </w:pPr>
      <w:r>
        <w:rPr>
          <w:rFonts w:ascii="Arial" w:cs="Arial" w:eastAsia="Arial" w:hAnsi="Arial"/>
          <w:sz w:val="14"/>
          <w:szCs w:val="14"/>
          <w:b w:val="1"/>
          <w:bCs w:val="1"/>
          <w:color w:val="052B82"/>
        </w:rPr>
        <w:t>2020 Proxy Statement</w:t>
      </w:r>
      <w:r>
        <w:rPr>
          <w:sz w:val="20"/>
          <w:szCs w:val="20"/>
          <w:color w:val="auto"/>
        </w:rPr>
        <w:tab/>
      </w:r>
      <w:r>
        <w:rPr>
          <w:rFonts w:ascii="Arial" w:cs="Arial" w:eastAsia="Arial" w:hAnsi="Arial"/>
          <w:sz w:val="17"/>
          <w:szCs w:val="17"/>
          <w:color w:val="999999"/>
        </w:rPr>
        <w:t>63</w:t>
      </w:r>
    </w:p>
    <w:p>
      <w:pPr>
        <w:sectPr>
          <w:pgSz w:w="11900" w:h="16838" w:orient="portrait"/>
          <w:cols w:equalWidth="0" w:num="1">
            <w:col w:w="11240"/>
          </w:cols>
          <w:pgMar w:left="240" w:top="459" w:right="41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2649855" cy="1371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0" w:right="60" w:firstLine="441"/>
        <w:spacing w:after="0" w:line="246" w:lineRule="auto"/>
        <w:rPr>
          <w:sz w:val="20"/>
          <w:szCs w:val="20"/>
          <w:color w:val="auto"/>
        </w:rPr>
      </w:pPr>
      <w:r>
        <w:rPr>
          <w:rFonts w:ascii="Arial" w:cs="Arial" w:eastAsia="Arial" w:hAnsi="Arial"/>
          <w:sz w:val="18"/>
          <w:szCs w:val="18"/>
          <w:color w:val="auto"/>
        </w:rPr>
        <w:t>These agreements provide for the following severance benefits in the event of termination following a change in control approved by the Board of Directors:</w:t>
      </w:r>
    </w:p>
    <w:p>
      <w:pPr>
        <w:spacing w:after="0" w:line="102" w:lineRule="exact"/>
        <w:rPr>
          <w:sz w:val="20"/>
          <w:szCs w:val="20"/>
          <w:color w:val="auto"/>
        </w:rPr>
      </w:pPr>
    </w:p>
    <w:p>
      <w:pPr>
        <w:ind w:left="1180" w:right="40" w:hanging="436"/>
        <w:spacing w:after="0" w:line="238" w:lineRule="auto"/>
        <w:tabs>
          <w:tab w:leader="none" w:pos="11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 lump-sum payment equal to 200% (299% in the case of certain employees who are parties to the agreements, including each of our NEOs) of the sum of the employee’s annual base salary (as of the date of termination or the date of the change in control, whichever is higher) plus 200% (299% in the case of certain employees who are parties to the agreements, including each of our NEOs) of the total cash bonuses paid or awarded to him or her in the four fiscal quarters preceding his or her termination;</w:t>
      </w:r>
    </w:p>
    <w:p>
      <w:pPr>
        <w:spacing w:after="0" w:line="108" w:lineRule="exact"/>
        <w:rPr>
          <w:rFonts w:ascii="Arial" w:cs="Arial" w:eastAsia="Arial" w:hAnsi="Arial"/>
          <w:sz w:val="18"/>
          <w:szCs w:val="18"/>
          <w:color w:val="auto"/>
        </w:rPr>
      </w:pPr>
    </w:p>
    <w:p>
      <w:pPr>
        <w:ind w:left="1180" w:right="160" w:hanging="436"/>
        <w:spacing w:after="0" w:line="239" w:lineRule="auto"/>
        <w:tabs>
          <w:tab w:leader="none" w:pos="11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payment of all legal fees and expenses incurred by the employee as a result of such termination (including all such fees and expenses, if any, incurred in disputing such termination or in seeking to obtain or enforce any right or benefit provided by the agreement or in connection with tax audit or proceeding to the extent attributable to the application of Section 4999 of the Internal Revenue Code to any payment or benefit provided under the agreement); and</w:t>
      </w:r>
    </w:p>
    <w:p>
      <w:pPr>
        <w:spacing w:after="0" w:line="107" w:lineRule="exact"/>
        <w:rPr>
          <w:rFonts w:ascii="Arial" w:cs="Arial" w:eastAsia="Arial" w:hAnsi="Arial"/>
          <w:sz w:val="18"/>
          <w:szCs w:val="18"/>
          <w:color w:val="auto"/>
        </w:rPr>
      </w:pPr>
    </w:p>
    <w:p>
      <w:pPr>
        <w:ind w:left="1180" w:hanging="436"/>
        <w:spacing w:after="0"/>
        <w:tabs>
          <w:tab w:leader="none" w:pos="11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continuation of life, disability, dental, accident and group health insurance benefits for a period of 24 months.</w:t>
      </w:r>
    </w:p>
    <w:p>
      <w:pPr>
        <w:spacing w:after="0" w:line="212" w:lineRule="exact"/>
        <w:rPr>
          <w:sz w:val="20"/>
          <w:szCs w:val="20"/>
          <w:color w:val="auto"/>
        </w:rPr>
      </w:pPr>
    </w:p>
    <w:p>
      <w:pPr>
        <w:ind w:left="200" w:firstLine="441"/>
        <w:spacing w:after="0" w:line="237" w:lineRule="auto"/>
        <w:rPr>
          <w:sz w:val="20"/>
          <w:szCs w:val="20"/>
          <w:color w:val="auto"/>
        </w:rPr>
      </w:pPr>
      <w:r>
        <w:rPr>
          <w:rFonts w:ascii="Arial" w:cs="Arial" w:eastAsia="Arial" w:hAnsi="Arial"/>
          <w:sz w:val="18"/>
          <w:szCs w:val="18"/>
          <w:color w:val="auto"/>
        </w:rPr>
        <w:t>If payments to the employee under his or her agreement (together with any other payments or benefits, including the accelerated vesting of stock options or restricted stock awards that the employee receives in connection with a change in control) would trigger the provisions of Sections 280G and 4999 of the Internal Revenue Code, the change in control employee retention agreements provide for the payment of an additional amount so that the employee receives, net of excise taxes, the amount he or she would have been entitled to receive in the absence of the excise tax imposed by Section 4999 of the Internal Revenue Code. In September 2009, our Compensation Committee eliminated this provision from any new employee retention agreements.</w:t>
      </w:r>
    </w:p>
    <w:p>
      <w:pPr>
        <w:spacing w:after="0" w:line="205" w:lineRule="exact"/>
        <w:rPr>
          <w:sz w:val="20"/>
          <w:szCs w:val="20"/>
          <w:color w:val="auto"/>
        </w:rPr>
      </w:pPr>
    </w:p>
    <w:p>
      <w:pPr>
        <w:ind w:left="200" w:right="220" w:firstLine="441"/>
        <w:spacing w:after="0" w:line="239" w:lineRule="auto"/>
        <w:rPr>
          <w:sz w:val="20"/>
          <w:szCs w:val="20"/>
          <w:color w:val="auto"/>
        </w:rPr>
      </w:pPr>
      <w:r>
        <w:rPr>
          <w:rFonts w:ascii="Arial" w:cs="Arial" w:eastAsia="Arial" w:hAnsi="Arial"/>
          <w:sz w:val="18"/>
          <w:szCs w:val="18"/>
          <w:color w:val="auto"/>
        </w:rPr>
        <w:t>Each agreement provides that, in the event of a potential change in control (as defined in each agreement), the employee will not voluntarily resign as an employee, subject to certain conditions, for at least six months after the change in control occurs. The Compensation Committee reviews these agreements each year, and the agreements automatically renew each year unless we give the employee three months’ notice that his or her agreement will not be extended.</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26"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Payments upon a change in control for our NEOs are calculated based upon the change-in-control retention agreements described above under “Change in Control Benefits—Change in Control Retention Agreements.” Under our 2006 Stock Incentive Plan, in the event of a change in control, employees who have outstanding and unvested awards under our 2006 Stock Incentive Plan, including our NEOs, if they remain employed by ADI, would have one-half of the shares of common stock subject to their then-outstanding unvested options accelerate and become immediately exercisable and one-half of their unvested time-based RSUs and PRSUs would vest. The remaining one-half of the unvested options, time-based RSUs and PRSUs would continue to vest in accordance with the original vesting schedules, and any remaining unvested options, time-based RSUs or PRSUs would vest if, on or prior to the first anniversary of the change in control, his or her employment is terminated without cause or for good reason (as defined in the plan).</w:t>
      </w:r>
    </w:p>
    <w:p>
      <w:pPr>
        <w:spacing w:after="0" w:line="208" w:lineRule="exact"/>
        <w:rPr>
          <w:sz w:val="20"/>
          <w:szCs w:val="20"/>
          <w:color w:val="auto"/>
        </w:rPr>
      </w:pPr>
    </w:p>
    <w:p>
      <w:pPr>
        <w:ind w:left="200" w:right="20" w:firstLine="441"/>
        <w:spacing w:after="0" w:line="237" w:lineRule="auto"/>
        <w:rPr>
          <w:sz w:val="20"/>
          <w:szCs w:val="20"/>
          <w:color w:val="auto"/>
        </w:rPr>
      </w:pPr>
      <w:r>
        <w:rPr>
          <w:rFonts w:ascii="Arial" w:cs="Arial" w:eastAsia="Arial" w:hAnsi="Arial"/>
          <w:sz w:val="18"/>
          <w:szCs w:val="18"/>
          <w:color w:val="auto"/>
        </w:rPr>
        <w:t>Upon a change in control approved by the Board of Directors, if we terminate an executive officer’s employment for cause or if the executive officer terminates his or her employment other than for good reason, then the executive officer will receive his or her full base salary and all other compensation through the date of termination at the rate in effect at the time that the termination notice is given and we will have no further obligations to the executive officer. When the employment of an executive officer terminates in a situation that does not involve a change in control, the officer is entitled to receive the same benefits as any other terminating employee. This applies regardless of the reason for termination.</w:t>
      </w:r>
    </w:p>
    <w:p>
      <w:pPr>
        <w:spacing w:after="0" w:line="136" w:lineRule="exact"/>
        <w:rPr>
          <w:sz w:val="20"/>
          <w:szCs w:val="20"/>
          <w:color w:val="auto"/>
        </w:rPr>
      </w:pPr>
    </w:p>
    <w:p>
      <w:pPr>
        <w:ind w:left="600" w:hanging="396"/>
        <w:spacing w:after="0"/>
        <w:tabs>
          <w:tab w:leader="none" w:pos="600" w:val="left"/>
        </w:tabs>
        <w:numPr>
          <w:ilvl w:val="0"/>
          <w:numId w:val="105"/>
        </w:numPr>
        <w:rPr>
          <w:rFonts w:ascii="Arial" w:cs="Arial" w:eastAsia="Arial" w:hAnsi="Arial"/>
          <w:sz w:val="18"/>
          <w:szCs w:val="18"/>
          <w:color w:val="999999"/>
        </w:rPr>
      </w:pPr>
      <w:r>
        <w:rPr>
          <w:rFonts w:ascii="Arial" w:cs="Arial" w:eastAsia="Arial" w:hAnsi="Arial"/>
          <w:sz w:val="14"/>
          <w:szCs w:val="14"/>
          <w:b w:val="1"/>
          <w:bCs w:val="1"/>
          <w:color w:val="052B82"/>
        </w:rPr>
        <w:t>Analog Devices, Inc.</w:t>
      </w:r>
    </w:p>
    <w:p>
      <w:pPr>
        <w:sectPr>
          <w:pgSz w:w="11900" w:h="16838" w:orient="portrait"/>
          <w:cols w:equalWidth="0" w:num="1">
            <w:col w:w="11200"/>
          </w:cols>
          <w:pgMar w:left="24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205740</wp:posOffset>
            </wp:positionV>
            <wp:extent cx="2649855" cy="1371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0" w:right="240" w:firstLine="441"/>
        <w:spacing w:after="0" w:line="237" w:lineRule="auto"/>
        <w:rPr>
          <w:sz w:val="20"/>
          <w:szCs w:val="20"/>
          <w:color w:val="auto"/>
        </w:rPr>
      </w:pPr>
      <w:r>
        <w:rPr>
          <w:rFonts w:ascii="Arial" w:cs="Arial" w:eastAsia="Arial" w:hAnsi="Arial"/>
          <w:sz w:val="18"/>
          <w:szCs w:val="18"/>
          <w:color w:val="auto"/>
        </w:rPr>
        <w:t>The following tables quantify the amounts that would be payable to the NEOs named in the Summary Compensation Table upon termination of their employment. The amounts shown assume that the terminations were effective on the last day of our fiscal year, or November 2, 2019. The tables do not include the accumulated benefit under our DCP that would be paid to our NEOs described above under “Non-Qualified Deferred Compensation Plan,” or any other employee benefits, except to the extent that the officer is entitled to an additional benefit as a result of the termination. In addition, the tables do not include the value of vested but unexercised stock options held by each executive as of November 2, 2019. The actual amounts that would be paid out would depend on which options were exercised and, therefore, can only be determined at the time of the executive officer’s termination of employment.</w:t>
      </w:r>
    </w:p>
    <w:p>
      <w:pPr>
        <w:spacing w:after="0" w:line="219"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4900" w:type="dxa"/>
            <w:vAlign w:val="bottom"/>
            <w:shd w:val="clear" w:color="auto" w:fill="052B82"/>
          </w:tcPr>
          <w:p>
            <w:pPr>
              <w:spacing w:after="0"/>
              <w:rPr>
                <w:sz w:val="14"/>
                <w:szCs w:val="14"/>
                <w:color w:val="auto"/>
              </w:rPr>
            </w:pPr>
          </w:p>
        </w:tc>
        <w:tc>
          <w:tcPr>
            <w:tcW w:w="320" w:type="dxa"/>
            <w:vAlign w:val="bottom"/>
            <w:shd w:val="clear" w:color="auto" w:fill="052B82"/>
          </w:tcPr>
          <w:p>
            <w:pPr>
              <w:spacing w:after="0"/>
              <w:rPr>
                <w:sz w:val="14"/>
                <w:szCs w:val="14"/>
                <w:color w:val="auto"/>
              </w:rPr>
            </w:pPr>
          </w:p>
        </w:tc>
        <w:tc>
          <w:tcPr>
            <w:tcW w:w="80" w:type="dxa"/>
            <w:vAlign w:val="bottom"/>
            <w:shd w:val="clear" w:color="auto" w:fill="052B82"/>
          </w:tcPr>
          <w:p>
            <w:pPr>
              <w:spacing w:after="0"/>
              <w:rPr>
                <w:sz w:val="14"/>
                <w:szCs w:val="14"/>
                <w:color w:val="auto"/>
              </w:rPr>
            </w:pPr>
          </w:p>
        </w:tc>
        <w:tc>
          <w:tcPr>
            <w:tcW w:w="720" w:type="dxa"/>
            <w:vAlign w:val="bottom"/>
            <w:shd w:val="clear" w:color="auto" w:fill="052B82"/>
          </w:tcPr>
          <w:p>
            <w:pPr>
              <w:spacing w:after="0"/>
              <w:rPr>
                <w:sz w:val="14"/>
                <w:szCs w:val="14"/>
                <w:color w:val="auto"/>
              </w:rPr>
            </w:pPr>
          </w:p>
        </w:tc>
        <w:tc>
          <w:tcPr>
            <w:tcW w:w="360" w:type="dxa"/>
            <w:vAlign w:val="bottom"/>
            <w:shd w:val="clear" w:color="auto" w:fill="052B82"/>
          </w:tcPr>
          <w:p>
            <w:pPr>
              <w:spacing w:after="0"/>
              <w:rPr>
                <w:sz w:val="14"/>
                <w:szCs w:val="14"/>
                <w:color w:val="auto"/>
              </w:rPr>
            </w:pPr>
          </w:p>
        </w:tc>
        <w:tc>
          <w:tcPr>
            <w:tcW w:w="80" w:type="dxa"/>
            <w:vAlign w:val="bottom"/>
            <w:shd w:val="clear" w:color="auto" w:fill="052B82"/>
          </w:tcPr>
          <w:p>
            <w:pPr>
              <w:spacing w:after="0"/>
              <w:rPr>
                <w:sz w:val="14"/>
                <w:szCs w:val="14"/>
                <w:color w:val="auto"/>
              </w:rPr>
            </w:pPr>
          </w:p>
        </w:tc>
        <w:tc>
          <w:tcPr>
            <w:tcW w:w="3300" w:type="dxa"/>
            <w:vAlign w:val="bottom"/>
            <w:gridSpan w:val="7"/>
            <w:shd w:val="clear" w:color="auto" w:fill="052B82"/>
          </w:tcPr>
          <w:p>
            <w:pPr>
              <w:jc w:val="center"/>
              <w:ind w:right="48"/>
              <w:spacing w:after="0"/>
              <w:rPr>
                <w:sz w:val="20"/>
                <w:szCs w:val="20"/>
                <w:color w:val="auto"/>
              </w:rPr>
            </w:pPr>
            <w:r>
              <w:rPr>
                <w:rFonts w:ascii="Arial" w:cs="Arial" w:eastAsia="Arial" w:hAnsi="Arial"/>
                <w:sz w:val="14"/>
                <w:szCs w:val="14"/>
                <w:b w:val="1"/>
                <w:bCs w:val="1"/>
                <w:color w:val="FFFFFF"/>
              </w:rPr>
              <w:t>Termination by us without Cause or by the</w:t>
            </w:r>
          </w:p>
        </w:tc>
        <w:tc>
          <w:tcPr>
            <w:tcW w:w="260" w:type="dxa"/>
            <w:vAlign w:val="bottom"/>
            <w:shd w:val="clear" w:color="auto" w:fill="052B82"/>
          </w:tcPr>
          <w:p>
            <w:pPr>
              <w:spacing w:after="0"/>
              <w:rPr>
                <w:sz w:val="14"/>
                <w:szCs w:val="14"/>
                <w:color w:val="auto"/>
              </w:rPr>
            </w:pPr>
          </w:p>
        </w:tc>
        <w:tc>
          <w:tcPr>
            <w:tcW w:w="120" w:type="dxa"/>
            <w:vAlign w:val="bottom"/>
            <w:shd w:val="clear" w:color="auto" w:fill="052B82"/>
          </w:tcPr>
          <w:p>
            <w:pPr>
              <w:spacing w:after="0"/>
              <w:rPr>
                <w:sz w:val="14"/>
                <w:szCs w:val="14"/>
                <w:color w:val="auto"/>
              </w:rPr>
            </w:pPr>
          </w:p>
        </w:tc>
        <w:tc>
          <w:tcPr>
            <w:tcW w:w="760" w:type="dxa"/>
            <w:vAlign w:val="bottom"/>
            <w:shd w:val="clear" w:color="auto" w:fill="052B82"/>
          </w:tcPr>
          <w:p>
            <w:pPr>
              <w:spacing w:after="0"/>
              <w:rPr>
                <w:sz w:val="14"/>
                <w:szCs w:val="14"/>
                <w:color w:val="auto"/>
              </w:rPr>
            </w:pPr>
          </w:p>
        </w:tc>
        <w:tc>
          <w:tcPr>
            <w:tcW w:w="120" w:type="dxa"/>
            <w:vAlign w:val="bottom"/>
            <w:shd w:val="clear" w:color="auto" w:fill="052B82"/>
          </w:tcPr>
          <w:p>
            <w:pPr>
              <w:spacing w:after="0"/>
              <w:rPr>
                <w:sz w:val="14"/>
                <w:szCs w:val="14"/>
                <w:color w:val="auto"/>
              </w:rPr>
            </w:pPr>
          </w:p>
        </w:tc>
      </w:tr>
      <w:tr>
        <w:trPr>
          <w:trHeight w:val="162"/>
        </w:trPr>
        <w:tc>
          <w:tcPr>
            <w:tcW w:w="4900" w:type="dxa"/>
            <w:vAlign w:val="bottom"/>
            <w:shd w:val="clear" w:color="auto" w:fill="052B82"/>
          </w:tcPr>
          <w:p>
            <w:pPr>
              <w:spacing w:after="0"/>
              <w:rPr>
                <w:sz w:val="14"/>
                <w:szCs w:val="14"/>
                <w:color w:val="auto"/>
              </w:rPr>
            </w:pPr>
          </w:p>
        </w:tc>
        <w:tc>
          <w:tcPr>
            <w:tcW w:w="320" w:type="dxa"/>
            <w:vAlign w:val="bottom"/>
            <w:shd w:val="clear" w:color="auto" w:fill="052B82"/>
          </w:tcPr>
          <w:p>
            <w:pPr>
              <w:spacing w:after="0"/>
              <w:rPr>
                <w:sz w:val="14"/>
                <w:szCs w:val="14"/>
                <w:color w:val="auto"/>
              </w:rPr>
            </w:pPr>
          </w:p>
        </w:tc>
        <w:tc>
          <w:tcPr>
            <w:tcW w:w="80" w:type="dxa"/>
            <w:vAlign w:val="bottom"/>
            <w:shd w:val="clear" w:color="auto" w:fill="052B82"/>
          </w:tcPr>
          <w:p>
            <w:pPr>
              <w:spacing w:after="0"/>
              <w:rPr>
                <w:sz w:val="14"/>
                <w:szCs w:val="14"/>
                <w:color w:val="auto"/>
              </w:rPr>
            </w:pPr>
          </w:p>
        </w:tc>
        <w:tc>
          <w:tcPr>
            <w:tcW w:w="720" w:type="dxa"/>
            <w:vAlign w:val="bottom"/>
            <w:shd w:val="clear" w:color="auto" w:fill="052B82"/>
          </w:tcPr>
          <w:p>
            <w:pPr>
              <w:spacing w:after="0"/>
              <w:rPr>
                <w:sz w:val="14"/>
                <w:szCs w:val="14"/>
                <w:color w:val="auto"/>
              </w:rPr>
            </w:pPr>
          </w:p>
        </w:tc>
        <w:tc>
          <w:tcPr>
            <w:tcW w:w="360" w:type="dxa"/>
            <w:vAlign w:val="bottom"/>
            <w:shd w:val="clear" w:color="auto" w:fill="052B82"/>
          </w:tcPr>
          <w:p>
            <w:pPr>
              <w:spacing w:after="0"/>
              <w:rPr>
                <w:sz w:val="14"/>
                <w:szCs w:val="14"/>
                <w:color w:val="auto"/>
              </w:rPr>
            </w:pPr>
          </w:p>
        </w:tc>
        <w:tc>
          <w:tcPr>
            <w:tcW w:w="80" w:type="dxa"/>
            <w:vAlign w:val="bottom"/>
            <w:shd w:val="clear" w:color="auto" w:fill="052B82"/>
          </w:tcPr>
          <w:p>
            <w:pPr>
              <w:spacing w:after="0"/>
              <w:rPr>
                <w:sz w:val="14"/>
                <w:szCs w:val="14"/>
                <w:color w:val="auto"/>
              </w:rPr>
            </w:pPr>
          </w:p>
        </w:tc>
        <w:tc>
          <w:tcPr>
            <w:tcW w:w="3300" w:type="dxa"/>
            <w:vAlign w:val="bottom"/>
            <w:gridSpan w:val="7"/>
            <w:shd w:val="clear" w:color="auto" w:fill="052B82"/>
          </w:tcPr>
          <w:p>
            <w:pPr>
              <w:jc w:val="center"/>
              <w:ind w:right="48"/>
              <w:spacing w:after="0"/>
              <w:rPr>
                <w:sz w:val="20"/>
                <w:szCs w:val="20"/>
                <w:color w:val="auto"/>
              </w:rPr>
            </w:pPr>
            <w:r>
              <w:rPr>
                <w:rFonts w:ascii="Arial" w:cs="Arial" w:eastAsia="Arial" w:hAnsi="Arial"/>
                <w:sz w:val="14"/>
                <w:szCs w:val="14"/>
                <w:b w:val="1"/>
                <w:bCs w:val="1"/>
                <w:color w:val="FFFFFF"/>
              </w:rPr>
              <w:t>Named Executive Officer with</w:t>
            </w:r>
          </w:p>
        </w:tc>
        <w:tc>
          <w:tcPr>
            <w:tcW w:w="260" w:type="dxa"/>
            <w:vAlign w:val="bottom"/>
            <w:shd w:val="clear" w:color="auto" w:fill="052B82"/>
          </w:tcPr>
          <w:p>
            <w:pPr>
              <w:spacing w:after="0"/>
              <w:rPr>
                <w:sz w:val="14"/>
                <w:szCs w:val="14"/>
                <w:color w:val="auto"/>
              </w:rPr>
            </w:pPr>
          </w:p>
        </w:tc>
        <w:tc>
          <w:tcPr>
            <w:tcW w:w="120" w:type="dxa"/>
            <w:vAlign w:val="bottom"/>
            <w:shd w:val="clear" w:color="auto" w:fill="052B82"/>
          </w:tcPr>
          <w:p>
            <w:pPr>
              <w:spacing w:after="0"/>
              <w:rPr>
                <w:sz w:val="14"/>
                <w:szCs w:val="14"/>
                <w:color w:val="auto"/>
              </w:rPr>
            </w:pPr>
          </w:p>
        </w:tc>
        <w:tc>
          <w:tcPr>
            <w:tcW w:w="760" w:type="dxa"/>
            <w:vAlign w:val="bottom"/>
            <w:shd w:val="clear" w:color="auto" w:fill="052B82"/>
          </w:tcPr>
          <w:p>
            <w:pPr>
              <w:spacing w:after="0"/>
              <w:rPr>
                <w:sz w:val="14"/>
                <w:szCs w:val="14"/>
                <w:color w:val="auto"/>
              </w:rPr>
            </w:pPr>
          </w:p>
        </w:tc>
        <w:tc>
          <w:tcPr>
            <w:tcW w:w="120" w:type="dxa"/>
            <w:vAlign w:val="bottom"/>
            <w:shd w:val="clear" w:color="auto" w:fill="052B82"/>
          </w:tcPr>
          <w:p>
            <w:pPr>
              <w:spacing w:after="0"/>
              <w:rPr>
                <w:sz w:val="14"/>
                <w:szCs w:val="14"/>
                <w:color w:val="auto"/>
              </w:rPr>
            </w:pPr>
          </w:p>
        </w:tc>
      </w:tr>
      <w:tr>
        <w:trPr>
          <w:trHeight w:val="182"/>
        </w:trPr>
        <w:tc>
          <w:tcPr>
            <w:tcW w:w="4900" w:type="dxa"/>
            <w:vAlign w:val="bottom"/>
            <w:shd w:val="clear" w:color="auto" w:fill="052B82"/>
          </w:tcPr>
          <w:p>
            <w:pPr>
              <w:spacing w:after="0"/>
              <w:rPr>
                <w:sz w:val="15"/>
                <w:szCs w:val="15"/>
                <w:color w:val="auto"/>
              </w:rPr>
            </w:pPr>
          </w:p>
        </w:tc>
        <w:tc>
          <w:tcPr>
            <w:tcW w:w="320" w:type="dxa"/>
            <w:vAlign w:val="bottom"/>
            <w:shd w:val="clear" w:color="auto" w:fill="052B82"/>
          </w:tcPr>
          <w:p>
            <w:pPr>
              <w:spacing w:after="0"/>
              <w:rPr>
                <w:sz w:val="15"/>
                <w:szCs w:val="15"/>
                <w:color w:val="auto"/>
              </w:rPr>
            </w:pPr>
          </w:p>
        </w:tc>
        <w:tc>
          <w:tcPr>
            <w:tcW w:w="80" w:type="dxa"/>
            <w:vAlign w:val="bottom"/>
            <w:shd w:val="clear" w:color="auto" w:fill="052B82"/>
          </w:tcPr>
          <w:p>
            <w:pPr>
              <w:spacing w:after="0"/>
              <w:rPr>
                <w:sz w:val="15"/>
                <w:szCs w:val="15"/>
                <w:color w:val="auto"/>
              </w:rPr>
            </w:pPr>
          </w:p>
        </w:tc>
        <w:tc>
          <w:tcPr>
            <w:tcW w:w="720" w:type="dxa"/>
            <w:vAlign w:val="bottom"/>
            <w:shd w:val="clear" w:color="auto" w:fill="052B82"/>
          </w:tcPr>
          <w:p>
            <w:pPr>
              <w:spacing w:after="0"/>
              <w:rPr>
                <w:sz w:val="15"/>
                <w:szCs w:val="15"/>
                <w:color w:val="auto"/>
              </w:rPr>
            </w:pPr>
          </w:p>
        </w:tc>
        <w:tc>
          <w:tcPr>
            <w:tcW w:w="360" w:type="dxa"/>
            <w:vAlign w:val="bottom"/>
            <w:shd w:val="clear" w:color="auto" w:fill="052B82"/>
          </w:tcPr>
          <w:p>
            <w:pPr>
              <w:spacing w:after="0"/>
              <w:rPr>
                <w:sz w:val="15"/>
                <w:szCs w:val="15"/>
                <w:color w:val="auto"/>
              </w:rPr>
            </w:pPr>
          </w:p>
        </w:tc>
        <w:tc>
          <w:tcPr>
            <w:tcW w:w="80" w:type="dxa"/>
            <w:vAlign w:val="bottom"/>
            <w:shd w:val="clear" w:color="auto" w:fill="052B82"/>
          </w:tcPr>
          <w:p>
            <w:pPr>
              <w:spacing w:after="0"/>
              <w:rPr>
                <w:sz w:val="15"/>
                <w:szCs w:val="15"/>
                <w:color w:val="auto"/>
              </w:rPr>
            </w:pPr>
          </w:p>
        </w:tc>
        <w:tc>
          <w:tcPr>
            <w:tcW w:w="3300" w:type="dxa"/>
            <w:vAlign w:val="bottom"/>
            <w:gridSpan w:val="7"/>
            <w:shd w:val="clear" w:color="auto" w:fill="052B82"/>
          </w:tcPr>
          <w:p>
            <w:pPr>
              <w:jc w:val="center"/>
              <w:ind w:right="48"/>
              <w:spacing w:after="0"/>
              <w:rPr>
                <w:sz w:val="20"/>
                <w:szCs w:val="20"/>
                <w:color w:val="auto"/>
              </w:rPr>
            </w:pPr>
            <w:r>
              <w:rPr>
                <w:rFonts w:ascii="Arial" w:cs="Arial" w:eastAsia="Arial" w:hAnsi="Arial"/>
                <w:sz w:val="14"/>
                <w:szCs w:val="14"/>
                <w:b w:val="1"/>
                <w:bCs w:val="1"/>
                <w:color w:val="FFFFFF"/>
              </w:rPr>
              <w:t>Good Reason Following a Change in Control</w:t>
            </w:r>
          </w:p>
        </w:tc>
        <w:tc>
          <w:tcPr>
            <w:tcW w:w="260" w:type="dxa"/>
            <w:vAlign w:val="bottom"/>
            <w:shd w:val="clear" w:color="auto" w:fill="052B82"/>
          </w:tcPr>
          <w:p>
            <w:pPr>
              <w:spacing w:after="0"/>
              <w:rPr>
                <w:sz w:val="15"/>
                <w:szCs w:val="15"/>
                <w:color w:val="auto"/>
              </w:rPr>
            </w:pPr>
          </w:p>
        </w:tc>
        <w:tc>
          <w:tcPr>
            <w:tcW w:w="120" w:type="dxa"/>
            <w:vAlign w:val="bottom"/>
            <w:shd w:val="clear" w:color="auto" w:fill="052B82"/>
          </w:tcPr>
          <w:p>
            <w:pPr>
              <w:spacing w:after="0"/>
              <w:rPr>
                <w:sz w:val="15"/>
                <w:szCs w:val="15"/>
                <w:color w:val="auto"/>
              </w:rPr>
            </w:pPr>
          </w:p>
        </w:tc>
        <w:tc>
          <w:tcPr>
            <w:tcW w:w="760" w:type="dxa"/>
            <w:vAlign w:val="bottom"/>
            <w:shd w:val="clear" w:color="auto" w:fill="052B82"/>
          </w:tcPr>
          <w:p>
            <w:pPr>
              <w:spacing w:after="0"/>
              <w:rPr>
                <w:sz w:val="15"/>
                <w:szCs w:val="15"/>
                <w:color w:val="auto"/>
              </w:rPr>
            </w:pPr>
          </w:p>
        </w:tc>
        <w:tc>
          <w:tcPr>
            <w:tcW w:w="120" w:type="dxa"/>
            <w:vAlign w:val="bottom"/>
            <w:shd w:val="clear" w:color="auto" w:fill="052B82"/>
          </w:tcPr>
          <w:p>
            <w:pPr>
              <w:spacing w:after="0"/>
              <w:rPr>
                <w:sz w:val="15"/>
                <w:szCs w:val="15"/>
                <w:color w:val="auto"/>
              </w:rPr>
            </w:pPr>
          </w:p>
        </w:tc>
      </w:tr>
      <w:tr>
        <w:trPr>
          <w:trHeight w:val="156"/>
        </w:trPr>
        <w:tc>
          <w:tcPr>
            <w:tcW w:w="4900" w:type="dxa"/>
            <w:vAlign w:val="bottom"/>
            <w:shd w:val="clear" w:color="auto" w:fill="052B82"/>
          </w:tcPr>
          <w:p>
            <w:pPr>
              <w:spacing w:after="0"/>
              <w:rPr>
                <w:sz w:val="13"/>
                <w:szCs w:val="13"/>
                <w:color w:val="auto"/>
              </w:rPr>
            </w:pPr>
          </w:p>
        </w:tc>
        <w:tc>
          <w:tcPr>
            <w:tcW w:w="320" w:type="dxa"/>
            <w:vAlign w:val="bottom"/>
            <w:shd w:val="clear" w:color="auto" w:fill="052B82"/>
          </w:tcPr>
          <w:p>
            <w:pPr>
              <w:spacing w:after="0"/>
              <w:rPr>
                <w:sz w:val="13"/>
                <w:szCs w:val="13"/>
                <w:color w:val="auto"/>
              </w:rPr>
            </w:pPr>
          </w:p>
        </w:tc>
        <w:tc>
          <w:tcPr>
            <w:tcW w:w="80" w:type="dxa"/>
            <w:vAlign w:val="bottom"/>
            <w:shd w:val="clear" w:color="auto" w:fill="052B82"/>
          </w:tcPr>
          <w:p>
            <w:pPr>
              <w:spacing w:after="0"/>
              <w:rPr>
                <w:sz w:val="13"/>
                <w:szCs w:val="13"/>
                <w:color w:val="auto"/>
              </w:rPr>
            </w:pPr>
          </w:p>
        </w:tc>
        <w:tc>
          <w:tcPr>
            <w:tcW w:w="720" w:type="dxa"/>
            <w:vAlign w:val="bottom"/>
            <w:shd w:val="clear" w:color="auto" w:fill="052B82"/>
          </w:tcPr>
          <w:p>
            <w:pPr>
              <w:jc w:val="right"/>
              <w:ind w:right="68"/>
              <w:spacing w:after="0" w:line="155" w:lineRule="exact"/>
              <w:rPr>
                <w:sz w:val="20"/>
                <w:szCs w:val="20"/>
                <w:color w:val="auto"/>
              </w:rPr>
            </w:pPr>
            <w:r>
              <w:rPr>
                <w:rFonts w:ascii="Arial" w:cs="Arial" w:eastAsia="Arial" w:hAnsi="Arial"/>
                <w:sz w:val="14"/>
                <w:szCs w:val="14"/>
                <w:b w:val="1"/>
                <w:bCs w:val="1"/>
                <w:color w:val="FFFFFF"/>
              </w:rPr>
              <w:t>Vincent</w:t>
            </w:r>
          </w:p>
        </w:tc>
        <w:tc>
          <w:tcPr>
            <w:tcW w:w="360" w:type="dxa"/>
            <w:vAlign w:val="bottom"/>
            <w:shd w:val="clear" w:color="auto" w:fill="052B82"/>
          </w:tcPr>
          <w:p>
            <w:pPr>
              <w:spacing w:after="0"/>
              <w:rPr>
                <w:sz w:val="13"/>
                <w:szCs w:val="13"/>
                <w:color w:val="auto"/>
              </w:rPr>
            </w:pPr>
          </w:p>
        </w:tc>
        <w:tc>
          <w:tcPr>
            <w:tcW w:w="80" w:type="dxa"/>
            <w:vAlign w:val="bottom"/>
            <w:shd w:val="clear" w:color="auto" w:fill="052B82"/>
          </w:tcPr>
          <w:p>
            <w:pPr>
              <w:spacing w:after="0"/>
              <w:rPr>
                <w:sz w:val="13"/>
                <w:szCs w:val="13"/>
                <w:color w:val="auto"/>
              </w:rPr>
            </w:pPr>
          </w:p>
        </w:tc>
        <w:tc>
          <w:tcPr>
            <w:tcW w:w="800" w:type="dxa"/>
            <w:vAlign w:val="bottom"/>
            <w:shd w:val="clear" w:color="auto" w:fill="052B82"/>
          </w:tcPr>
          <w:p>
            <w:pPr>
              <w:jc w:val="right"/>
              <w:ind w:right="28"/>
              <w:spacing w:after="0" w:line="155" w:lineRule="exact"/>
              <w:rPr>
                <w:sz w:val="20"/>
                <w:szCs w:val="20"/>
                <w:color w:val="auto"/>
              </w:rPr>
            </w:pPr>
            <w:r>
              <w:rPr>
                <w:rFonts w:ascii="Arial" w:cs="Arial" w:eastAsia="Arial" w:hAnsi="Arial"/>
                <w:sz w:val="14"/>
                <w:szCs w:val="14"/>
                <w:b w:val="1"/>
                <w:bCs w:val="1"/>
                <w:color w:val="FFFFFF"/>
                <w:w w:val="99"/>
              </w:rPr>
              <w:t>Prashanth</w:t>
            </w:r>
          </w:p>
        </w:tc>
        <w:tc>
          <w:tcPr>
            <w:tcW w:w="360" w:type="dxa"/>
            <w:vAlign w:val="bottom"/>
            <w:shd w:val="clear" w:color="auto" w:fill="052B82"/>
          </w:tcPr>
          <w:p>
            <w:pPr>
              <w:spacing w:after="0"/>
              <w:rPr>
                <w:sz w:val="13"/>
                <w:szCs w:val="13"/>
                <w:color w:val="auto"/>
              </w:rPr>
            </w:pPr>
          </w:p>
        </w:tc>
        <w:tc>
          <w:tcPr>
            <w:tcW w:w="140" w:type="dxa"/>
            <w:vAlign w:val="bottom"/>
            <w:shd w:val="clear" w:color="auto" w:fill="052B82"/>
          </w:tcPr>
          <w:p>
            <w:pPr>
              <w:spacing w:after="0"/>
              <w:rPr>
                <w:sz w:val="13"/>
                <w:szCs w:val="13"/>
                <w:color w:val="auto"/>
              </w:rPr>
            </w:pPr>
          </w:p>
        </w:tc>
        <w:tc>
          <w:tcPr>
            <w:tcW w:w="760" w:type="dxa"/>
            <w:vAlign w:val="bottom"/>
            <w:shd w:val="clear" w:color="auto" w:fill="052B82"/>
          </w:tcPr>
          <w:p>
            <w:pPr>
              <w:spacing w:after="0"/>
              <w:rPr>
                <w:sz w:val="13"/>
                <w:szCs w:val="13"/>
                <w:color w:val="auto"/>
              </w:rPr>
            </w:pPr>
          </w:p>
        </w:tc>
        <w:tc>
          <w:tcPr>
            <w:tcW w:w="340" w:type="dxa"/>
            <w:vAlign w:val="bottom"/>
            <w:shd w:val="clear" w:color="auto" w:fill="052B82"/>
          </w:tcPr>
          <w:p>
            <w:pPr>
              <w:spacing w:after="0"/>
              <w:rPr>
                <w:sz w:val="13"/>
                <w:szCs w:val="13"/>
                <w:color w:val="auto"/>
              </w:rPr>
            </w:pPr>
          </w:p>
        </w:tc>
        <w:tc>
          <w:tcPr>
            <w:tcW w:w="120" w:type="dxa"/>
            <w:vAlign w:val="bottom"/>
            <w:shd w:val="clear" w:color="auto" w:fill="052B82"/>
          </w:tcPr>
          <w:p>
            <w:pPr>
              <w:spacing w:after="0"/>
              <w:rPr>
                <w:sz w:val="13"/>
                <w:szCs w:val="13"/>
                <w:color w:val="auto"/>
              </w:rPr>
            </w:pPr>
          </w:p>
        </w:tc>
        <w:tc>
          <w:tcPr>
            <w:tcW w:w="780" w:type="dxa"/>
            <w:vAlign w:val="bottom"/>
            <w:shd w:val="clear" w:color="auto" w:fill="052B82"/>
          </w:tcPr>
          <w:p>
            <w:pPr>
              <w:spacing w:after="0"/>
              <w:rPr>
                <w:sz w:val="13"/>
                <w:szCs w:val="13"/>
                <w:color w:val="auto"/>
              </w:rPr>
            </w:pPr>
          </w:p>
        </w:tc>
        <w:tc>
          <w:tcPr>
            <w:tcW w:w="260" w:type="dxa"/>
            <w:vAlign w:val="bottom"/>
            <w:shd w:val="clear" w:color="auto" w:fill="052B82"/>
          </w:tcPr>
          <w:p>
            <w:pPr>
              <w:spacing w:after="0"/>
              <w:rPr>
                <w:sz w:val="13"/>
                <w:szCs w:val="13"/>
                <w:color w:val="auto"/>
              </w:rPr>
            </w:pPr>
          </w:p>
        </w:tc>
        <w:tc>
          <w:tcPr>
            <w:tcW w:w="120" w:type="dxa"/>
            <w:vAlign w:val="bottom"/>
            <w:shd w:val="clear" w:color="auto" w:fill="052B82"/>
          </w:tcPr>
          <w:p>
            <w:pPr>
              <w:spacing w:after="0"/>
              <w:rPr>
                <w:sz w:val="13"/>
                <w:szCs w:val="13"/>
                <w:color w:val="auto"/>
              </w:rPr>
            </w:pPr>
          </w:p>
        </w:tc>
        <w:tc>
          <w:tcPr>
            <w:tcW w:w="760" w:type="dxa"/>
            <w:vAlign w:val="bottom"/>
            <w:shd w:val="clear" w:color="auto" w:fill="052B82"/>
          </w:tcPr>
          <w:p>
            <w:pPr>
              <w:spacing w:after="0"/>
              <w:rPr>
                <w:sz w:val="13"/>
                <w:szCs w:val="13"/>
                <w:color w:val="auto"/>
              </w:rPr>
            </w:pPr>
          </w:p>
        </w:tc>
        <w:tc>
          <w:tcPr>
            <w:tcW w:w="120" w:type="dxa"/>
            <w:vAlign w:val="bottom"/>
            <w:shd w:val="clear" w:color="auto" w:fill="052B82"/>
          </w:tcPr>
          <w:p>
            <w:pPr>
              <w:spacing w:after="0"/>
              <w:rPr>
                <w:sz w:val="13"/>
                <w:szCs w:val="13"/>
                <w:color w:val="auto"/>
              </w:rPr>
            </w:pPr>
          </w:p>
        </w:tc>
      </w:tr>
      <w:tr>
        <w:trPr>
          <w:trHeight w:val="162"/>
        </w:trPr>
        <w:tc>
          <w:tcPr>
            <w:tcW w:w="4900" w:type="dxa"/>
            <w:vAlign w:val="bottom"/>
            <w:shd w:val="clear" w:color="auto" w:fill="052B82"/>
          </w:tcPr>
          <w:p>
            <w:pPr>
              <w:spacing w:after="0"/>
              <w:rPr>
                <w:sz w:val="14"/>
                <w:szCs w:val="14"/>
                <w:color w:val="auto"/>
              </w:rPr>
            </w:pPr>
          </w:p>
        </w:tc>
        <w:tc>
          <w:tcPr>
            <w:tcW w:w="320" w:type="dxa"/>
            <w:vAlign w:val="bottom"/>
            <w:shd w:val="clear" w:color="auto" w:fill="052B82"/>
          </w:tcPr>
          <w:p>
            <w:pPr>
              <w:spacing w:after="0"/>
              <w:rPr>
                <w:sz w:val="14"/>
                <w:szCs w:val="14"/>
                <w:color w:val="auto"/>
              </w:rPr>
            </w:pPr>
          </w:p>
        </w:tc>
        <w:tc>
          <w:tcPr>
            <w:tcW w:w="80" w:type="dxa"/>
            <w:vAlign w:val="bottom"/>
            <w:shd w:val="clear" w:color="auto" w:fill="052B82"/>
          </w:tcPr>
          <w:p>
            <w:pPr>
              <w:spacing w:after="0"/>
              <w:rPr>
                <w:sz w:val="14"/>
                <w:szCs w:val="14"/>
                <w:color w:val="auto"/>
              </w:rPr>
            </w:pPr>
          </w:p>
        </w:tc>
        <w:tc>
          <w:tcPr>
            <w:tcW w:w="720" w:type="dxa"/>
            <w:vAlign w:val="bottom"/>
            <w:shd w:val="clear" w:color="auto" w:fill="052B82"/>
          </w:tcPr>
          <w:p>
            <w:pPr>
              <w:jc w:val="right"/>
              <w:ind w:right="108"/>
              <w:spacing w:after="0"/>
              <w:rPr>
                <w:sz w:val="20"/>
                <w:szCs w:val="20"/>
                <w:color w:val="auto"/>
              </w:rPr>
            </w:pPr>
            <w:r>
              <w:rPr>
                <w:rFonts w:ascii="Arial" w:cs="Arial" w:eastAsia="Arial" w:hAnsi="Arial"/>
                <w:sz w:val="14"/>
                <w:szCs w:val="14"/>
                <w:b w:val="1"/>
                <w:bCs w:val="1"/>
                <w:color w:val="FFFFFF"/>
              </w:rPr>
              <w:t>Roche</w:t>
            </w:r>
          </w:p>
        </w:tc>
        <w:tc>
          <w:tcPr>
            <w:tcW w:w="360" w:type="dxa"/>
            <w:vAlign w:val="bottom"/>
            <w:shd w:val="clear" w:color="auto" w:fill="052B82"/>
          </w:tcPr>
          <w:p>
            <w:pPr>
              <w:spacing w:after="0"/>
              <w:rPr>
                <w:sz w:val="14"/>
                <w:szCs w:val="14"/>
                <w:color w:val="auto"/>
              </w:rPr>
            </w:pPr>
          </w:p>
        </w:tc>
        <w:tc>
          <w:tcPr>
            <w:tcW w:w="80" w:type="dxa"/>
            <w:vAlign w:val="bottom"/>
            <w:shd w:val="clear" w:color="auto" w:fill="052B82"/>
          </w:tcPr>
          <w:p>
            <w:pPr>
              <w:spacing w:after="0"/>
              <w:rPr>
                <w:sz w:val="14"/>
                <w:szCs w:val="14"/>
                <w:color w:val="auto"/>
              </w:rPr>
            </w:pPr>
          </w:p>
        </w:tc>
        <w:tc>
          <w:tcPr>
            <w:tcW w:w="800" w:type="dxa"/>
            <w:vAlign w:val="bottom"/>
            <w:shd w:val="clear" w:color="auto" w:fill="052B82"/>
          </w:tcPr>
          <w:p>
            <w:pPr>
              <w:jc w:val="right"/>
              <w:ind w:right="8"/>
              <w:spacing w:after="0"/>
              <w:rPr>
                <w:sz w:val="20"/>
                <w:szCs w:val="20"/>
                <w:color w:val="auto"/>
              </w:rPr>
            </w:pPr>
            <w:r>
              <w:rPr>
                <w:rFonts w:ascii="Arial" w:cs="Arial" w:eastAsia="Arial" w:hAnsi="Arial"/>
                <w:sz w:val="14"/>
                <w:szCs w:val="14"/>
                <w:b w:val="1"/>
                <w:bCs w:val="1"/>
                <w:color w:val="FFFFFF"/>
                <w:w w:val="98"/>
              </w:rPr>
              <w:t>Mahendra-</w:t>
            </w:r>
          </w:p>
        </w:tc>
        <w:tc>
          <w:tcPr>
            <w:tcW w:w="360" w:type="dxa"/>
            <w:vAlign w:val="bottom"/>
            <w:shd w:val="clear" w:color="auto" w:fill="052B82"/>
          </w:tcPr>
          <w:p>
            <w:pPr>
              <w:spacing w:after="0"/>
              <w:rPr>
                <w:sz w:val="14"/>
                <w:szCs w:val="14"/>
                <w:color w:val="auto"/>
              </w:rPr>
            </w:pPr>
          </w:p>
        </w:tc>
        <w:tc>
          <w:tcPr>
            <w:tcW w:w="140" w:type="dxa"/>
            <w:vAlign w:val="bottom"/>
            <w:shd w:val="clear" w:color="auto" w:fill="052B82"/>
          </w:tcPr>
          <w:p>
            <w:pPr>
              <w:spacing w:after="0"/>
              <w:rPr>
                <w:sz w:val="14"/>
                <w:szCs w:val="14"/>
                <w:color w:val="auto"/>
              </w:rPr>
            </w:pPr>
          </w:p>
        </w:tc>
        <w:tc>
          <w:tcPr>
            <w:tcW w:w="760" w:type="dxa"/>
            <w:vAlign w:val="bottom"/>
            <w:shd w:val="clear" w:color="auto" w:fill="052B82"/>
          </w:tcPr>
          <w:p>
            <w:pPr>
              <w:jc w:val="center"/>
              <w:ind w:right="88"/>
              <w:spacing w:after="0"/>
              <w:rPr>
                <w:sz w:val="20"/>
                <w:szCs w:val="20"/>
                <w:color w:val="auto"/>
              </w:rPr>
            </w:pPr>
            <w:r>
              <w:rPr>
                <w:rFonts w:ascii="Arial" w:cs="Arial" w:eastAsia="Arial" w:hAnsi="Arial"/>
                <w:sz w:val="14"/>
                <w:szCs w:val="14"/>
                <w:b w:val="1"/>
                <w:bCs w:val="1"/>
                <w:color w:val="FFFFFF"/>
              </w:rPr>
              <w:t>Martin</w:t>
            </w:r>
          </w:p>
        </w:tc>
        <w:tc>
          <w:tcPr>
            <w:tcW w:w="340" w:type="dxa"/>
            <w:vAlign w:val="bottom"/>
            <w:shd w:val="clear" w:color="auto" w:fill="052B82"/>
          </w:tcPr>
          <w:p>
            <w:pPr>
              <w:spacing w:after="0"/>
              <w:rPr>
                <w:sz w:val="14"/>
                <w:szCs w:val="14"/>
                <w:color w:val="auto"/>
              </w:rPr>
            </w:pPr>
          </w:p>
        </w:tc>
        <w:tc>
          <w:tcPr>
            <w:tcW w:w="120" w:type="dxa"/>
            <w:vAlign w:val="bottom"/>
            <w:shd w:val="clear" w:color="auto" w:fill="052B82"/>
          </w:tcPr>
          <w:p>
            <w:pPr>
              <w:spacing w:after="0"/>
              <w:rPr>
                <w:sz w:val="14"/>
                <w:szCs w:val="14"/>
                <w:color w:val="auto"/>
              </w:rPr>
            </w:pPr>
          </w:p>
        </w:tc>
        <w:tc>
          <w:tcPr>
            <w:tcW w:w="780" w:type="dxa"/>
            <w:vAlign w:val="bottom"/>
            <w:shd w:val="clear" w:color="auto" w:fill="052B82"/>
          </w:tcPr>
          <w:p>
            <w:pPr>
              <w:jc w:val="right"/>
              <w:ind w:right="208"/>
              <w:spacing w:after="0"/>
              <w:rPr>
                <w:sz w:val="20"/>
                <w:szCs w:val="20"/>
                <w:color w:val="auto"/>
              </w:rPr>
            </w:pPr>
            <w:r>
              <w:rPr>
                <w:rFonts w:ascii="Arial" w:cs="Arial" w:eastAsia="Arial" w:hAnsi="Arial"/>
                <w:sz w:val="14"/>
                <w:szCs w:val="14"/>
                <w:b w:val="1"/>
                <w:bCs w:val="1"/>
                <w:color w:val="FFFFFF"/>
              </w:rPr>
              <w:t>John</w:t>
            </w:r>
          </w:p>
        </w:tc>
        <w:tc>
          <w:tcPr>
            <w:tcW w:w="260" w:type="dxa"/>
            <w:vAlign w:val="bottom"/>
            <w:shd w:val="clear" w:color="auto" w:fill="052B82"/>
          </w:tcPr>
          <w:p>
            <w:pPr>
              <w:spacing w:after="0"/>
              <w:rPr>
                <w:sz w:val="14"/>
                <w:szCs w:val="14"/>
                <w:color w:val="auto"/>
              </w:rPr>
            </w:pPr>
          </w:p>
        </w:tc>
        <w:tc>
          <w:tcPr>
            <w:tcW w:w="120" w:type="dxa"/>
            <w:vAlign w:val="bottom"/>
            <w:shd w:val="clear" w:color="auto" w:fill="052B82"/>
          </w:tcPr>
          <w:p>
            <w:pPr>
              <w:spacing w:after="0"/>
              <w:rPr>
                <w:sz w:val="14"/>
                <w:szCs w:val="14"/>
                <w:color w:val="auto"/>
              </w:rPr>
            </w:pPr>
          </w:p>
        </w:tc>
        <w:tc>
          <w:tcPr>
            <w:tcW w:w="880" w:type="dxa"/>
            <w:vAlign w:val="bottom"/>
            <w:gridSpan w:val="2"/>
            <w:shd w:val="clear" w:color="auto" w:fill="052B82"/>
          </w:tcPr>
          <w:p>
            <w:pPr>
              <w:jc w:val="center"/>
              <w:ind w:right="260"/>
              <w:spacing w:after="0"/>
              <w:rPr>
                <w:sz w:val="20"/>
                <w:szCs w:val="20"/>
                <w:color w:val="auto"/>
              </w:rPr>
            </w:pPr>
            <w:r>
              <w:rPr>
                <w:rFonts w:ascii="Arial" w:cs="Arial" w:eastAsia="Arial" w:hAnsi="Arial"/>
                <w:sz w:val="14"/>
                <w:szCs w:val="14"/>
                <w:b w:val="1"/>
                <w:bCs w:val="1"/>
                <w:color w:val="FFFFFF"/>
              </w:rPr>
              <w:t>Steve</w:t>
            </w:r>
          </w:p>
        </w:tc>
      </w:tr>
      <w:tr>
        <w:trPr>
          <w:trHeight w:val="162"/>
        </w:trPr>
        <w:tc>
          <w:tcPr>
            <w:tcW w:w="4900" w:type="dxa"/>
            <w:vAlign w:val="bottom"/>
            <w:shd w:val="clear" w:color="auto" w:fill="052B82"/>
          </w:tcPr>
          <w:p>
            <w:pPr>
              <w:spacing w:after="0"/>
              <w:rPr>
                <w:sz w:val="14"/>
                <w:szCs w:val="14"/>
                <w:color w:val="auto"/>
              </w:rPr>
            </w:pPr>
          </w:p>
        </w:tc>
        <w:tc>
          <w:tcPr>
            <w:tcW w:w="1120" w:type="dxa"/>
            <w:vAlign w:val="bottom"/>
            <w:gridSpan w:val="3"/>
            <w:shd w:val="clear" w:color="auto" w:fill="052B82"/>
          </w:tcPr>
          <w:p>
            <w:pPr>
              <w:jc w:val="right"/>
              <w:spacing w:after="0"/>
              <w:rPr>
                <w:sz w:val="20"/>
                <w:szCs w:val="20"/>
                <w:color w:val="auto"/>
              </w:rPr>
            </w:pPr>
            <w:r>
              <w:rPr>
                <w:rFonts w:ascii="Arial" w:cs="Arial" w:eastAsia="Arial" w:hAnsi="Arial"/>
                <w:sz w:val="14"/>
                <w:szCs w:val="14"/>
                <w:b w:val="1"/>
                <w:bCs w:val="1"/>
                <w:color w:val="FFFFFF"/>
              </w:rPr>
              <w:t>(1)(2)(3)(4)</w:t>
            </w:r>
          </w:p>
        </w:tc>
        <w:tc>
          <w:tcPr>
            <w:tcW w:w="360" w:type="dxa"/>
            <w:vAlign w:val="bottom"/>
            <w:shd w:val="clear" w:color="auto" w:fill="052B82"/>
          </w:tcPr>
          <w:p>
            <w:pPr>
              <w:spacing w:after="0"/>
              <w:rPr>
                <w:sz w:val="14"/>
                <w:szCs w:val="14"/>
                <w:color w:val="auto"/>
              </w:rPr>
            </w:pPr>
          </w:p>
        </w:tc>
        <w:tc>
          <w:tcPr>
            <w:tcW w:w="80" w:type="dxa"/>
            <w:vAlign w:val="bottom"/>
            <w:shd w:val="clear" w:color="auto" w:fill="052B82"/>
          </w:tcPr>
          <w:p>
            <w:pPr>
              <w:spacing w:after="0"/>
              <w:rPr>
                <w:sz w:val="14"/>
                <w:szCs w:val="14"/>
                <w:color w:val="auto"/>
              </w:rPr>
            </w:pPr>
          </w:p>
        </w:tc>
        <w:tc>
          <w:tcPr>
            <w:tcW w:w="800" w:type="dxa"/>
            <w:vAlign w:val="bottom"/>
            <w:shd w:val="clear" w:color="auto" w:fill="052B82"/>
          </w:tcPr>
          <w:p>
            <w:pPr>
              <w:jc w:val="right"/>
              <w:ind w:right="168"/>
              <w:spacing w:after="0"/>
              <w:rPr>
                <w:sz w:val="20"/>
                <w:szCs w:val="20"/>
                <w:color w:val="auto"/>
              </w:rPr>
            </w:pPr>
            <w:r>
              <w:rPr>
                <w:rFonts w:ascii="Arial" w:cs="Arial" w:eastAsia="Arial" w:hAnsi="Arial"/>
                <w:sz w:val="14"/>
                <w:szCs w:val="14"/>
                <w:b w:val="1"/>
                <w:bCs w:val="1"/>
                <w:color w:val="FFFFFF"/>
              </w:rPr>
              <w:t>Rajah</w:t>
            </w:r>
          </w:p>
        </w:tc>
        <w:tc>
          <w:tcPr>
            <w:tcW w:w="360" w:type="dxa"/>
            <w:vAlign w:val="bottom"/>
            <w:shd w:val="clear" w:color="auto" w:fill="052B82"/>
          </w:tcPr>
          <w:p>
            <w:pPr>
              <w:spacing w:after="0"/>
              <w:rPr>
                <w:sz w:val="14"/>
                <w:szCs w:val="14"/>
                <w:color w:val="auto"/>
              </w:rPr>
            </w:pPr>
          </w:p>
        </w:tc>
        <w:tc>
          <w:tcPr>
            <w:tcW w:w="140" w:type="dxa"/>
            <w:vAlign w:val="bottom"/>
            <w:shd w:val="clear" w:color="auto" w:fill="052B82"/>
          </w:tcPr>
          <w:p>
            <w:pPr>
              <w:spacing w:after="0"/>
              <w:rPr>
                <w:sz w:val="14"/>
                <w:szCs w:val="14"/>
                <w:color w:val="auto"/>
              </w:rPr>
            </w:pPr>
          </w:p>
        </w:tc>
        <w:tc>
          <w:tcPr>
            <w:tcW w:w="760" w:type="dxa"/>
            <w:vAlign w:val="bottom"/>
            <w:shd w:val="clear" w:color="auto" w:fill="052B82"/>
          </w:tcPr>
          <w:p>
            <w:pPr>
              <w:jc w:val="center"/>
              <w:ind w:right="88"/>
              <w:spacing w:after="0"/>
              <w:rPr>
                <w:sz w:val="20"/>
                <w:szCs w:val="20"/>
                <w:color w:val="auto"/>
              </w:rPr>
            </w:pPr>
            <w:r>
              <w:rPr>
                <w:rFonts w:ascii="Arial" w:cs="Arial" w:eastAsia="Arial" w:hAnsi="Arial"/>
                <w:sz w:val="14"/>
                <w:szCs w:val="14"/>
                <w:b w:val="1"/>
                <w:bCs w:val="1"/>
                <w:color w:val="FFFFFF"/>
              </w:rPr>
              <w:t>Cotter</w:t>
            </w:r>
          </w:p>
        </w:tc>
        <w:tc>
          <w:tcPr>
            <w:tcW w:w="340" w:type="dxa"/>
            <w:vAlign w:val="bottom"/>
            <w:shd w:val="clear" w:color="auto" w:fill="052B82"/>
          </w:tcPr>
          <w:p>
            <w:pPr>
              <w:spacing w:after="0"/>
              <w:rPr>
                <w:sz w:val="14"/>
                <w:szCs w:val="14"/>
                <w:color w:val="auto"/>
              </w:rPr>
            </w:pPr>
          </w:p>
        </w:tc>
        <w:tc>
          <w:tcPr>
            <w:tcW w:w="120" w:type="dxa"/>
            <w:vAlign w:val="bottom"/>
            <w:shd w:val="clear" w:color="auto" w:fill="052B82"/>
          </w:tcPr>
          <w:p>
            <w:pPr>
              <w:spacing w:after="0"/>
              <w:rPr>
                <w:sz w:val="14"/>
                <w:szCs w:val="14"/>
                <w:color w:val="auto"/>
              </w:rPr>
            </w:pPr>
          </w:p>
        </w:tc>
        <w:tc>
          <w:tcPr>
            <w:tcW w:w="780" w:type="dxa"/>
            <w:vAlign w:val="bottom"/>
            <w:shd w:val="clear" w:color="auto" w:fill="052B82"/>
          </w:tcPr>
          <w:p>
            <w:pPr>
              <w:jc w:val="right"/>
              <w:ind w:right="128"/>
              <w:spacing w:after="0"/>
              <w:rPr>
                <w:sz w:val="20"/>
                <w:szCs w:val="20"/>
                <w:color w:val="auto"/>
              </w:rPr>
            </w:pPr>
            <w:r>
              <w:rPr>
                <w:rFonts w:ascii="Arial" w:cs="Arial" w:eastAsia="Arial" w:hAnsi="Arial"/>
                <w:sz w:val="14"/>
                <w:szCs w:val="14"/>
                <w:b w:val="1"/>
                <w:bCs w:val="1"/>
                <w:color w:val="FFFFFF"/>
              </w:rPr>
              <w:t>Hassett</w:t>
            </w:r>
          </w:p>
        </w:tc>
        <w:tc>
          <w:tcPr>
            <w:tcW w:w="260" w:type="dxa"/>
            <w:vAlign w:val="bottom"/>
            <w:shd w:val="clear" w:color="auto" w:fill="052B82"/>
          </w:tcPr>
          <w:p>
            <w:pPr>
              <w:spacing w:after="0"/>
              <w:rPr>
                <w:sz w:val="14"/>
                <w:szCs w:val="14"/>
                <w:color w:val="auto"/>
              </w:rPr>
            </w:pPr>
          </w:p>
        </w:tc>
        <w:tc>
          <w:tcPr>
            <w:tcW w:w="1000" w:type="dxa"/>
            <w:vAlign w:val="bottom"/>
            <w:gridSpan w:val="3"/>
            <w:shd w:val="clear" w:color="auto" w:fill="052B82"/>
          </w:tcPr>
          <w:p>
            <w:pPr>
              <w:jc w:val="center"/>
              <w:ind w:right="140"/>
              <w:spacing w:after="0"/>
              <w:rPr>
                <w:sz w:val="20"/>
                <w:szCs w:val="20"/>
                <w:color w:val="auto"/>
              </w:rPr>
            </w:pPr>
            <w:r>
              <w:rPr>
                <w:rFonts w:ascii="Arial" w:cs="Arial" w:eastAsia="Arial" w:hAnsi="Arial"/>
                <w:sz w:val="14"/>
                <w:szCs w:val="14"/>
                <w:b w:val="1"/>
                <w:bCs w:val="1"/>
                <w:color w:val="FFFFFF"/>
              </w:rPr>
              <w:t>Pietkiewicz</w:t>
            </w:r>
          </w:p>
        </w:tc>
      </w:tr>
      <w:tr>
        <w:trPr>
          <w:trHeight w:val="189"/>
        </w:trPr>
        <w:tc>
          <w:tcPr>
            <w:tcW w:w="4900" w:type="dxa"/>
            <w:vAlign w:val="bottom"/>
            <w:shd w:val="clear" w:color="auto" w:fill="052B82"/>
          </w:tcPr>
          <w:p>
            <w:pPr>
              <w:spacing w:after="0"/>
              <w:rPr>
                <w:sz w:val="16"/>
                <w:szCs w:val="16"/>
                <w:color w:val="auto"/>
              </w:rPr>
            </w:pPr>
          </w:p>
        </w:tc>
        <w:tc>
          <w:tcPr>
            <w:tcW w:w="320" w:type="dxa"/>
            <w:vAlign w:val="bottom"/>
            <w:shd w:val="clear" w:color="auto" w:fill="052B82"/>
          </w:tcPr>
          <w:p>
            <w:pPr>
              <w:spacing w:after="0"/>
              <w:rPr>
                <w:sz w:val="16"/>
                <w:szCs w:val="16"/>
                <w:color w:val="auto"/>
              </w:rPr>
            </w:pPr>
          </w:p>
        </w:tc>
        <w:tc>
          <w:tcPr>
            <w:tcW w:w="80" w:type="dxa"/>
            <w:vAlign w:val="bottom"/>
            <w:shd w:val="clear" w:color="auto" w:fill="052B82"/>
          </w:tcPr>
          <w:p>
            <w:pPr>
              <w:spacing w:after="0"/>
              <w:rPr>
                <w:sz w:val="16"/>
                <w:szCs w:val="16"/>
                <w:color w:val="auto"/>
              </w:rPr>
            </w:pPr>
          </w:p>
        </w:tc>
        <w:tc>
          <w:tcPr>
            <w:tcW w:w="720" w:type="dxa"/>
            <w:vAlign w:val="bottom"/>
            <w:shd w:val="clear" w:color="auto" w:fill="052B82"/>
          </w:tcPr>
          <w:p>
            <w:pPr>
              <w:jc w:val="right"/>
              <w:ind w:right="148"/>
              <w:spacing w:after="0"/>
              <w:rPr>
                <w:sz w:val="20"/>
                <w:szCs w:val="20"/>
                <w:color w:val="auto"/>
              </w:rPr>
            </w:pPr>
            <w:r>
              <w:rPr>
                <w:rFonts w:ascii="Arial" w:cs="Arial" w:eastAsia="Arial" w:hAnsi="Arial"/>
                <w:sz w:val="14"/>
                <w:szCs w:val="14"/>
                <w:b w:val="1"/>
                <w:bCs w:val="1"/>
                <w:color w:val="FFFFFF"/>
              </w:rPr>
              <w:t>(5)(6)</w:t>
            </w:r>
          </w:p>
        </w:tc>
        <w:tc>
          <w:tcPr>
            <w:tcW w:w="1240" w:type="dxa"/>
            <w:vAlign w:val="bottom"/>
            <w:gridSpan w:val="3"/>
            <w:shd w:val="clear" w:color="auto" w:fill="052B82"/>
          </w:tcPr>
          <w:p>
            <w:pPr>
              <w:ind w:left="360"/>
              <w:spacing w:after="0"/>
              <w:rPr>
                <w:sz w:val="20"/>
                <w:szCs w:val="20"/>
                <w:color w:val="auto"/>
              </w:rPr>
            </w:pPr>
            <w:r>
              <w:rPr>
                <w:rFonts w:ascii="Arial" w:cs="Arial" w:eastAsia="Arial" w:hAnsi="Arial"/>
                <w:sz w:val="14"/>
                <w:szCs w:val="14"/>
                <w:b w:val="1"/>
                <w:bCs w:val="1"/>
                <w:color w:val="FFFFFF"/>
              </w:rPr>
              <w:t>(1)(2)(3)(4)(5)</w:t>
            </w:r>
          </w:p>
        </w:tc>
        <w:tc>
          <w:tcPr>
            <w:tcW w:w="1260" w:type="dxa"/>
            <w:vAlign w:val="bottom"/>
            <w:gridSpan w:val="3"/>
            <w:shd w:val="clear" w:color="auto" w:fill="052B82"/>
          </w:tcPr>
          <w:p>
            <w:pPr>
              <w:ind w:left="360"/>
              <w:spacing w:after="0"/>
              <w:rPr>
                <w:sz w:val="20"/>
                <w:szCs w:val="20"/>
                <w:color w:val="auto"/>
              </w:rPr>
            </w:pPr>
            <w:r>
              <w:rPr>
                <w:rFonts w:ascii="Arial" w:cs="Arial" w:eastAsia="Arial" w:hAnsi="Arial"/>
                <w:sz w:val="14"/>
                <w:szCs w:val="14"/>
                <w:b w:val="1"/>
                <w:bCs w:val="1"/>
                <w:color w:val="FFFFFF"/>
              </w:rPr>
              <w:t>(1)(2)(3)(4)(5)</w:t>
            </w:r>
          </w:p>
        </w:tc>
        <w:tc>
          <w:tcPr>
            <w:tcW w:w="1240" w:type="dxa"/>
            <w:vAlign w:val="bottom"/>
            <w:gridSpan w:val="3"/>
            <w:shd w:val="clear" w:color="auto" w:fill="052B82"/>
          </w:tcPr>
          <w:p>
            <w:pPr>
              <w:ind w:left="340"/>
              <w:spacing w:after="0"/>
              <w:rPr>
                <w:sz w:val="20"/>
                <w:szCs w:val="20"/>
                <w:color w:val="auto"/>
              </w:rPr>
            </w:pPr>
            <w:r>
              <w:rPr>
                <w:rFonts w:ascii="Arial" w:cs="Arial" w:eastAsia="Arial" w:hAnsi="Arial"/>
                <w:sz w:val="14"/>
                <w:szCs w:val="14"/>
                <w:b w:val="1"/>
                <w:bCs w:val="1"/>
                <w:color w:val="FFFFFF"/>
              </w:rPr>
              <w:t>(1)(2)(3)(4)(5)</w:t>
            </w:r>
          </w:p>
        </w:tc>
        <w:tc>
          <w:tcPr>
            <w:tcW w:w="1140" w:type="dxa"/>
            <w:vAlign w:val="bottom"/>
            <w:gridSpan w:val="3"/>
            <w:shd w:val="clear" w:color="auto" w:fill="052B82"/>
          </w:tcPr>
          <w:p>
            <w:pPr>
              <w:jc w:val="right"/>
              <w:spacing w:after="0"/>
              <w:rPr>
                <w:sz w:val="20"/>
                <w:szCs w:val="20"/>
                <w:color w:val="auto"/>
              </w:rPr>
            </w:pPr>
            <w:r>
              <w:rPr>
                <w:rFonts w:ascii="Arial" w:cs="Arial" w:eastAsia="Arial" w:hAnsi="Arial"/>
                <w:sz w:val="14"/>
                <w:szCs w:val="14"/>
                <w:b w:val="1"/>
                <w:bCs w:val="1"/>
                <w:color w:val="FFFFFF"/>
              </w:rPr>
              <w:t>(1)(2)(3)(4)(5)</w:t>
            </w:r>
          </w:p>
        </w:tc>
        <w:tc>
          <w:tcPr>
            <w:tcW w:w="120" w:type="dxa"/>
            <w:vAlign w:val="bottom"/>
            <w:shd w:val="clear" w:color="auto" w:fill="052B82"/>
          </w:tcPr>
          <w:p>
            <w:pPr>
              <w:spacing w:after="0"/>
              <w:rPr>
                <w:sz w:val="16"/>
                <w:szCs w:val="16"/>
                <w:color w:val="auto"/>
              </w:rPr>
            </w:pPr>
          </w:p>
        </w:tc>
      </w:tr>
      <w:tr>
        <w:trPr>
          <w:trHeight w:val="162"/>
        </w:trPr>
        <w:tc>
          <w:tcPr>
            <w:tcW w:w="4900" w:type="dxa"/>
            <w:vAlign w:val="bottom"/>
          </w:tcPr>
          <w:p>
            <w:pPr>
              <w:ind w:left="20"/>
              <w:spacing w:after="0"/>
              <w:rPr>
                <w:sz w:val="20"/>
                <w:szCs w:val="20"/>
                <w:color w:val="auto"/>
              </w:rPr>
            </w:pPr>
            <w:r>
              <w:rPr>
                <w:rFonts w:ascii="Arial" w:cs="Arial" w:eastAsia="Arial" w:hAnsi="Arial"/>
                <w:sz w:val="14"/>
                <w:szCs w:val="14"/>
                <w:color w:val="auto"/>
              </w:rPr>
              <w:t>Cash Severance</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3,139,500</w:t>
            </w:r>
          </w:p>
        </w:tc>
        <w:tc>
          <w:tcPr>
            <w:tcW w:w="440" w:type="dxa"/>
            <w:vAlign w:val="bottom"/>
            <w:gridSpan w:val="2"/>
          </w:tcPr>
          <w:p>
            <w:pPr>
              <w:ind w:left="360"/>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1,719,250</w:t>
            </w:r>
          </w:p>
        </w:tc>
        <w:tc>
          <w:tcPr>
            <w:tcW w:w="50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1,375,400</w:t>
            </w:r>
          </w:p>
        </w:tc>
        <w:tc>
          <w:tcPr>
            <w:tcW w:w="46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1,420,250</w:t>
            </w: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1,345,500</w:t>
            </w:r>
          </w:p>
        </w:tc>
        <w:tc>
          <w:tcPr>
            <w:tcW w:w="120" w:type="dxa"/>
            <w:vAlign w:val="bottom"/>
          </w:tcPr>
          <w:p>
            <w:pPr>
              <w:spacing w:after="0"/>
              <w:rPr>
                <w:sz w:val="14"/>
                <w:szCs w:val="14"/>
                <w:color w:val="auto"/>
              </w:rPr>
            </w:pPr>
          </w:p>
        </w:tc>
      </w:tr>
      <w:tr>
        <w:trPr>
          <w:trHeight w:val="162"/>
        </w:trPr>
        <w:tc>
          <w:tcPr>
            <w:tcW w:w="4900" w:type="dxa"/>
            <w:vAlign w:val="bottom"/>
            <w:shd w:val="clear" w:color="auto" w:fill="E8EDF4"/>
          </w:tcPr>
          <w:p>
            <w:pPr>
              <w:ind w:left="20"/>
              <w:spacing w:after="0"/>
              <w:rPr>
                <w:sz w:val="20"/>
                <w:szCs w:val="20"/>
                <w:color w:val="auto"/>
              </w:rPr>
            </w:pPr>
            <w:r>
              <w:rPr>
                <w:rFonts w:ascii="Arial" w:cs="Arial" w:eastAsia="Arial" w:hAnsi="Arial"/>
                <w:sz w:val="14"/>
                <w:szCs w:val="14"/>
                <w:color w:val="auto"/>
              </w:rPr>
              <w:t>Cash Bonus</w:t>
            </w:r>
          </w:p>
        </w:tc>
        <w:tc>
          <w:tcPr>
            <w:tcW w:w="400" w:type="dxa"/>
            <w:vAlign w:val="bottom"/>
            <w:gridSpan w:val="2"/>
            <w:shd w:val="clear" w:color="auto" w:fill="E8EDF4"/>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E8EDF4"/>
          </w:tcPr>
          <w:p>
            <w:pPr>
              <w:jc w:val="right"/>
              <w:spacing w:after="0"/>
              <w:rPr>
                <w:sz w:val="20"/>
                <w:szCs w:val="20"/>
                <w:color w:val="auto"/>
              </w:rPr>
            </w:pPr>
            <w:r>
              <w:rPr>
                <w:rFonts w:ascii="Arial" w:cs="Arial" w:eastAsia="Arial" w:hAnsi="Arial"/>
                <w:sz w:val="14"/>
                <w:szCs w:val="14"/>
                <w:color w:val="auto"/>
              </w:rPr>
              <w:t>5,528,280</w:t>
            </w:r>
          </w:p>
        </w:tc>
        <w:tc>
          <w:tcPr>
            <w:tcW w:w="440" w:type="dxa"/>
            <w:vAlign w:val="bottom"/>
            <w:gridSpan w:val="2"/>
            <w:shd w:val="clear" w:color="auto" w:fill="E8EDF4"/>
          </w:tcPr>
          <w:p>
            <w:pPr>
              <w:ind w:left="360"/>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E8EDF4"/>
          </w:tcPr>
          <w:p>
            <w:pPr>
              <w:jc w:val="right"/>
              <w:spacing w:after="0"/>
              <w:rPr>
                <w:sz w:val="20"/>
                <w:szCs w:val="20"/>
                <w:color w:val="auto"/>
              </w:rPr>
            </w:pPr>
            <w:r>
              <w:rPr>
                <w:rFonts w:ascii="Arial" w:cs="Arial" w:eastAsia="Arial" w:hAnsi="Arial"/>
                <w:sz w:val="14"/>
                <w:szCs w:val="14"/>
                <w:color w:val="auto"/>
              </w:rPr>
              <w:t>2,024,863</w:t>
            </w:r>
          </w:p>
        </w:tc>
        <w:tc>
          <w:tcPr>
            <w:tcW w:w="500" w:type="dxa"/>
            <w:vAlign w:val="bottom"/>
            <w:gridSpan w:val="2"/>
            <w:shd w:val="clear" w:color="auto" w:fill="E8EDF4"/>
          </w:tcPr>
          <w:p>
            <w:pPr>
              <w:ind w:left="360"/>
              <w:spacing w:after="0"/>
              <w:rPr>
                <w:sz w:val="20"/>
                <w:szCs w:val="20"/>
                <w:color w:val="auto"/>
              </w:rPr>
            </w:pPr>
            <w:r>
              <w:rPr>
                <w:rFonts w:ascii="Arial" w:cs="Arial" w:eastAsia="Arial" w:hAnsi="Arial"/>
                <w:sz w:val="14"/>
                <w:szCs w:val="14"/>
                <w:color w:val="auto"/>
              </w:rPr>
              <w:t>$</w:t>
            </w:r>
          </w:p>
        </w:tc>
        <w:tc>
          <w:tcPr>
            <w:tcW w:w="760" w:type="dxa"/>
            <w:vAlign w:val="bottom"/>
            <w:shd w:val="clear" w:color="auto" w:fill="E8EDF4"/>
          </w:tcPr>
          <w:p>
            <w:pPr>
              <w:jc w:val="right"/>
              <w:spacing w:after="0"/>
              <w:rPr>
                <w:sz w:val="20"/>
                <w:szCs w:val="20"/>
                <w:color w:val="auto"/>
              </w:rPr>
            </w:pPr>
            <w:r>
              <w:rPr>
                <w:rFonts w:ascii="Arial" w:cs="Arial" w:eastAsia="Arial" w:hAnsi="Arial"/>
                <w:sz w:val="14"/>
                <w:szCs w:val="14"/>
                <w:color w:val="auto"/>
              </w:rPr>
              <w:t>1,508,247</w:t>
            </w:r>
          </w:p>
        </w:tc>
        <w:tc>
          <w:tcPr>
            <w:tcW w:w="460" w:type="dxa"/>
            <w:vAlign w:val="bottom"/>
            <w:gridSpan w:val="2"/>
            <w:shd w:val="clear" w:color="auto" w:fill="E8EDF4"/>
          </w:tcPr>
          <w:p>
            <w:pPr>
              <w:ind w:left="340"/>
              <w:spacing w:after="0"/>
              <w:rPr>
                <w:sz w:val="20"/>
                <w:szCs w:val="20"/>
                <w:color w:val="auto"/>
              </w:rPr>
            </w:pPr>
            <w:r>
              <w:rPr>
                <w:rFonts w:ascii="Arial" w:cs="Arial" w:eastAsia="Arial" w:hAnsi="Arial"/>
                <w:sz w:val="14"/>
                <w:szCs w:val="14"/>
                <w:color w:val="auto"/>
              </w:rPr>
              <w:t>$</w:t>
            </w:r>
          </w:p>
        </w:tc>
        <w:tc>
          <w:tcPr>
            <w:tcW w:w="780" w:type="dxa"/>
            <w:vAlign w:val="bottom"/>
            <w:shd w:val="clear" w:color="auto" w:fill="E8EDF4"/>
          </w:tcPr>
          <w:p>
            <w:pPr>
              <w:jc w:val="right"/>
              <w:spacing w:after="0"/>
              <w:rPr>
                <w:sz w:val="20"/>
                <w:szCs w:val="20"/>
                <w:color w:val="auto"/>
              </w:rPr>
            </w:pPr>
            <w:r>
              <w:rPr>
                <w:rFonts w:ascii="Arial" w:cs="Arial" w:eastAsia="Arial" w:hAnsi="Arial"/>
                <w:sz w:val="14"/>
                <w:szCs w:val="14"/>
                <w:color w:val="auto"/>
              </w:rPr>
              <w:t>1,702,247</w:t>
            </w:r>
          </w:p>
        </w:tc>
        <w:tc>
          <w:tcPr>
            <w:tcW w:w="380" w:type="dxa"/>
            <w:vAlign w:val="bottom"/>
            <w:gridSpan w:val="2"/>
            <w:shd w:val="clear" w:color="auto" w:fill="E8EDF4"/>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E8EDF4"/>
          </w:tcPr>
          <w:p>
            <w:pPr>
              <w:jc w:val="right"/>
              <w:spacing w:after="0"/>
              <w:rPr>
                <w:sz w:val="20"/>
                <w:szCs w:val="20"/>
                <w:color w:val="auto"/>
              </w:rPr>
            </w:pPr>
            <w:r>
              <w:rPr>
                <w:rFonts w:ascii="Arial" w:cs="Arial" w:eastAsia="Arial" w:hAnsi="Arial"/>
                <w:sz w:val="14"/>
                <w:szCs w:val="14"/>
                <w:color w:val="auto"/>
              </w:rPr>
              <w:t>1,381,337</w:t>
            </w:r>
          </w:p>
        </w:tc>
        <w:tc>
          <w:tcPr>
            <w:tcW w:w="120" w:type="dxa"/>
            <w:vAlign w:val="bottom"/>
            <w:shd w:val="clear" w:color="auto" w:fill="E8EDF4"/>
          </w:tcPr>
          <w:p>
            <w:pPr>
              <w:spacing w:after="0"/>
              <w:rPr>
                <w:sz w:val="14"/>
                <w:szCs w:val="14"/>
                <w:color w:val="auto"/>
              </w:rPr>
            </w:pPr>
          </w:p>
        </w:tc>
      </w:tr>
      <w:tr>
        <w:trPr>
          <w:trHeight w:val="162"/>
        </w:trPr>
        <w:tc>
          <w:tcPr>
            <w:tcW w:w="4900" w:type="dxa"/>
            <w:vAlign w:val="bottom"/>
          </w:tcPr>
          <w:p>
            <w:pPr>
              <w:ind w:left="20"/>
              <w:spacing w:after="0"/>
              <w:rPr>
                <w:sz w:val="20"/>
                <w:szCs w:val="20"/>
                <w:color w:val="auto"/>
              </w:rPr>
            </w:pPr>
            <w:r>
              <w:rPr>
                <w:rFonts w:ascii="Arial" w:cs="Arial" w:eastAsia="Arial" w:hAnsi="Arial"/>
                <w:sz w:val="14"/>
                <w:szCs w:val="14"/>
                <w:color w:val="auto"/>
              </w:rPr>
              <w:t>Value of Accelerated Vesting of Stock Awards</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w w:val="99"/>
              </w:rPr>
              <w:t>23,991,275</w:t>
            </w:r>
          </w:p>
        </w:tc>
        <w:tc>
          <w:tcPr>
            <w:tcW w:w="440" w:type="dxa"/>
            <w:vAlign w:val="bottom"/>
            <w:gridSpan w:val="2"/>
          </w:tcPr>
          <w:p>
            <w:pPr>
              <w:ind w:left="360"/>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6,897,200</w:t>
            </w:r>
          </w:p>
        </w:tc>
        <w:tc>
          <w:tcPr>
            <w:tcW w:w="50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6,275,100</w:t>
            </w:r>
          </w:p>
        </w:tc>
        <w:tc>
          <w:tcPr>
            <w:tcW w:w="46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6,365,760</w:t>
            </w: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8,879,862</w:t>
            </w:r>
          </w:p>
        </w:tc>
        <w:tc>
          <w:tcPr>
            <w:tcW w:w="120" w:type="dxa"/>
            <w:vAlign w:val="bottom"/>
          </w:tcPr>
          <w:p>
            <w:pPr>
              <w:spacing w:after="0"/>
              <w:rPr>
                <w:sz w:val="14"/>
                <w:szCs w:val="14"/>
                <w:color w:val="auto"/>
              </w:rPr>
            </w:pPr>
          </w:p>
        </w:tc>
      </w:tr>
      <w:tr>
        <w:trPr>
          <w:trHeight w:val="162"/>
        </w:trPr>
        <w:tc>
          <w:tcPr>
            <w:tcW w:w="4900" w:type="dxa"/>
            <w:vAlign w:val="bottom"/>
            <w:shd w:val="clear" w:color="auto" w:fill="E8EDF4"/>
          </w:tcPr>
          <w:p>
            <w:pPr>
              <w:ind w:left="20"/>
              <w:spacing w:after="0"/>
              <w:rPr>
                <w:sz w:val="20"/>
                <w:szCs w:val="20"/>
                <w:color w:val="auto"/>
              </w:rPr>
            </w:pPr>
            <w:r>
              <w:rPr>
                <w:rFonts w:ascii="Arial" w:cs="Arial" w:eastAsia="Arial" w:hAnsi="Arial"/>
                <w:sz w:val="14"/>
                <w:szCs w:val="14"/>
                <w:color w:val="auto"/>
              </w:rPr>
              <w:t>Value of Accelerated Vesting of Cash Awards</w:t>
            </w:r>
          </w:p>
        </w:tc>
        <w:tc>
          <w:tcPr>
            <w:tcW w:w="400" w:type="dxa"/>
            <w:vAlign w:val="bottom"/>
            <w:gridSpan w:val="2"/>
            <w:shd w:val="clear" w:color="auto" w:fill="E8EDF4"/>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E8EDF4"/>
          </w:tcPr>
          <w:p>
            <w:pPr>
              <w:jc w:val="right"/>
              <w:ind w:right="8"/>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E8EDF4"/>
          </w:tcPr>
          <w:p>
            <w:pPr>
              <w:ind w:left="360"/>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E8EDF4"/>
          </w:tcPr>
          <w:p>
            <w:pPr>
              <w:jc w:val="right"/>
              <w:ind w:right="8"/>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E8EDF4"/>
          </w:tcPr>
          <w:p>
            <w:pPr>
              <w:ind w:left="360"/>
              <w:spacing w:after="0"/>
              <w:rPr>
                <w:sz w:val="20"/>
                <w:szCs w:val="20"/>
                <w:color w:val="auto"/>
              </w:rPr>
            </w:pPr>
            <w:r>
              <w:rPr>
                <w:rFonts w:ascii="Arial" w:cs="Arial" w:eastAsia="Arial" w:hAnsi="Arial"/>
                <w:sz w:val="14"/>
                <w:szCs w:val="14"/>
                <w:color w:val="auto"/>
              </w:rPr>
              <w:t>$</w:t>
            </w:r>
          </w:p>
        </w:tc>
        <w:tc>
          <w:tcPr>
            <w:tcW w:w="76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E8EDF4"/>
          </w:tcPr>
          <w:p>
            <w:pPr>
              <w:ind w:left="340"/>
              <w:spacing w:after="0"/>
              <w:rPr>
                <w:sz w:val="20"/>
                <w:szCs w:val="20"/>
                <w:color w:val="auto"/>
              </w:rPr>
            </w:pPr>
            <w:r>
              <w:rPr>
                <w:rFonts w:ascii="Arial" w:cs="Arial" w:eastAsia="Arial" w:hAnsi="Arial"/>
                <w:sz w:val="14"/>
                <w:szCs w:val="14"/>
                <w:color w:val="auto"/>
              </w:rPr>
              <w:t>$</w:t>
            </w:r>
          </w:p>
        </w:tc>
        <w:tc>
          <w:tcPr>
            <w:tcW w:w="78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w:t>
            </w:r>
          </w:p>
        </w:tc>
        <w:tc>
          <w:tcPr>
            <w:tcW w:w="380" w:type="dxa"/>
            <w:vAlign w:val="bottom"/>
            <w:gridSpan w:val="2"/>
            <w:shd w:val="clear" w:color="auto" w:fill="E8EDF4"/>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E8EDF4"/>
          </w:tcPr>
          <w:p>
            <w:pPr>
              <w:jc w:val="right"/>
              <w:spacing w:after="0"/>
              <w:rPr>
                <w:sz w:val="20"/>
                <w:szCs w:val="20"/>
                <w:color w:val="auto"/>
              </w:rPr>
            </w:pPr>
            <w:r>
              <w:rPr>
                <w:rFonts w:ascii="Arial" w:cs="Arial" w:eastAsia="Arial" w:hAnsi="Arial"/>
                <w:sz w:val="14"/>
                <w:szCs w:val="14"/>
                <w:color w:val="auto"/>
              </w:rPr>
              <w:t>276,000</w:t>
            </w:r>
          </w:p>
        </w:tc>
        <w:tc>
          <w:tcPr>
            <w:tcW w:w="120" w:type="dxa"/>
            <w:vAlign w:val="bottom"/>
            <w:shd w:val="clear" w:color="auto" w:fill="E8EDF4"/>
          </w:tcPr>
          <w:p>
            <w:pPr>
              <w:spacing w:after="0"/>
              <w:rPr>
                <w:sz w:val="14"/>
                <w:szCs w:val="14"/>
                <w:color w:val="auto"/>
              </w:rPr>
            </w:pPr>
          </w:p>
        </w:tc>
      </w:tr>
      <w:tr>
        <w:trPr>
          <w:trHeight w:val="162"/>
        </w:trPr>
        <w:tc>
          <w:tcPr>
            <w:tcW w:w="4900" w:type="dxa"/>
            <w:vAlign w:val="bottom"/>
          </w:tcPr>
          <w:p>
            <w:pPr>
              <w:ind w:left="20"/>
              <w:spacing w:after="0"/>
              <w:rPr>
                <w:sz w:val="20"/>
                <w:szCs w:val="20"/>
                <w:color w:val="auto"/>
              </w:rPr>
            </w:pPr>
            <w:r>
              <w:rPr>
                <w:rFonts w:ascii="Arial" w:cs="Arial" w:eastAsia="Arial" w:hAnsi="Arial"/>
                <w:sz w:val="14"/>
                <w:szCs w:val="14"/>
                <w:color w:val="auto"/>
              </w:rPr>
              <w:t>Value of Medical and Other Benefits</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16,518</w:t>
            </w:r>
          </w:p>
        </w:tc>
        <w:tc>
          <w:tcPr>
            <w:tcW w:w="440" w:type="dxa"/>
            <w:vAlign w:val="bottom"/>
            <w:gridSpan w:val="2"/>
          </w:tcPr>
          <w:p>
            <w:pPr>
              <w:ind w:left="360"/>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46,184</w:t>
            </w:r>
          </w:p>
        </w:tc>
        <w:tc>
          <w:tcPr>
            <w:tcW w:w="50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28,646</w:t>
            </w:r>
          </w:p>
        </w:tc>
        <w:tc>
          <w:tcPr>
            <w:tcW w:w="46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33,160</w:t>
            </w: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46,184</w:t>
            </w:r>
          </w:p>
        </w:tc>
        <w:tc>
          <w:tcPr>
            <w:tcW w:w="120" w:type="dxa"/>
            <w:vAlign w:val="bottom"/>
          </w:tcPr>
          <w:p>
            <w:pPr>
              <w:spacing w:after="0"/>
              <w:rPr>
                <w:sz w:val="14"/>
                <w:szCs w:val="14"/>
                <w:color w:val="auto"/>
              </w:rPr>
            </w:pPr>
          </w:p>
        </w:tc>
      </w:tr>
      <w:tr>
        <w:trPr>
          <w:trHeight w:val="162"/>
        </w:trPr>
        <w:tc>
          <w:tcPr>
            <w:tcW w:w="4900" w:type="dxa"/>
            <w:vAlign w:val="bottom"/>
            <w:shd w:val="clear" w:color="auto" w:fill="E8EDF4"/>
          </w:tcPr>
          <w:p>
            <w:pPr>
              <w:ind w:left="20"/>
              <w:spacing w:after="0"/>
              <w:rPr>
                <w:sz w:val="20"/>
                <w:szCs w:val="20"/>
                <w:color w:val="auto"/>
              </w:rPr>
            </w:pPr>
            <w:r>
              <w:rPr>
                <w:rFonts w:ascii="Arial" w:cs="Arial" w:eastAsia="Arial" w:hAnsi="Arial"/>
                <w:sz w:val="14"/>
                <w:szCs w:val="14"/>
                <w:color w:val="auto"/>
              </w:rPr>
              <w:t>Excise Tax Gross Up</w:t>
            </w:r>
          </w:p>
        </w:tc>
        <w:tc>
          <w:tcPr>
            <w:tcW w:w="400" w:type="dxa"/>
            <w:vAlign w:val="bottom"/>
            <w:gridSpan w:val="2"/>
            <w:shd w:val="clear" w:color="auto" w:fill="E8EDF4"/>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E8EDF4"/>
          </w:tcPr>
          <w:p>
            <w:pPr>
              <w:jc w:val="right"/>
              <w:ind w:right="8"/>
              <w:spacing w:after="0"/>
              <w:rPr>
                <w:sz w:val="20"/>
                <w:szCs w:val="20"/>
                <w:color w:val="auto"/>
              </w:rPr>
            </w:pPr>
            <w:r>
              <w:rPr>
                <w:rFonts w:ascii="Arial" w:cs="Arial" w:eastAsia="Arial" w:hAnsi="Arial"/>
                <w:sz w:val="14"/>
                <w:szCs w:val="14"/>
                <w:color w:val="auto"/>
              </w:rPr>
              <w:t>—</w:t>
            </w:r>
          </w:p>
        </w:tc>
        <w:tc>
          <w:tcPr>
            <w:tcW w:w="360" w:type="dxa"/>
            <w:vAlign w:val="bottom"/>
            <w:shd w:val="clear" w:color="auto" w:fill="E8EDF4"/>
          </w:tcPr>
          <w:p>
            <w:pPr>
              <w:spacing w:after="0"/>
              <w:rPr>
                <w:sz w:val="14"/>
                <w:szCs w:val="14"/>
                <w:color w:val="auto"/>
              </w:rPr>
            </w:pPr>
          </w:p>
        </w:tc>
        <w:tc>
          <w:tcPr>
            <w:tcW w:w="80" w:type="dxa"/>
            <w:vAlign w:val="bottom"/>
            <w:shd w:val="clear" w:color="auto" w:fill="E8EDF4"/>
          </w:tcPr>
          <w:p>
            <w:pPr>
              <w:spacing w:after="0"/>
              <w:rPr>
                <w:sz w:val="14"/>
                <w:szCs w:val="14"/>
                <w:color w:val="auto"/>
              </w:rPr>
            </w:pPr>
          </w:p>
        </w:tc>
        <w:tc>
          <w:tcPr>
            <w:tcW w:w="800" w:type="dxa"/>
            <w:vAlign w:val="bottom"/>
            <w:shd w:val="clear" w:color="auto" w:fill="E8EDF4"/>
          </w:tcPr>
          <w:p>
            <w:pPr>
              <w:jc w:val="right"/>
              <w:ind w:right="8"/>
              <w:spacing w:after="0"/>
              <w:rPr>
                <w:sz w:val="20"/>
                <w:szCs w:val="20"/>
                <w:color w:val="auto"/>
              </w:rPr>
            </w:pPr>
            <w:r>
              <w:rPr>
                <w:rFonts w:ascii="Arial" w:cs="Arial" w:eastAsia="Arial" w:hAnsi="Arial"/>
                <w:sz w:val="14"/>
                <w:szCs w:val="14"/>
                <w:color w:val="auto"/>
              </w:rPr>
              <w:t>—</w:t>
            </w:r>
          </w:p>
        </w:tc>
        <w:tc>
          <w:tcPr>
            <w:tcW w:w="360" w:type="dxa"/>
            <w:vAlign w:val="bottom"/>
            <w:shd w:val="clear" w:color="auto" w:fill="E8EDF4"/>
          </w:tcPr>
          <w:p>
            <w:pPr>
              <w:spacing w:after="0"/>
              <w:rPr>
                <w:sz w:val="14"/>
                <w:szCs w:val="14"/>
                <w:color w:val="auto"/>
              </w:rPr>
            </w:pPr>
          </w:p>
        </w:tc>
        <w:tc>
          <w:tcPr>
            <w:tcW w:w="140" w:type="dxa"/>
            <w:vAlign w:val="bottom"/>
            <w:shd w:val="clear" w:color="auto" w:fill="E8EDF4"/>
          </w:tcPr>
          <w:p>
            <w:pPr>
              <w:spacing w:after="0"/>
              <w:rPr>
                <w:sz w:val="14"/>
                <w:szCs w:val="14"/>
                <w:color w:val="auto"/>
              </w:rPr>
            </w:pPr>
          </w:p>
        </w:tc>
        <w:tc>
          <w:tcPr>
            <w:tcW w:w="76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shd w:val="clear" w:color="auto" w:fill="E8EDF4"/>
          </w:tcPr>
          <w:p>
            <w:pPr>
              <w:spacing w:after="0"/>
              <w:rPr>
                <w:sz w:val="14"/>
                <w:szCs w:val="14"/>
                <w:color w:val="auto"/>
              </w:rPr>
            </w:pPr>
          </w:p>
        </w:tc>
        <w:tc>
          <w:tcPr>
            <w:tcW w:w="120" w:type="dxa"/>
            <w:vAlign w:val="bottom"/>
            <w:shd w:val="clear" w:color="auto" w:fill="E8EDF4"/>
          </w:tcPr>
          <w:p>
            <w:pPr>
              <w:spacing w:after="0"/>
              <w:rPr>
                <w:sz w:val="14"/>
                <w:szCs w:val="14"/>
                <w:color w:val="auto"/>
              </w:rPr>
            </w:pPr>
          </w:p>
        </w:tc>
        <w:tc>
          <w:tcPr>
            <w:tcW w:w="780" w:type="dxa"/>
            <w:vAlign w:val="bottom"/>
            <w:shd w:val="clear" w:color="auto" w:fill="E8EDF4"/>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E8EDF4"/>
          </w:tcPr>
          <w:p>
            <w:pPr>
              <w:spacing w:after="0"/>
              <w:rPr>
                <w:sz w:val="14"/>
                <w:szCs w:val="14"/>
                <w:color w:val="auto"/>
              </w:rPr>
            </w:pPr>
          </w:p>
        </w:tc>
        <w:tc>
          <w:tcPr>
            <w:tcW w:w="120" w:type="dxa"/>
            <w:vAlign w:val="bottom"/>
            <w:shd w:val="clear" w:color="auto" w:fill="E8EDF4"/>
          </w:tcPr>
          <w:p>
            <w:pPr>
              <w:spacing w:after="0"/>
              <w:rPr>
                <w:sz w:val="14"/>
                <w:szCs w:val="14"/>
                <w:color w:val="auto"/>
              </w:rPr>
            </w:pPr>
          </w:p>
        </w:tc>
        <w:tc>
          <w:tcPr>
            <w:tcW w:w="880" w:type="dxa"/>
            <w:vAlign w:val="bottom"/>
            <w:gridSpan w:val="2"/>
            <w:shd w:val="clear" w:color="auto" w:fill="E8EDF4"/>
          </w:tcPr>
          <w:p>
            <w:pPr>
              <w:ind w:left="540"/>
              <w:spacing w:after="0"/>
              <w:rPr>
                <w:sz w:val="20"/>
                <w:szCs w:val="20"/>
                <w:color w:val="auto"/>
              </w:rPr>
            </w:pPr>
            <w:r>
              <w:rPr>
                <w:rFonts w:ascii="Arial" w:cs="Arial" w:eastAsia="Arial" w:hAnsi="Arial"/>
                <w:sz w:val="14"/>
                <w:szCs w:val="14"/>
                <w:color w:val="auto"/>
              </w:rPr>
              <w:t>—</w:t>
            </w:r>
          </w:p>
        </w:tc>
      </w:tr>
      <w:tr>
        <w:trPr>
          <w:trHeight w:val="27"/>
        </w:trPr>
        <w:tc>
          <w:tcPr>
            <w:tcW w:w="4900" w:type="dxa"/>
            <w:vAlign w:val="bottom"/>
            <w:shd w:val="clear" w:color="auto" w:fill="E8EDF4"/>
          </w:tcPr>
          <w:p>
            <w:pPr>
              <w:spacing w:after="0"/>
              <w:rPr>
                <w:sz w:val="2"/>
                <w:szCs w:val="2"/>
                <w:color w:val="auto"/>
              </w:rPr>
            </w:pPr>
          </w:p>
        </w:tc>
        <w:tc>
          <w:tcPr>
            <w:tcW w:w="320" w:type="dxa"/>
            <w:vAlign w:val="bottom"/>
            <w:shd w:val="clear" w:color="auto" w:fill="E8EDF4"/>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shd w:val="clear" w:color="auto" w:fill="E8EDF4"/>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shd w:val="clear" w:color="auto" w:fill="E8EDF4"/>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shd w:val="clear" w:color="auto" w:fill="E8EDF4"/>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shd w:val="clear" w:color="auto" w:fill="E8EDF4"/>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E8EDF4"/>
          </w:tcPr>
          <w:p>
            <w:pPr>
              <w:spacing w:after="0"/>
              <w:rPr>
                <w:sz w:val="2"/>
                <w:szCs w:val="2"/>
                <w:color w:val="auto"/>
              </w:rPr>
            </w:pPr>
          </w:p>
        </w:tc>
      </w:tr>
      <w:tr>
        <w:trPr>
          <w:trHeight w:val="177"/>
        </w:trPr>
        <w:tc>
          <w:tcPr>
            <w:tcW w:w="4900" w:type="dxa"/>
            <w:vAlign w:val="bottom"/>
          </w:tcPr>
          <w:p>
            <w:pPr>
              <w:ind w:left="20"/>
              <w:spacing w:after="0"/>
              <w:rPr>
                <w:sz w:val="20"/>
                <w:szCs w:val="20"/>
                <w:color w:val="auto"/>
              </w:rPr>
            </w:pPr>
            <w:r>
              <w:rPr>
                <w:rFonts w:ascii="Arial" w:cs="Arial" w:eastAsia="Arial" w:hAnsi="Arial"/>
                <w:sz w:val="14"/>
                <w:szCs w:val="14"/>
                <w:color w:val="auto"/>
              </w:rPr>
              <w:t>Total</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w w:val="99"/>
              </w:rPr>
              <w:t>32,675,573</w:t>
            </w:r>
          </w:p>
        </w:tc>
        <w:tc>
          <w:tcPr>
            <w:tcW w:w="440" w:type="dxa"/>
            <w:vAlign w:val="bottom"/>
            <w:gridSpan w:val="2"/>
          </w:tcPr>
          <w:p>
            <w:pPr>
              <w:ind w:left="360"/>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10,687,497</w:t>
            </w:r>
          </w:p>
        </w:tc>
        <w:tc>
          <w:tcPr>
            <w:tcW w:w="50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9,187,393</w:t>
            </w:r>
          </w:p>
        </w:tc>
        <w:tc>
          <w:tcPr>
            <w:tcW w:w="46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9,521,417</w:t>
            </w: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11,928,883</w:t>
            </w:r>
          </w:p>
        </w:tc>
        <w:tc>
          <w:tcPr>
            <w:tcW w:w="1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76200</wp:posOffset>
            </wp:positionV>
            <wp:extent cx="76327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3" w:lineRule="exact"/>
        <w:rPr>
          <w:sz w:val="20"/>
          <w:szCs w:val="20"/>
          <w:color w:val="auto"/>
        </w:rPr>
      </w:pPr>
    </w:p>
    <w:p>
      <w:pPr>
        <w:ind w:left="640" w:hanging="436"/>
        <w:spacing w:after="0"/>
        <w:tabs>
          <w:tab w:leader="none" w:pos="6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Cash severance based upon a multiplier of 299% of the executive officer’s base salary.</w:t>
      </w:r>
    </w:p>
    <w:p>
      <w:pPr>
        <w:spacing w:after="0" w:line="117" w:lineRule="exact"/>
        <w:rPr>
          <w:rFonts w:ascii="Arial" w:cs="Arial" w:eastAsia="Arial" w:hAnsi="Arial"/>
          <w:sz w:val="18"/>
          <w:szCs w:val="18"/>
          <w:color w:val="auto"/>
        </w:rPr>
      </w:pPr>
    </w:p>
    <w:p>
      <w:pPr>
        <w:ind w:left="640" w:right="460" w:hanging="436"/>
        <w:spacing w:after="0" w:line="246" w:lineRule="auto"/>
        <w:tabs>
          <w:tab w:leader="none" w:pos="6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Cash bonus based upon a multiplier of 299% of the sum of the executive officer’s total cash bonuses awarded to him in the four fiscal quarters preceding termination.</w:t>
      </w:r>
    </w:p>
    <w:p>
      <w:pPr>
        <w:spacing w:after="0" w:line="102" w:lineRule="exact"/>
        <w:rPr>
          <w:rFonts w:ascii="Arial" w:cs="Arial" w:eastAsia="Arial" w:hAnsi="Arial"/>
          <w:sz w:val="18"/>
          <w:szCs w:val="18"/>
          <w:color w:val="auto"/>
        </w:rPr>
      </w:pPr>
    </w:p>
    <w:p>
      <w:pPr>
        <w:ind w:left="640" w:right="20" w:hanging="436"/>
        <w:spacing w:after="0" w:line="255" w:lineRule="auto"/>
        <w:tabs>
          <w:tab w:leader="none" w:pos="64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value of accelerated unvested options as of November 2, 2019 is calculated by taking the difference between the closing price of our common stock on Nasdaq on the last trading day of the fiscal year ($109.37 on November 1, 2019) and the option exercise price and multiplying it by the number of accelerated options. For time- and performance-based RSUs/RSAs the value represents the closing price of our common stock on the last trading day of the fiscal year multiplied by the number of accelerated units. For PRSUs, the number of accelerated units assumes vesting at the target level. Accelerated cash awards are equal to 100% of the award.</w:t>
      </w:r>
    </w:p>
    <w:p>
      <w:pPr>
        <w:spacing w:after="0" w:line="95" w:lineRule="exact"/>
        <w:rPr>
          <w:rFonts w:ascii="Arial" w:cs="Arial" w:eastAsia="Arial" w:hAnsi="Arial"/>
          <w:sz w:val="17"/>
          <w:szCs w:val="17"/>
          <w:color w:val="auto"/>
        </w:rPr>
      </w:pPr>
    </w:p>
    <w:p>
      <w:pPr>
        <w:ind w:left="640" w:right="60" w:hanging="436"/>
        <w:spacing w:after="0"/>
        <w:tabs>
          <w:tab w:leader="none" w:pos="6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As of November 2, 2019, upon termination by us without cause or by the NEO for good reason after a change in control event, the officer would be entitled to acceleration of vesting of all outstanding unvested stock options or time-based RSUs and PRSUs granted under the Company’s 2006 Stock Incentive Plan. The number of accelerated units/awards would be as follows:</w:t>
      </w:r>
    </w:p>
    <w:p>
      <w:pPr>
        <w:spacing w:after="0" w:line="219"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480" w:type="dxa"/>
            <w:vAlign w:val="bottom"/>
            <w:shd w:val="clear" w:color="auto" w:fill="052B82"/>
          </w:tcPr>
          <w:p>
            <w:pPr>
              <w:spacing w:after="0"/>
              <w:rPr>
                <w:sz w:val="14"/>
                <w:szCs w:val="14"/>
                <w:color w:val="auto"/>
              </w:rPr>
            </w:pPr>
          </w:p>
        </w:tc>
        <w:tc>
          <w:tcPr>
            <w:tcW w:w="1720" w:type="dxa"/>
            <w:vAlign w:val="bottom"/>
            <w:shd w:val="clear" w:color="auto" w:fill="052B82"/>
          </w:tcPr>
          <w:p>
            <w:pPr>
              <w:jc w:val="center"/>
              <w:ind w:right="1"/>
              <w:spacing w:after="0"/>
              <w:rPr>
                <w:sz w:val="20"/>
                <w:szCs w:val="20"/>
                <w:color w:val="auto"/>
              </w:rPr>
            </w:pPr>
            <w:r>
              <w:rPr>
                <w:rFonts w:ascii="Arial" w:cs="Arial" w:eastAsia="Arial" w:hAnsi="Arial"/>
                <w:sz w:val="14"/>
                <w:szCs w:val="14"/>
                <w:b w:val="1"/>
                <w:bCs w:val="1"/>
                <w:color w:val="FFFFFF"/>
              </w:rPr>
              <w:t>Number of</w:t>
            </w:r>
          </w:p>
        </w:tc>
        <w:tc>
          <w:tcPr>
            <w:tcW w:w="178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Number of</w:t>
            </w:r>
          </w:p>
        </w:tc>
        <w:tc>
          <w:tcPr>
            <w:tcW w:w="190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Number of</w:t>
            </w:r>
          </w:p>
        </w:tc>
        <w:tc>
          <w:tcPr>
            <w:tcW w:w="224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Number of</w:t>
            </w:r>
          </w:p>
        </w:tc>
      </w:tr>
      <w:tr>
        <w:trPr>
          <w:trHeight w:val="162"/>
        </w:trPr>
        <w:tc>
          <w:tcPr>
            <w:tcW w:w="2480" w:type="dxa"/>
            <w:vAlign w:val="bottom"/>
            <w:shd w:val="clear" w:color="auto" w:fill="052B82"/>
          </w:tcPr>
          <w:p>
            <w:pPr>
              <w:spacing w:after="0"/>
              <w:rPr>
                <w:sz w:val="14"/>
                <w:szCs w:val="14"/>
                <w:color w:val="auto"/>
              </w:rPr>
            </w:pPr>
          </w:p>
        </w:tc>
        <w:tc>
          <w:tcPr>
            <w:tcW w:w="1720" w:type="dxa"/>
            <w:vAlign w:val="bottom"/>
            <w:shd w:val="clear" w:color="auto" w:fill="052B82"/>
          </w:tcPr>
          <w:p>
            <w:pPr>
              <w:jc w:val="center"/>
              <w:ind w:right="1"/>
              <w:spacing w:after="0"/>
              <w:rPr>
                <w:sz w:val="20"/>
                <w:szCs w:val="20"/>
                <w:color w:val="auto"/>
              </w:rPr>
            </w:pPr>
            <w:r>
              <w:rPr>
                <w:rFonts w:ascii="Arial" w:cs="Arial" w:eastAsia="Arial" w:hAnsi="Arial"/>
                <w:sz w:val="14"/>
                <w:szCs w:val="14"/>
                <w:b w:val="1"/>
                <w:bCs w:val="1"/>
                <w:color w:val="FFFFFF"/>
              </w:rPr>
              <w:t>Unvested Cash</w:t>
            </w:r>
          </w:p>
        </w:tc>
        <w:tc>
          <w:tcPr>
            <w:tcW w:w="178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Unvested Option</w:t>
            </w:r>
          </w:p>
        </w:tc>
        <w:tc>
          <w:tcPr>
            <w:tcW w:w="190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Unvested Time-</w:t>
            </w:r>
          </w:p>
        </w:tc>
        <w:tc>
          <w:tcPr>
            <w:tcW w:w="224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Unvested Performance-</w:t>
            </w:r>
          </w:p>
        </w:tc>
      </w:tr>
      <w:tr>
        <w:trPr>
          <w:trHeight w:val="162"/>
        </w:trPr>
        <w:tc>
          <w:tcPr>
            <w:tcW w:w="2480" w:type="dxa"/>
            <w:vAlign w:val="bottom"/>
            <w:shd w:val="clear" w:color="auto" w:fill="052B82"/>
          </w:tcPr>
          <w:p>
            <w:pPr>
              <w:spacing w:after="0"/>
              <w:rPr>
                <w:sz w:val="14"/>
                <w:szCs w:val="14"/>
                <w:color w:val="auto"/>
              </w:rPr>
            </w:pPr>
          </w:p>
        </w:tc>
        <w:tc>
          <w:tcPr>
            <w:tcW w:w="1720" w:type="dxa"/>
            <w:vAlign w:val="bottom"/>
            <w:shd w:val="clear" w:color="auto" w:fill="052B82"/>
          </w:tcPr>
          <w:p>
            <w:pPr>
              <w:jc w:val="center"/>
              <w:ind w:right="21"/>
              <w:spacing w:after="0"/>
              <w:rPr>
                <w:sz w:val="20"/>
                <w:szCs w:val="20"/>
                <w:color w:val="auto"/>
              </w:rPr>
            </w:pPr>
            <w:r>
              <w:rPr>
                <w:rFonts w:ascii="Arial" w:cs="Arial" w:eastAsia="Arial" w:hAnsi="Arial"/>
                <w:sz w:val="14"/>
                <w:szCs w:val="14"/>
                <w:b w:val="1"/>
                <w:bCs w:val="1"/>
                <w:color w:val="FFFFFF"/>
              </w:rPr>
              <w:t>Awards that</w:t>
            </w:r>
          </w:p>
        </w:tc>
        <w:tc>
          <w:tcPr>
            <w:tcW w:w="178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Awards that</w:t>
            </w:r>
          </w:p>
        </w:tc>
        <w:tc>
          <w:tcPr>
            <w:tcW w:w="190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Based RSUs/</w:t>
            </w:r>
          </w:p>
        </w:tc>
        <w:tc>
          <w:tcPr>
            <w:tcW w:w="224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Based RSUs that</w:t>
            </w:r>
          </w:p>
        </w:tc>
      </w:tr>
      <w:tr>
        <w:trPr>
          <w:trHeight w:val="162"/>
        </w:trPr>
        <w:tc>
          <w:tcPr>
            <w:tcW w:w="2480" w:type="dxa"/>
            <w:vAlign w:val="bottom"/>
            <w:shd w:val="clear" w:color="auto" w:fill="052B82"/>
          </w:tcPr>
          <w:p>
            <w:pPr>
              <w:spacing w:after="0"/>
              <w:rPr>
                <w:sz w:val="14"/>
                <w:szCs w:val="14"/>
                <w:color w:val="auto"/>
              </w:rPr>
            </w:pPr>
          </w:p>
        </w:tc>
        <w:tc>
          <w:tcPr>
            <w:tcW w:w="1720" w:type="dxa"/>
            <w:vAlign w:val="bottom"/>
            <w:shd w:val="clear" w:color="auto" w:fill="052B82"/>
          </w:tcPr>
          <w:p>
            <w:pPr>
              <w:jc w:val="center"/>
              <w:ind w:right="1"/>
              <w:spacing w:after="0"/>
              <w:rPr>
                <w:sz w:val="20"/>
                <w:szCs w:val="20"/>
                <w:color w:val="auto"/>
              </w:rPr>
            </w:pPr>
            <w:r>
              <w:rPr>
                <w:rFonts w:ascii="Arial" w:cs="Arial" w:eastAsia="Arial" w:hAnsi="Arial"/>
                <w:sz w:val="14"/>
                <w:szCs w:val="14"/>
                <w:b w:val="1"/>
                <w:bCs w:val="1"/>
                <w:color w:val="FFFFFF"/>
              </w:rPr>
              <w:t>Accelerate upon</w:t>
            </w:r>
          </w:p>
        </w:tc>
        <w:tc>
          <w:tcPr>
            <w:tcW w:w="178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Accelerate upon</w:t>
            </w:r>
          </w:p>
        </w:tc>
        <w:tc>
          <w:tcPr>
            <w:tcW w:w="190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RSAs that</w:t>
            </w:r>
          </w:p>
        </w:tc>
        <w:tc>
          <w:tcPr>
            <w:tcW w:w="224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Accelerate upon</w:t>
            </w:r>
          </w:p>
        </w:tc>
      </w:tr>
      <w:tr>
        <w:trPr>
          <w:trHeight w:val="162"/>
        </w:trPr>
        <w:tc>
          <w:tcPr>
            <w:tcW w:w="2480" w:type="dxa"/>
            <w:vAlign w:val="bottom"/>
            <w:shd w:val="clear" w:color="auto" w:fill="052B82"/>
          </w:tcPr>
          <w:p>
            <w:pPr>
              <w:spacing w:after="0"/>
              <w:rPr>
                <w:sz w:val="14"/>
                <w:szCs w:val="14"/>
                <w:color w:val="auto"/>
              </w:rPr>
            </w:pPr>
          </w:p>
        </w:tc>
        <w:tc>
          <w:tcPr>
            <w:tcW w:w="1720" w:type="dxa"/>
            <w:vAlign w:val="bottom"/>
            <w:shd w:val="clear" w:color="auto" w:fill="052B82"/>
          </w:tcPr>
          <w:p>
            <w:pPr>
              <w:jc w:val="center"/>
              <w:ind w:right="1"/>
              <w:spacing w:after="0"/>
              <w:rPr>
                <w:sz w:val="20"/>
                <w:szCs w:val="20"/>
                <w:color w:val="auto"/>
              </w:rPr>
            </w:pPr>
            <w:r>
              <w:rPr>
                <w:rFonts w:ascii="Arial" w:cs="Arial" w:eastAsia="Arial" w:hAnsi="Arial"/>
                <w:sz w:val="14"/>
                <w:szCs w:val="14"/>
                <w:b w:val="1"/>
                <w:bCs w:val="1"/>
                <w:color w:val="FFFFFF"/>
              </w:rPr>
              <w:t>Termination After</w:t>
            </w:r>
          </w:p>
        </w:tc>
        <w:tc>
          <w:tcPr>
            <w:tcW w:w="178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Termination After</w:t>
            </w:r>
          </w:p>
        </w:tc>
        <w:tc>
          <w:tcPr>
            <w:tcW w:w="190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Accelerate upon</w:t>
            </w:r>
          </w:p>
        </w:tc>
        <w:tc>
          <w:tcPr>
            <w:tcW w:w="224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Termination After a</w:t>
            </w:r>
          </w:p>
        </w:tc>
      </w:tr>
      <w:tr>
        <w:trPr>
          <w:trHeight w:val="162"/>
        </w:trPr>
        <w:tc>
          <w:tcPr>
            <w:tcW w:w="2480" w:type="dxa"/>
            <w:vAlign w:val="bottom"/>
            <w:shd w:val="clear" w:color="auto" w:fill="052B82"/>
          </w:tcPr>
          <w:p>
            <w:pPr>
              <w:spacing w:after="0"/>
              <w:rPr>
                <w:sz w:val="14"/>
                <w:szCs w:val="14"/>
                <w:color w:val="auto"/>
              </w:rPr>
            </w:pPr>
          </w:p>
        </w:tc>
        <w:tc>
          <w:tcPr>
            <w:tcW w:w="1720" w:type="dxa"/>
            <w:vAlign w:val="bottom"/>
            <w:shd w:val="clear" w:color="auto" w:fill="052B82"/>
          </w:tcPr>
          <w:p>
            <w:pPr>
              <w:jc w:val="center"/>
              <w:ind w:right="1"/>
              <w:spacing w:after="0"/>
              <w:rPr>
                <w:sz w:val="20"/>
                <w:szCs w:val="20"/>
                <w:color w:val="auto"/>
              </w:rPr>
            </w:pPr>
            <w:r>
              <w:rPr>
                <w:rFonts w:ascii="Arial" w:cs="Arial" w:eastAsia="Arial" w:hAnsi="Arial"/>
                <w:sz w:val="14"/>
                <w:szCs w:val="14"/>
                <w:b w:val="1"/>
                <w:bCs w:val="1"/>
                <w:color w:val="FFFFFF"/>
              </w:rPr>
              <w:t>a Change in</w:t>
            </w:r>
          </w:p>
        </w:tc>
        <w:tc>
          <w:tcPr>
            <w:tcW w:w="178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a Change in</w:t>
            </w:r>
          </w:p>
        </w:tc>
        <w:tc>
          <w:tcPr>
            <w:tcW w:w="190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Termination After a</w:t>
            </w:r>
          </w:p>
        </w:tc>
        <w:tc>
          <w:tcPr>
            <w:tcW w:w="224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Change in Control at</w:t>
            </w:r>
          </w:p>
        </w:tc>
      </w:tr>
      <w:tr>
        <w:trPr>
          <w:trHeight w:val="189"/>
        </w:trPr>
        <w:tc>
          <w:tcPr>
            <w:tcW w:w="2480" w:type="dxa"/>
            <w:vAlign w:val="bottom"/>
            <w:shd w:val="clear" w:color="auto" w:fill="052B82"/>
          </w:tcPr>
          <w:p>
            <w:pPr>
              <w:ind w:left="20"/>
              <w:spacing w:after="0"/>
              <w:rPr>
                <w:sz w:val="20"/>
                <w:szCs w:val="20"/>
                <w:color w:val="auto"/>
              </w:rPr>
            </w:pPr>
            <w:r>
              <w:rPr>
                <w:rFonts w:ascii="Arial" w:cs="Arial" w:eastAsia="Arial" w:hAnsi="Arial"/>
                <w:sz w:val="14"/>
                <w:szCs w:val="14"/>
                <w:b w:val="1"/>
                <w:bCs w:val="1"/>
                <w:color w:val="FFFFFF"/>
              </w:rPr>
              <w:t>Name</w:t>
            </w:r>
          </w:p>
        </w:tc>
        <w:tc>
          <w:tcPr>
            <w:tcW w:w="1720" w:type="dxa"/>
            <w:vAlign w:val="bottom"/>
            <w:shd w:val="clear" w:color="auto" w:fill="052B82"/>
          </w:tcPr>
          <w:p>
            <w:pPr>
              <w:jc w:val="center"/>
              <w:ind w:right="1"/>
              <w:spacing w:after="0"/>
              <w:rPr>
                <w:sz w:val="20"/>
                <w:szCs w:val="20"/>
                <w:color w:val="auto"/>
              </w:rPr>
            </w:pPr>
            <w:r>
              <w:rPr>
                <w:rFonts w:ascii="Arial" w:cs="Arial" w:eastAsia="Arial" w:hAnsi="Arial"/>
                <w:sz w:val="14"/>
                <w:szCs w:val="14"/>
                <w:b w:val="1"/>
                <w:bCs w:val="1"/>
                <w:color w:val="FFFFFF"/>
              </w:rPr>
              <w:t>Control</w:t>
            </w:r>
          </w:p>
        </w:tc>
        <w:tc>
          <w:tcPr>
            <w:tcW w:w="178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Control</w:t>
            </w:r>
          </w:p>
        </w:tc>
        <w:tc>
          <w:tcPr>
            <w:tcW w:w="190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Change in Control</w:t>
            </w:r>
          </w:p>
        </w:tc>
        <w:tc>
          <w:tcPr>
            <w:tcW w:w="224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Target Achievement</w:t>
            </w:r>
          </w:p>
        </w:tc>
      </w:tr>
      <w:tr>
        <w:trPr>
          <w:trHeight w:val="203"/>
        </w:trPr>
        <w:tc>
          <w:tcPr>
            <w:tcW w:w="2480" w:type="dxa"/>
            <w:vAlign w:val="bottom"/>
          </w:tcPr>
          <w:p>
            <w:pPr>
              <w:ind w:left="40"/>
              <w:spacing w:after="0" w:line="202" w:lineRule="exact"/>
              <w:rPr>
                <w:sz w:val="20"/>
                <w:szCs w:val="20"/>
                <w:color w:val="auto"/>
              </w:rPr>
            </w:pPr>
            <w:r>
              <w:rPr>
                <w:rFonts w:ascii="Arial" w:cs="Arial" w:eastAsia="Arial" w:hAnsi="Arial"/>
                <w:sz w:val="18"/>
                <w:szCs w:val="18"/>
                <w:color w:val="auto"/>
              </w:rPr>
              <w:t>Vincent Roche</w:t>
            </w:r>
          </w:p>
        </w:tc>
        <w:tc>
          <w:tcPr>
            <w:tcW w:w="1720" w:type="dxa"/>
            <w:vAlign w:val="bottom"/>
          </w:tcPr>
          <w:p>
            <w:pPr>
              <w:ind w:left="1140"/>
              <w:spacing w:after="0" w:line="202" w:lineRule="exact"/>
              <w:rPr>
                <w:sz w:val="20"/>
                <w:szCs w:val="20"/>
                <w:color w:val="auto"/>
              </w:rPr>
            </w:pPr>
            <w:r>
              <w:rPr>
                <w:rFonts w:ascii="Arial" w:cs="Arial" w:eastAsia="Arial" w:hAnsi="Arial"/>
                <w:sz w:val="18"/>
                <w:szCs w:val="18"/>
                <w:color w:val="auto"/>
              </w:rPr>
              <w:t>—</w:t>
            </w:r>
          </w:p>
        </w:tc>
        <w:tc>
          <w:tcPr>
            <w:tcW w:w="1780" w:type="dxa"/>
            <w:vAlign w:val="bottom"/>
          </w:tcPr>
          <w:p>
            <w:pPr>
              <w:jc w:val="right"/>
              <w:ind w:right="221"/>
              <w:spacing w:after="0" w:line="202" w:lineRule="exact"/>
              <w:rPr>
                <w:sz w:val="20"/>
                <w:szCs w:val="20"/>
                <w:color w:val="auto"/>
              </w:rPr>
            </w:pPr>
            <w:r>
              <w:rPr>
                <w:rFonts w:ascii="Arial" w:cs="Arial" w:eastAsia="Arial" w:hAnsi="Arial"/>
                <w:sz w:val="18"/>
                <w:szCs w:val="18"/>
                <w:color w:val="auto"/>
              </w:rPr>
              <w:t>316,073</w:t>
            </w:r>
          </w:p>
        </w:tc>
        <w:tc>
          <w:tcPr>
            <w:tcW w:w="1900" w:type="dxa"/>
            <w:vAlign w:val="bottom"/>
          </w:tcPr>
          <w:p>
            <w:pPr>
              <w:jc w:val="right"/>
              <w:ind w:right="221"/>
              <w:spacing w:after="0" w:line="202" w:lineRule="exact"/>
              <w:rPr>
                <w:sz w:val="20"/>
                <w:szCs w:val="20"/>
                <w:color w:val="auto"/>
              </w:rPr>
            </w:pPr>
            <w:r>
              <w:rPr>
                <w:rFonts w:ascii="Arial" w:cs="Arial" w:eastAsia="Arial" w:hAnsi="Arial"/>
                <w:sz w:val="18"/>
                <w:szCs w:val="18"/>
                <w:color w:val="auto"/>
              </w:rPr>
              <w:t>67,564</w:t>
            </w:r>
          </w:p>
        </w:tc>
        <w:tc>
          <w:tcPr>
            <w:tcW w:w="2240" w:type="dxa"/>
            <w:vAlign w:val="bottom"/>
          </w:tcPr>
          <w:p>
            <w:pPr>
              <w:jc w:val="right"/>
              <w:ind w:right="241"/>
              <w:spacing w:after="0" w:line="202" w:lineRule="exact"/>
              <w:rPr>
                <w:sz w:val="20"/>
                <w:szCs w:val="20"/>
                <w:color w:val="auto"/>
              </w:rPr>
            </w:pPr>
            <w:r>
              <w:rPr>
                <w:rFonts w:ascii="Arial" w:cs="Arial" w:eastAsia="Arial" w:hAnsi="Arial"/>
                <w:sz w:val="18"/>
                <w:szCs w:val="18"/>
                <w:color w:val="auto"/>
              </w:rPr>
              <w:t>89,330</w:t>
            </w:r>
          </w:p>
        </w:tc>
      </w:tr>
      <w:tr>
        <w:trPr>
          <w:trHeight w:val="203"/>
        </w:trPr>
        <w:tc>
          <w:tcPr>
            <w:tcW w:w="2480" w:type="dxa"/>
            <w:vAlign w:val="bottom"/>
            <w:shd w:val="clear" w:color="auto" w:fill="E8EDF4"/>
          </w:tcPr>
          <w:p>
            <w:pPr>
              <w:ind w:left="40"/>
              <w:spacing w:after="0" w:line="202" w:lineRule="exact"/>
              <w:rPr>
                <w:sz w:val="20"/>
                <w:szCs w:val="20"/>
                <w:color w:val="auto"/>
              </w:rPr>
            </w:pPr>
            <w:r>
              <w:rPr>
                <w:rFonts w:ascii="Arial" w:cs="Arial" w:eastAsia="Arial" w:hAnsi="Arial"/>
                <w:sz w:val="18"/>
                <w:szCs w:val="18"/>
                <w:color w:val="auto"/>
              </w:rPr>
              <w:t>Prashanth Mahendra-Rajah</w:t>
            </w:r>
          </w:p>
        </w:tc>
        <w:tc>
          <w:tcPr>
            <w:tcW w:w="1720" w:type="dxa"/>
            <w:vAlign w:val="bottom"/>
            <w:shd w:val="clear" w:color="auto" w:fill="E8EDF4"/>
          </w:tcPr>
          <w:p>
            <w:pPr>
              <w:ind w:left="1140"/>
              <w:spacing w:after="0" w:line="202" w:lineRule="exact"/>
              <w:rPr>
                <w:sz w:val="20"/>
                <w:szCs w:val="20"/>
                <w:color w:val="auto"/>
              </w:rPr>
            </w:pPr>
            <w:r>
              <w:rPr>
                <w:rFonts w:ascii="Arial" w:cs="Arial" w:eastAsia="Arial" w:hAnsi="Arial"/>
                <w:sz w:val="18"/>
                <w:szCs w:val="18"/>
                <w:color w:val="auto"/>
              </w:rPr>
              <w:t>—</w:t>
            </w:r>
          </w:p>
        </w:tc>
        <w:tc>
          <w:tcPr>
            <w:tcW w:w="1780" w:type="dxa"/>
            <w:vAlign w:val="bottom"/>
            <w:shd w:val="clear" w:color="auto" w:fill="E8EDF4"/>
          </w:tcPr>
          <w:p>
            <w:pPr>
              <w:jc w:val="right"/>
              <w:ind w:right="221"/>
              <w:spacing w:after="0" w:line="202" w:lineRule="exact"/>
              <w:rPr>
                <w:sz w:val="20"/>
                <w:szCs w:val="20"/>
                <w:color w:val="auto"/>
              </w:rPr>
            </w:pPr>
            <w:r>
              <w:rPr>
                <w:rFonts w:ascii="Arial" w:cs="Arial" w:eastAsia="Arial" w:hAnsi="Arial"/>
                <w:sz w:val="18"/>
                <w:szCs w:val="18"/>
                <w:color w:val="auto"/>
              </w:rPr>
              <w:t>52,598</w:t>
            </w:r>
          </w:p>
        </w:tc>
        <w:tc>
          <w:tcPr>
            <w:tcW w:w="1900" w:type="dxa"/>
            <w:vAlign w:val="bottom"/>
            <w:shd w:val="clear" w:color="auto" w:fill="E8EDF4"/>
          </w:tcPr>
          <w:p>
            <w:pPr>
              <w:jc w:val="right"/>
              <w:ind w:right="221"/>
              <w:spacing w:after="0" w:line="202" w:lineRule="exact"/>
              <w:rPr>
                <w:sz w:val="20"/>
                <w:szCs w:val="20"/>
                <w:color w:val="auto"/>
              </w:rPr>
            </w:pPr>
            <w:r>
              <w:rPr>
                <w:rFonts w:ascii="Arial" w:cs="Arial" w:eastAsia="Arial" w:hAnsi="Arial"/>
                <w:sz w:val="18"/>
                <w:szCs w:val="18"/>
                <w:color w:val="auto"/>
              </w:rPr>
              <w:t>20,123</w:t>
            </w:r>
          </w:p>
        </w:tc>
        <w:tc>
          <w:tcPr>
            <w:tcW w:w="2240" w:type="dxa"/>
            <w:vAlign w:val="bottom"/>
            <w:shd w:val="clear" w:color="auto" w:fill="E8EDF4"/>
          </w:tcPr>
          <w:p>
            <w:pPr>
              <w:jc w:val="right"/>
              <w:ind w:right="241"/>
              <w:spacing w:after="0" w:line="202" w:lineRule="exact"/>
              <w:rPr>
                <w:sz w:val="20"/>
                <w:szCs w:val="20"/>
                <w:color w:val="auto"/>
              </w:rPr>
            </w:pPr>
            <w:r>
              <w:rPr>
                <w:rFonts w:ascii="Arial" w:cs="Arial" w:eastAsia="Arial" w:hAnsi="Arial"/>
                <w:sz w:val="18"/>
                <w:szCs w:val="18"/>
                <w:color w:val="auto"/>
              </w:rPr>
              <w:t>38,278</w:t>
            </w:r>
          </w:p>
        </w:tc>
      </w:tr>
      <w:tr>
        <w:trPr>
          <w:trHeight w:val="203"/>
        </w:trPr>
        <w:tc>
          <w:tcPr>
            <w:tcW w:w="2480" w:type="dxa"/>
            <w:vAlign w:val="bottom"/>
          </w:tcPr>
          <w:p>
            <w:pPr>
              <w:ind w:left="40"/>
              <w:spacing w:after="0" w:line="202" w:lineRule="exact"/>
              <w:rPr>
                <w:sz w:val="20"/>
                <w:szCs w:val="20"/>
                <w:color w:val="auto"/>
              </w:rPr>
            </w:pPr>
            <w:r>
              <w:rPr>
                <w:rFonts w:ascii="Arial" w:cs="Arial" w:eastAsia="Arial" w:hAnsi="Arial"/>
                <w:sz w:val="18"/>
                <w:szCs w:val="18"/>
                <w:color w:val="auto"/>
              </w:rPr>
              <w:t>Martin Cotter</w:t>
            </w:r>
          </w:p>
        </w:tc>
        <w:tc>
          <w:tcPr>
            <w:tcW w:w="1720" w:type="dxa"/>
            <w:vAlign w:val="bottom"/>
          </w:tcPr>
          <w:p>
            <w:pPr>
              <w:ind w:left="1140"/>
              <w:spacing w:after="0" w:line="202" w:lineRule="exact"/>
              <w:rPr>
                <w:sz w:val="20"/>
                <w:szCs w:val="20"/>
                <w:color w:val="auto"/>
              </w:rPr>
            </w:pPr>
            <w:r>
              <w:rPr>
                <w:rFonts w:ascii="Arial" w:cs="Arial" w:eastAsia="Arial" w:hAnsi="Arial"/>
                <w:sz w:val="18"/>
                <w:szCs w:val="18"/>
                <w:color w:val="auto"/>
              </w:rPr>
              <w:t>—</w:t>
            </w:r>
          </w:p>
        </w:tc>
        <w:tc>
          <w:tcPr>
            <w:tcW w:w="1780" w:type="dxa"/>
            <w:vAlign w:val="bottom"/>
          </w:tcPr>
          <w:p>
            <w:pPr>
              <w:jc w:val="right"/>
              <w:ind w:right="221"/>
              <w:spacing w:after="0" w:line="202" w:lineRule="exact"/>
              <w:rPr>
                <w:sz w:val="20"/>
                <w:szCs w:val="20"/>
                <w:color w:val="auto"/>
              </w:rPr>
            </w:pPr>
            <w:r>
              <w:rPr>
                <w:rFonts w:ascii="Arial" w:cs="Arial" w:eastAsia="Arial" w:hAnsi="Arial"/>
                <w:sz w:val="18"/>
                <w:szCs w:val="18"/>
                <w:color w:val="auto"/>
              </w:rPr>
              <w:t>60,072</w:t>
            </w:r>
          </w:p>
        </w:tc>
        <w:tc>
          <w:tcPr>
            <w:tcW w:w="1900" w:type="dxa"/>
            <w:vAlign w:val="bottom"/>
          </w:tcPr>
          <w:p>
            <w:pPr>
              <w:jc w:val="right"/>
              <w:ind w:right="221"/>
              <w:spacing w:after="0" w:line="202" w:lineRule="exact"/>
              <w:rPr>
                <w:sz w:val="20"/>
                <w:szCs w:val="20"/>
                <w:color w:val="auto"/>
              </w:rPr>
            </w:pPr>
            <w:r>
              <w:rPr>
                <w:rFonts w:ascii="Arial" w:cs="Arial" w:eastAsia="Arial" w:hAnsi="Arial"/>
                <w:sz w:val="18"/>
                <w:szCs w:val="18"/>
                <w:color w:val="auto"/>
              </w:rPr>
              <w:t>14,017</w:t>
            </w:r>
          </w:p>
        </w:tc>
        <w:tc>
          <w:tcPr>
            <w:tcW w:w="2240" w:type="dxa"/>
            <w:vAlign w:val="bottom"/>
          </w:tcPr>
          <w:p>
            <w:pPr>
              <w:jc w:val="right"/>
              <w:ind w:right="241"/>
              <w:spacing w:after="0" w:line="202" w:lineRule="exact"/>
              <w:rPr>
                <w:sz w:val="20"/>
                <w:szCs w:val="20"/>
                <w:color w:val="auto"/>
              </w:rPr>
            </w:pPr>
            <w:r>
              <w:rPr>
                <w:rFonts w:ascii="Arial" w:cs="Arial" w:eastAsia="Arial" w:hAnsi="Arial"/>
                <w:sz w:val="18"/>
                <w:szCs w:val="18"/>
                <w:color w:val="auto"/>
              </w:rPr>
              <w:t>30,619</w:t>
            </w:r>
          </w:p>
        </w:tc>
      </w:tr>
      <w:tr>
        <w:trPr>
          <w:trHeight w:val="203"/>
        </w:trPr>
        <w:tc>
          <w:tcPr>
            <w:tcW w:w="2480" w:type="dxa"/>
            <w:vAlign w:val="bottom"/>
            <w:shd w:val="clear" w:color="auto" w:fill="E8EDF4"/>
          </w:tcPr>
          <w:p>
            <w:pPr>
              <w:ind w:left="40"/>
              <w:spacing w:after="0" w:line="202" w:lineRule="exact"/>
              <w:rPr>
                <w:sz w:val="20"/>
                <w:szCs w:val="20"/>
                <w:color w:val="auto"/>
              </w:rPr>
            </w:pPr>
            <w:r>
              <w:rPr>
                <w:rFonts w:ascii="Arial" w:cs="Arial" w:eastAsia="Arial" w:hAnsi="Arial"/>
                <w:sz w:val="18"/>
                <w:szCs w:val="18"/>
                <w:color w:val="auto"/>
              </w:rPr>
              <w:t>John Hassett</w:t>
            </w:r>
          </w:p>
        </w:tc>
        <w:tc>
          <w:tcPr>
            <w:tcW w:w="1720" w:type="dxa"/>
            <w:vAlign w:val="bottom"/>
            <w:shd w:val="clear" w:color="auto" w:fill="E8EDF4"/>
          </w:tcPr>
          <w:p>
            <w:pPr>
              <w:ind w:left="1140"/>
              <w:spacing w:after="0" w:line="202" w:lineRule="exact"/>
              <w:rPr>
                <w:sz w:val="20"/>
                <w:szCs w:val="20"/>
                <w:color w:val="auto"/>
              </w:rPr>
            </w:pPr>
            <w:r>
              <w:rPr>
                <w:rFonts w:ascii="Arial" w:cs="Arial" w:eastAsia="Arial" w:hAnsi="Arial"/>
                <w:sz w:val="18"/>
                <w:szCs w:val="18"/>
                <w:color w:val="auto"/>
              </w:rPr>
              <w:t>—</w:t>
            </w:r>
          </w:p>
        </w:tc>
        <w:tc>
          <w:tcPr>
            <w:tcW w:w="1780" w:type="dxa"/>
            <w:vAlign w:val="bottom"/>
            <w:shd w:val="clear" w:color="auto" w:fill="E8EDF4"/>
          </w:tcPr>
          <w:p>
            <w:pPr>
              <w:jc w:val="right"/>
              <w:ind w:right="221"/>
              <w:spacing w:after="0" w:line="202" w:lineRule="exact"/>
              <w:rPr>
                <w:sz w:val="20"/>
                <w:szCs w:val="20"/>
                <w:color w:val="auto"/>
              </w:rPr>
            </w:pPr>
            <w:r>
              <w:rPr>
                <w:rFonts w:ascii="Arial" w:cs="Arial" w:eastAsia="Arial" w:hAnsi="Arial"/>
                <w:sz w:val="18"/>
                <w:szCs w:val="18"/>
                <w:color w:val="auto"/>
              </w:rPr>
              <w:t>57,353</w:t>
            </w:r>
          </w:p>
        </w:tc>
        <w:tc>
          <w:tcPr>
            <w:tcW w:w="1900" w:type="dxa"/>
            <w:vAlign w:val="bottom"/>
            <w:shd w:val="clear" w:color="auto" w:fill="E8EDF4"/>
          </w:tcPr>
          <w:p>
            <w:pPr>
              <w:jc w:val="right"/>
              <w:ind w:right="221"/>
              <w:spacing w:after="0" w:line="202" w:lineRule="exact"/>
              <w:rPr>
                <w:sz w:val="20"/>
                <w:szCs w:val="20"/>
                <w:color w:val="auto"/>
              </w:rPr>
            </w:pPr>
            <w:r>
              <w:rPr>
                <w:rFonts w:ascii="Arial" w:cs="Arial" w:eastAsia="Arial" w:hAnsi="Arial"/>
                <w:sz w:val="18"/>
                <w:szCs w:val="18"/>
                <w:color w:val="auto"/>
              </w:rPr>
              <w:t>14,444</w:t>
            </w:r>
          </w:p>
        </w:tc>
        <w:tc>
          <w:tcPr>
            <w:tcW w:w="2240" w:type="dxa"/>
            <w:vAlign w:val="bottom"/>
            <w:shd w:val="clear" w:color="auto" w:fill="E8EDF4"/>
          </w:tcPr>
          <w:p>
            <w:pPr>
              <w:jc w:val="right"/>
              <w:ind w:right="241"/>
              <w:spacing w:after="0" w:line="202" w:lineRule="exact"/>
              <w:rPr>
                <w:sz w:val="20"/>
                <w:szCs w:val="20"/>
                <w:color w:val="auto"/>
              </w:rPr>
            </w:pPr>
            <w:r>
              <w:rPr>
                <w:rFonts w:ascii="Arial" w:cs="Arial" w:eastAsia="Arial" w:hAnsi="Arial"/>
                <w:sz w:val="18"/>
                <w:szCs w:val="18"/>
                <w:color w:val="auto"/>
              </w:rPr>
              <w:t>32,060</w:t>
            </w:r>
          </w:p>
        </w:tc>
      </w:tr>
      <w:tr>
        <w:trPr>
          <w:trHeight w:val="217"/>
        </w:trPr>
        <w:tc>
          <w:tcPr>
            <w:tcW w:w="2480" w:type="dxa"/>
            <w:vAlign w:val="bottom"/>
          </w:tcPr>
          <w:p>
            <w:pPr>
              <w:ind w:left="40"/>
              <w:spacing w:after="0"/>
              <w:rPr>
                <w:sz w:val="20"/>
                <w:szCs w:val="20"/>
                <w:color w:val="auto"/>
              </w:rPr>
            </w:pPr>
            <w:r>
              <w:rPr>
                <w:rFonts w:ascii="Arial" w:cs="Arial" w:eastAsia="Arial" w:hAnsi="Arial"/>
                <w:sz w:val="18"/>
                <w:szCs w:val="18"/>
                <w:color w:val="auto"/>
              </w:rPr>
              <w:t>Steve Pietkiewicz</w:t>
            </w:r>
          </w:p>
        </w:tc>
        <w:tc>
          <w:tcPr>
            <w:tcW w:w="1720" w:type="dxa"/>
            <w:vAlign w:val="bottom"/>
          </w:tcPr>
          <w:p>
            <w:pPr>
              <w:ind w:left="760"/>
              <w:spacing w:after="0"/>
              <w:rPr>
                <w:sz w:val="20"/>
                <w:szCs w:val="20"/>
                <w:color w:val="auto"/>
              </w:rPr>
            </w:pPr>
            <w:r>
              <w:rPr>
                <w:rFonts w:ascii="Arial" w:cs="Arial" w:eastAsia="Arial" w:hAnsi="Arial"/>
                <w:sz w:val="18"/>
                <w:szCs w:val="18"/>
                <w:color w:val="auto"/>
              </w:rPr>
              <w:t>276,000</w:t>
            </w:r>
          </w:p>
        </w:tc>
        <w:tc>
          <w:tcPr>
            <w:tcW w:w="1780" w:type="dxa"/>
            <w:vAlign w:val="bottom"/>
          </w:tcPr>
          <w:p>
            <w:pPr>
              <w:jc w:val="right"/>
              <w:ind w:right="221"/>
              <w:spacing w:after="0"/>
              <w:rPr>
                <w:sz w:val="20"/>
                <w:szCs w:val="20"/>
                <w:color w:val="auto"/>
              </w:rPr>
            </w:pPr>
            <w:r>
              <w:rPr>
                <w:rFonts w:ascii="Arial" w:cs="Arial" w:eastAsia="Arial" w:hAnsi="Arial"/>
                <w:sz w:val="18"/>
                <w:szCs w:val="18"/>
                <w:color w:val="auto"/>
              </w:rPr>
              <w:t>53,696</w:t>
            </w:r>
          </w:p>
        </w:tc>
        <w:tc>
          <w:tcPr>
            <w:tcW w:w="1900" w:type="dxa"/>
            <w:vAlign w:val="bottom"/>
          </w:tcPr>
          <w:p>
            <w:pPr>
              <w:jc w:val="right"/>
              <w:ind w:right="221"/>
              <w:spacing w:after="0"/>
              <w:rPr>
                <w:sz w:val="20"/>
                <w:szCs w:val="20"/>
                <w:color w:val="auto"/>
              </w:rPr>
            </w:pPr>
            <w:r>
              <w:rPr>
                <w:rFonts w:ascii="Arial" w:cs="Arial" w:eastAsia="Arial" w:hAnsi="Arial"/>
                <w:sz w:val="18"/>
                <w:szCs w:val="18"/>
                <w:color w:val="auto"/>
              </w:rPr>
              <w:t>45,557</w:t>
            </w:r>
          </w:p>
        </w:tc>
        <w:tc>
          <w:tcPr>
            <w:tcW w:w="2240" w:type="dxa"/>
            <w:vAlign w:val="bottom"/>
          </w:tcPr>
          <w:p>
            <w:pPr>
              <w:jc w:val="right"/>
              <w:ind w:right="241"/>
              <w:spacing w:after="0"/>
              <w:rPr>
                <w:sz w:val="20"/>
                <w:szCs w:val="20"/>
                <w:color w:val="auto"/>
              </w:rPr>
            </w:pPr>
            <w:r>
              <w:rPr>
                <w:rFonts w:ascii="Arial" w:cs="Arial" w:eastAsia="Arial" w:hAnsi="Arial"/>
                <w:sz w:val="18"/>
                <w:szCs w:val="18"/>
                <w:color w:val="auto"/>
              </w:rPr>
              <w:t>27,521</w:t>
            </w:r>
          </w:p>
        </w:tc>
      </w:tr>
    </w:tbl>
    <w:p>
      <w:pPr>
        <w:spacing w:after="0" w:line="106" w:lineRule="exact"/>
        <w:rPr>
          <w:sz w:val="20"/>
          <w:szCs w:val="20"/>
          <w:color w:val="auto"/>
        </w:rPr>
      </w:pPr>
    </w:p>
    <w:p>
      <w:pPr>
        <w:ind w:left="640" w:right="180" w:hanging="436"/>
        <w:spacing w:after="0"/>
        <w:tabs>
          <w:tab w:leader="none" w:pos="6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Amounts include life, disability, dental, accident and group health insurance benefit continuation for 24 months after a termination in connection with a change in control. The annual benefit costs for each executive are: $18,259 for Mr. Roche, $23,092 for Mr. Mahendra-Rajah, $14,323 for Mr. Cotter, $16,580 for Mr. Hassett and $23,091 for Mr. Pietkiewicz.</w:t>
      </w:r>
    </w:p>
    <w:p>
      <w:pPr>
        <w:spacing w:after="0" w:line="135" w:lineRule="exact"/>
        <w:rPr>
          <w:sz w:val="20"/>
          <w:szCs w:val="20"/>
          <w:color w:val="auto"/>
        </w:rPr>
      </w:pPr>
    </w:p>
    <w:p>
      <w:pPr>
        <w:jc w:val="right"/>
        <w:ind w:right="20"/>
        <w:spacing w:after="0"/>
        <w:tabs>
          <w:tab w:leader="none" w:pos="200" w:val="left"/>
        </w:tabs>
        <w:rPr>
          <w:sz w:val="20"/>
          <w:szCs w:val="20"/>
          <w:color w:val="auto"/>
        </w:rPr>
      </w:pPr>
      <w:r>
        <w:rPr>
          <w:rFonts w:ascii="Arial" w:cs="Arial" w:eastAsia="Arial" w:hAnsi="Arial"/>
          <w:sz w:val="14"/>
          <w:szCs w:val="14"/>
          <w:b w:val="1"/>
          <w:bCs w:val="1"/>
          <w:color w:val="052B82"/>
        </w:rPr>
        <w:t>2020 Proxy Statement</w:t>
      </w:r>
      <w:r>
        <w:rPr>
          <w:sz w:val="20"/>
          <w:szCs w:val="20"/>
          <w:color w:val="auto"/>
        </w:rPr>
        <w:tab/>
      </w:r>
      <w:r>
        <w:rPr>
          <w:rFonts w:ascii="Arial" w:cs="Arial" w:eastAsia="Arial" w:hAnsi="Arial"/>
          <w:sz w:val="17"/>
          <w:szCs w:val="17"/>
          <w:color w:val="999999"/>
        </w:rPr>
        <w:t>65</w:t>
      </w:r>
    </w:p>
    <w:p>
      <w:pPr>
        <w:sectPr>
          <w:pgSz w:w="11900" w:h="16838" w:orient="portrait"/>
          <w:cols w:equalWidth="0" w:num="1">
            <w:col w:w="11240"/>
          </w:cols>
          <w:pgMar w:left="240" w:top="459" w:right="41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2649855" cy="13716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40" w:right="40" w:hanging="436"/>
        <w:spacing w:after="0" w:line="237" w:lineRule="auto"/>
        <w:tabs>
          <w:tab w:leader="none" w:pos="6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 calculating the excise tax gross-up amounts, we take into account Mr. Roche’s earnings from ADI for the prior five years. We include the change in control cash severance and bonus, valuations of unvested stock options that become vested upon a change in control (using the fiscal 2019 year-end closing stock price), valuations of time-based RSUs and PRSUs that become vested upon a change in control (using the fiscal 2019 year-end closing stock price), and our estimated cost of medical and other benefits. Whether Mr. Roche will receive a gross-up amount will depend primarily on his earnings in the previous five years, which will vary depending on stock option exercise activity and amounts of salary and incentives deferred under the DCP. Since 2009, our executive compensation arrangements for new executives do not contain tax gross up provisions for excess parachute payments.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52B82"/>
        </w:rPr>
        <w:t>CEO PAY RATIO</w:t>
      </w:r>
    </w:p>
    <w:p>
      <w:pPr>
        <w:spacing w:after="0" w:line="126" w:lineRule="exact"/>
        <w:rPr>
          <w:sz w:val="20"/>
          <w:szCs w:val="20"/>
          <w:color w:val="auto"/>
        </w:rPr>
      </w:pPr>
    </w:p>
    <w:p>
      <w:pPr>
        <w:jc w:val="both"/>
        <w:ind w:left="200" w:right="240" w:firstLine="441"/>
        <w:spacing w:after="0"/>
        <w:rPr>
          <w:sz w:val="20"/>
          <w:szCs w:val="20"/>
          <w:color w:val="auto"/>
        </w:rPr>
      </w:pPr>
      <w:r>
        <w:rPr>
          <w:rFonts w:ascii="Arial" w:cs="Arial" w:eastAsia="Arial" w:hAnsi="Arial"/>
          <w:sz w:val="18"/>
          <w:szCs w:val="18"/>
          <w:color w:val="auto"/>
        </w:rPr>
        <w:t>As required by Section 953(b) of the Dodd-Frank Wall Street Reform and Consumer Protection Act, and Item 402(u) of Regulation S-K, we are providing the following information about the relationship of the annual total compensation of our median employee and the annual total compensation of Vincent Roche, the Company’s President and Chief Executive Officer.</w:t>
      </w:r>
    </w:p>
    <w:p>
      <w:pPr>
        <w:spacing w:after="0" w:line="203" w:lineRule="exact"/>
        <w:rPr>
          <w:sz w:val="20"/>
          <w:szCs w:val="20"/>
          <w:color w:val="auto"/>
        </w:rPr>
      </w:pPr>
    </w:p>
    <w:p>
      <w:pPr>
        <w:ind w:left="200" w:right="140" w:firstLine="441"/>
        <w:spacing w:after="0" w:line="237" w:lineRule="auto"/>
        <w:rPr>
          <w:sz w:val="20"/>
          <w:szCs w:val="20"/>
          <w:color w:val="auto"/>
        </w:rPr>
      </w:pPr>
      <w:r>
        <w:rPr>
          <w:rFonts w:ascii="Arial" w:cs="Arial" w:eastAsia="Arial" w:hAnsi="Arial"/>
          <w:sz w:val="18"/>
          <w:szCs w:val="18"/>
          <w:color w:val="auto"/>
        </w:rPr>
        <w:t>This pay ratio is a reasonable estimate calculated in a manner consistent with SEC rules based on our human resources system of records and the methodology described below. Because the SEC rules for identifying the median employee and calculating the pay ratio based on that employee’s annual total compensation allow companies to adopt a variety of methodologies, to apply certain exclusions, and to make reasonable estimates and assumptions that reflect their compensation practices, the pay ratio reported by other companies may not be comparable to the pay ratio reported below, as other companies may have different employment and compensation practices and may utilize different methodologies, exclusions, estimates, and assumptions in calculating their own pay ratios.</w:t>
      </w:r>
    </w:p>
    <w:p>
      <w:pPr>
        <w:spacing w:after="0" w:line="205" w:lineRule="exact"/>
        <w:rPr>
          <w:sz w:val="20"/>
          <w:szCs w:val="20"/>
          <w:color w:val="auto"/>
        </w:rPr>
      </w:pPr>
    </w:p>
    <w:p>
      <w:pPr>
        <w:ind w:left="200" w:firstLine="441"/>
        <w:spacing w:after="0" w:line="237" w:lineRule="auto"/>
        <w:rPr>
          <w:sz w:val="20"/>
          <w:szCs w:val="20"/>
          <w:color w:val="auto"/>
        </w:rPr>
      </w:pPr>
      <w:r>
        <w:rPr>
          <w:rFonts w:ascii="Arial" w:cs="Arial" w:eastAsia="Arial" w:hAnsi="Arial"/>
          <w:sz w:val="18"/>
          <w:szCs w:val="18"/>
          <w:color w:val="auto"/>
        </w:rPr>
        <w:t>As permitted by SEC rules, we used the same median employee for our fiscal 2019 pay ratio calculation as we used for our fiscal 2018 calculation included in last year’s proxy statement. We believe it is reasonable to use the same median employee for purposes of the pay ratio calculation because there was no material change in our employee population or in the median employee’s compensation arrangement or other material change that would significantly affect our pay ratio calculation. To identify the median employee in fiscal 2018 and to determine such employee’s annual total compensation, we used the following methodology and material assumptions, adjustments and estimates:</w:t>
      </w:r>
    </w:p>
    <w:p>
      <w:pPr>
        <w:spacing w:after="0" w:line="111" w:lineRule="exact"/>
        <w:rPr>
          <w:sz w:val="20"/>
          <w:szCs w:val="20"/>
          <w:color w:val="auto"/>
        </w:rPr>
      </w:pPr>
    </w:p>
    <w:p>
      <w:pPr>
        <w:ind w:left="1180" w:right="280" w:hanging="436"/>
        <w:spacing w:after="0" w:line="246" w:lineRule="auto"/>
        <w:tabs>
          <w:tab w:leader="none" w:pos="11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We selected November 3, 2018, as the date upon which we would identify the “median employee.” As noted above, we are using the same median employee for the fiscal 2019 pay ratio calculation.</w:t>
      </w:r>
    </w:p>
    <w:p>
      <w:pPr>
        <w:spacing w:after="0" w:line="102" w:lineRule="exact"/>
        <w:rPr>
          <w:rFonts w:ascii="Arial" w:cs="Arial" w:eastAsia="Arial" w:hAnsi="Arial"/>
          <w:sz w:val="18"/>
          <w:szCs w:val="18"/>
          <w:color w:val="auto"/>
        </w:rPr>
      </w:pPr>
    </w:p>
    <w:p>
      <w:pPr>
        <w:ind w:left="1180" w:right="520" w:hanging="436"/>
        <w:spacing w:after="0" w:line="246" w:lineRule="auto"/>
        <w:tabs>
          <w:tab w:leader="none" w:pos="11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We used our global employee population as of this date, which includes operators located in our manufacturing facilities around the world, including the Philippines.</w:t>
      </w:r>
    </w:p>
    <w:p>
      <w:pPr>
        <w:spacing w:after="0" w:line="102" w:lineRule="exact"/>
        <w:rPr>
          <w:rFonts w:ascii="Arial" w:cs="Arial" w:eastAsia="Arial" w:hAnsi="Arial"/>
          <w:sz w:val="18"/>
          <w:szCs w:val="18"/>
          <w:color w:val="auto"/>
        </w:rPr>
      </w:pPr>
    </w:p>
    <w:p>
      <w:pPr>
        <w:ind w:left="1180" w:right="340" w:hanging="436"/>
        <w:spacing w:after="0"/>
        <w:tabs>
          <w:tab w:leader="none" w:pos="11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To identify the median employee, we used annual base salary and target bonus (or sales incentive) at a target of 1.0x of annual base salary. Base salaries were annualized for all permanent employees who were employees for less than the full fiscal year and not on an unpaid leave of absence as of the identification date.</w:t>
      </w:r>
    </w:p>
    <w:p>
      <w:pPr>
        <w:spacing w:after="0" w:line="108" w:lineRule="exact"/>
        <w:rPr>
          <w:rFonts w:ascii="Arial" w:cs="Arial" w:eastAsia="Arial" w:hAnsi="Arial"/>
          <w:sz w:val="18"/>
          <w:szCs w:val="18"/>
          <w:color w:val="auto"/>
        </w:rPr>
      </w:pPr>
    </w:p>
    <w:p>
      <w:pPr>
        <w:ind w:left="1180" w:right="40" w:hanging="436"/>
        <w:spacing w:after="0" w:line="246" w:lineRule="auto"/>
        <w:tabs>
          <w:tab w:leader="none" w:pos="11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We identified and calculated the elements of the median employee’s total compensation for fiscal 2018 in accordance with the requirements of Item 402(c)(2)(x) of Regulation S-K.</w:t>
      </w:r>
    </w:p>
    <w:p>
      <w:pPr>
        <w:spacing w:after="0" w:line="102" w:lineRule="exact"/>
        <w:rPr>
          <w:rFonts w:ascii="Arial" w:cs="Arial" w:eastAsia="Arial" w:hAnsi="Arial"/>
          <w:sz w:val="18"/>
          <w:szCs w:val="18"/>
          <w:color w:val="auto"/>
        </w:rPr>
      </w:pPr>
    </w:p>
    <w:p>
      <w:pPr>
        <w:ind w:left="1180" w:right="560" w:hanging="436"/>
        <w:spacing w:after="0" w:line="246" w:lineRule="auto"/>
        <w:tabs>
          <w:tab w:leader="none" w:pos="11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We applied the exchange rate that we utilize in our accounting system, as of our fiscal year end (November 3, 2018), to convert foreign currency to U.S. dollars.</w:t>
      </w:r>
    </w:p>
    <w:p>
      <w:pPr>
        <w:spacing w:after="0" w:line="197" w:lineRule="exact"/>
        <w:rPr>
          <w:sz w:val="20"/>
          <w:szCs w:val="20"/>
          <w:color w:val="auto"/>
        </w:rPr>
      </w:pPr>
    </w:p>
    <w:p>
      <w:pPr>
        <w:ind w:left="200" w:right="20" w:firstLine="441"/>
        <w:spacing w:after="0" w:line="238" w:lineRule="auto"/>
        <w:rPr>
          <w:sz w:val="20"/>
          <w:szCs w:val="20"/>
          <w:color w:val="auto"/>
        </w:rPr>
      </w:pPr>
      <w:r>
        <w:rPr>
          <w:rFonts w:ascii="Arial" w:cs="Arial" w:eastAsia="Arial" w:hAnsi="Arial"/>
          <w:sz w:val="18"/>
          <w:szCs w:val="18"/>
          <w:color w:val="auto"/>
        </w:rPr>
        <w:t>For fiscal 2019, the annual total compensation of the same median employee was $62,277. The annual total compensation of our Chief Executive Officer for fiscal 2019 was $11,948,434, which is the annual total compensation of our Chief Executive Officer reported in the “Total” column of the Summary Compensation Table appearing on page 54. Based on this information, the ratio of the annual total compensation of our Chief Executive Officer to the median of the annual total compensation of all other employees was approximately 192 to 1.</w:t>
      </w:r>
    </w:p>
    <w:p>
      <w:pPr>
        <w:spacing w:after="0" w:line="133" w:lineRule="exact"/>
        <w:rPr>
          <w:sz w:val="20"/>
          <w:szCs w:val="20"/>
          <w:color w:val="auto"/>
        </w:rPr>
      </w:pPr>
    </w:p>
    <w:p>
      <w:pPr>
        <w:ind w:left="600" w:hanging="396"/>
        <w:spacing w:after="0"/>
        <w:tabs>
          <w:tab w:leader="none" w:pos="600" w:val="left"/>
        </w:tabs>
        <w:numPr>
          <w:ilvl w:val="0"/>
          <w:numId w:val="110"/>
        </w:numPr>
        <w:rPr>
          <w:rFonts w:ascii="Arial" w:cs="Arial" w:eastAsia="Arial" w:hAnsi="Arial"/>
          <w:sz w:val="18"/>
          <w:szCs w:val="18"/>
          <w:color w:val="999999"/>
        </w:rPr>
      </w:pPr>
      <w:r>
        <w:rPr>
          <w:rFonts w:ascii="Arial" w:cs="Arial" w:eastAsia="Arial" w:hAnsi="Arial"/>
          <w:sz w:val="14"/>
          <w:szCs w:val="14"/>
          <w:b w:val="1"/>
          <w:bCs w:val="1"/>
          <w:color w:val="052B82"/>
        </w:rPr>
        <w:t>Analog Devices, Inc.</w:t>
      </w:r>
    </w:p>
    <w:p>
      <w:pPr>
        <w:sectPr>
          <w:pgSz w:w="11900" w:h="16838" w:orient="portrait"/>
          <w:cols w:equalWidth="0" w:num="1">
            <w:col w:w="11220"/>
          </w:cols>
          <w:pgMar w:left="24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205740</wp:posOffset>
            </wp:positionV>
            <wp:extent cx="2649855" cy="13716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52B82"/>
        </w:rPr>
        <w:t>EQUITY AWARD PROGRAM DESCRIPTION</w:t>
      </w:r>
    </w:p>
    <w:p>
      <w:pPr>
        <w:spacing w:after="0" w:line="126" w:lineRule="exact"/>
        <w:rPr>
          <w:sz w:val="20"/>
          <w:szCs w:val="20"/>
          <w:color w:val="auto"/>
        </w:rPr>
      </w:pPr>
    </w:p>
    <w:p>
      <w:pPr>
        <w:ind w:left="200" w:right="140" w:firstLine="441"/>
        <w:spacing w:after="0" w:line="236" w:lineRule="auto"/>
        <w:rPr>
          <w:sz w:val="20"/>
          <w:szCs w:val="20"/>
          <w:color w:val="auto"/>
        </w:rPr>
      </w:pPr>
      <w:r>
        <w:rPr>
          <w:rFonts w:ascii="Arial" w:cs="Arial" w:eastAsia="Arial" w:hAnsi="Arial"/>
          <w:sz w:val="18"/>
          <w:szCs w:val="18"/>
          <w:color w:val="auto"/>
        </w:rPr>
        <w:t>Our equity award program is a broad-based, long-term employee retention program that is intended to attract, retain and motivate our employees, officers and directors and to align their interests with those of our shareholders. Under our 2006 Stock Incentive Plan, we may grant options to purchase shares of our common stock, stock appreciation rights, restricted stock, restricted stock units and other stock-based awards to all employees, officers, directors, consultants and advisors of ADI. All stock options have a term of ten years, and for employees, generally vest in four equal installments on each of the first, second, third and fourth anniversaries of the date of grant, subject to full or partial acceleration upon death, disability or a change in control. The 2006 Stock Incentive Plan does not permit us to grant options at exercise prices that are below the fair market value of our common stock on the date of grant. Generally, our employee time-based RSUs vest in four equal installments on each of the first, second, third and fourth anniversaries of the date of grant. Our TSR PRSUs have three year performance periods under which the number of shares of ADI common stock received following vesting, if any, will be based on ADI’s TSR performance measured against the median TSR of a comparator group of companies over the three-year period. Our financial metric PRSUs have a three year vesting period under which the number of shares of ADI common stock received following vesting, if any, will be based on ADI’s achievement of non-GAAP OPBT targets set by the Compensation Committee for one-year, two-year cumulative and three-year cumulative performance periods. RSUs granted under the 2006 Stock Incentive Plan are subject to full or partial acceleration upon death, disability or a change in control.</w:t>
      </w:r>
    </w:p>
    <w:p>
      <w:pPr>
        <w:spacing w:after="0" w:line="203" w:lineRule="exact"/>
        <w:rPr>
          <w:sz w:val="20"/>
          <w:szCs w:val="20"/>
          <w:color w:val="auto"/>
        </w:rPr>
      </w:pPr>
    </w:p>
    <w:p>
      <w:pPr>
        <w:ind w:left="200" w:right="40" w:firstLine="441"/>
        <w:spacing w:after="0" w:line="236" w:lineRule="auto"/>
        <w:rPr>
          <w:sz w:val="20"/>
          <w:szCs w:val="20"/>
          <w:color w:val="auto"/>
        </w:rPr>
      </w:pPr>
      <w:r>
        <w:rPr>
          <w:rFonts w:ascii="Arial" w:cs="Arial" w:eastAsia="Arial" w:hAnsi="Arial"/>
          <w:sz w:val="18"/>
          <w:szCs w:val="18"/>
          <w:color w:val="auto"/>
        </w:rPr>
        <w:t>Under our 2010 Plan, which we assumed as part of the Linear Technology acquisition, we may grant options to purchase shares of our common stock, stock appreciation rights, restricted stock, restricted stock units and other stock-based awards to legacy Linear employees. All stock options have a term of ten years, and for employees, generally vest in four equal installments on each of the first, second, third and fourth anniversaries of the date of grant, subject to full or partial acceleration upon death or disability. The 2010 Plan does not permit us to grant options at exercise prices that are below the fair market value of our common stock on the date of grant. Generally, our employee time-based RSUs vest in four equal installments on each of the first, second, third and fourth anniversaries of the date of grant. RSUs under the 2010 Plan are subject to full or partial acceleration upon death or disability. The Compensation Committee has discretion to determine the treatment of outstanding awards under the 2010 Plan in the event of a change in control.</w:t>
      </w:r>
    </w:p>
    <w:p>
      <w:pPr>
        <w:spacing w:after="0" w:line="208" w:lineRule="exact"/>
        <w:rPr>
          <w:sz w:val="20"/>
          <w:szCs w:val="20"/>
          <w:color w:val="auto"/>
        </w:rPr>
      </w:pPr>
    </w:p>
    <w:p>
      <w:pPr>
        <w:ind w:left="200" w:right="80" w:firstLine="441"/>
        <w:spacing w:after="0" w:line="237" w:lineRule="auto"/>
        <w:rPr>
          <w:sz w:val="20"/>
          <w:szCs w:val="20"/>
          <w:color w:val="auto"/>
        </w:rPr>
      </w:pPr>
      <w:r>
        <w:rPr>
          <w:rFonts w:ascii="Arial" w:cs="Arial" w:eastAsia="Arial" w:hAnsi="Arial"/>
          <w:sz w:val="18"/>
          <w:szCs w:val="18"/>
          <w:color w:val="auto"/>
        </w:rPr>
        <w:t>As part of the Linear Technology acquisition, we also assumed the 2005 Plan and converted certain outstanding Linear RSU and restricted stock awards based on share exchange ratios determined in accordance with the merger agreement. The resulting Company stock-based award (either an RSU or an RSA) continue to vest on the same schedule provided under the original Linear RSU or Linear RSA, as applicable. The Company is not granting new awards under the 2005 Plan. RSUs and RSAs under the 2005 Plan are subject to full or partial acceleration upon death or disability. The Compensation Committee has discretion to determine the treatment of outstanding awards under the 2005 Plan in the event of a change in control.</w:t>
      </w:r>
    </w:p>
    <w:p>
      <w:pPr>
        <w:spacing w:after="0" w:line="205" w:lineRule="exact"/>
        <w:rPr>
          <w:sz w:val="20"/>
          <w:szCs w:val="20"/>
          <w:color w:val="auto"/>
        </w:rPr>
      </w:pPr>
    </w:p>
    <w:p>
      <w:pPr>
        <w:jc w:val="both"/>
        <w:ind w:left="200" w:right="120" w:firstLine="441"/>
        <w:spacing w:after="0"/>
        <w:rPr>
          <w:sz w:val="20"/>
          <w:szCs w:val="20"/>
          <w:color w:val="auto"/>
        </w:rPr>
      </w:pPr>
      <w:r>
        <w:rPr>
          <w:rFonts w:ascii="Arial" w:cs="Arial" w:eastAsia="Arial" w:hAnsi="Arial"/>
          <w:sz w:val="18"/>
          <w:szCs w:val="18"/>
          <w:color w:val="auto"/>
        </w:rPr>
        <w:t>We can make equity award grants to executive officers and directors only from shareholder-approved plans after the Compensation Committee reviews and approves the grants. All members of the Compensation Committee are independent directors, as defined by the Nasdaq Rules.</w:t>
      </w:r>
    </w:p>
    <w:p>
      <w:pPr>
        <w:spacing w:after="0" w:line="13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4"/>
          <w:szCs w:val="14"/>
          <w:b w:val="1"/>
          <w:bCs w:val="1"/>
          <w:color w:val="052B82"/>
        </w:rPr>
        <w:t>2020 Proxy Statement</w:t>
      </w:r>
      <w:r>
        <w:rPr>
          <w:sz w:val="20"/>
          <w:szCs w:val="20"/>
          <w:color w:val="auto"/>
        </w:rPr>
        <w:tab/>
      </w:r>
      <w:r>
        <w:rPr>
          <w:rFonts w:ascii="Arial" w:cs="Arial" w:eastAsia="Arial" w:hAnsi="Arial"/>
          <w:sz w:val="17"/>
          <w:szCs w:val="17"/>
          <w:color w:val="999999"/>
        </w:rPr>
        <w:t>67</w:t>
      </w:r>
    </w:p>
    <w:p>
      <w:pPr>
        <w:sectPr>
          <w:pgSz w:w="11900" w:h="16838" w:orient="portrait"/>
          <w:cols w:equalWidth="0" w:num="1">
            <w:col w:w="11220"/>
          </w:cols>
          <w:pgMar w:left="24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2649855" cy="13716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52B82"/>
        </w:rPr>
        <w:t>SECURITIES AUTHORIZED FOR ISSUANCE UNDER EQUITY COMPENSATION PLANS</w:t>
      </w:r>
    </w:p>
    <w:p>
      <w:pPr>
        <w:spacing w:after="0" w:line="126" w:lineRule="exact"/>
        <w:rPr>
          <w:sz w:val="20"/>
          <w:szCs w:val="20"/>
          <w:color w:val="auto"/>
        </w:rPr>
      </w:pPr>
    </w:p>
    <w:p>
      <w:pPr>
        <w:ind w:left="200" w:right="160" w:firstLine="441"/>
        <w:spacing w:after="0"/>
        <w:rPr>
          <w:sz w:val="20"/>
          <w:szCs w:val="20"/>
          <w:color w:val="auto"/>
        </w:rPr>
      </w:pPr>
      <w:r>
        <w:rPr>
          <w:rFonts w:ascii="Arial" w:cs="Arial" w:eastAsia="Arial" w:hAnsi="Arial"/>
          <w:sz w:val="18"/>
          <w:szCs w:val="18"/>
          <w:color w:val="auto"/>
        </w:rPr>
        <w:t>The following table provides information as of November 2, 2019 about the securities which are either already issued, or authorized for future issuance, under our 2006 Stock Incentive Plan, as well as our 2005 Plan and our 2010 Plan, which were both assumed in connection with the Linear Technology acquisition.</w:t>
      </w:r>
    </w:p>
    <w:p>
      <w:pPr>
        <w:spacing w:after="0" w:line="231"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3920" w:type="dxa"/>
            <w:vAlign w:val="bottom"/>
            <w:shd w:val="clear" w:color="auto" w:fill="052B82"/>
          </w:tcPr>
          <w:p>
            <w:pPr>
              <w:spacing w:after="0"/>
              <w:rPr>
                <w:sz w:val="14"/>
                <w:szCs w:val="14"/>
                <w:color w:val="auto"/>
              </w:rPr>
            </w:pPr>
          </w:p>
        </w:tc>
        <w:tc>
          <w:tcPr>
            <w:tcW w:w="80" w:type="dxa"/>
            <w:vAlign w:val="bottom"/>
            <w:shd w:val="clear" w:color="auto" w:fill="052B82"/>
          </w:tcPr>
          <w:p>
            <w:pPr>
              <w:spacing w:after="0"/>
              <w:rPr>
                <w:sz w:val="14"/>
                <w:szCs w:val="14"/>
                <w:color w:val="auto"/>
              </w:rPr>
            </w:pPr>
          </w:p>
        </w:tc>
        <w:tc>
          <w:tcPr>
            <w:tcW w:w="2120" w:type="dxa"/>
            <w:vAlign w:val="bottom"/>
            <w:gridSpan w:val="2"/>
            <w:shd w:val="clear" w:color="auto" w:fill="052B82"/>
          </w:tcPr>
          <w:p>
            <w:pPr>
              <w:jc w:val="center"/>
              <w:ind w:right="300"/>
              <w:spacing w:after="0"/>
              <w:rPr>
                <w:sz w:val="20"/>
                <w:szCs w:val="20"/>
                <w:color w:val="auto"/>
              </w:rPr>
            </w:pPr>
            <w:r>
              <w:rPr>
                <w:rFonts w:ascii="Arial" w:cs="Arial" w:eastAsia="Arial" w:hAnsi="Arial"/>
                <w:sz w:val="14"/>
                <w:szCs w:val="14"/>
                <w:b w:val="1"/>
                <w:bCs w:val="1"/>
                <w:color w:val="FFFFFF"/>
              </w:rPr>
              <w:t>(a)</w:t>
            </w:r>
          </w:p>
        </w:tc>
        <w:tc>
          <w:tcPr>
            <w:tcW w:w="280" w:type="dxa"/>
            <w:vAlign w:val="bottom"/>
            <w:shd w:val="clear" w:color="auto" w:fill="052B82"/>
          </w:tcPr>
          <w:p>
            <w:pPr>
              <w:spacing w:after="0"/>
              <w:rPr>
                <w:sz w:val="14"/>
                <w:szCs w:val="14"/>
                <w:color w:val="auto"/>
              </w:rPr>
            </w:pPr>
          </w:p>
        </w:tc>
        <w:tc>
          <w:tcPr>
            <w:tcW w:w="2100" w:type="dxa"/>
            <w:vAlign w:val="bottom"/>
            <w:shd w:val="clear" w:color="auto" w:fill="052B82"/>
          </w:tcPr>
          <w:p>
            <w:pPr>
              <w:jc w:val="center"/>
              <w:ind w:right="397"/>
              <w:spacing w:after="0"/>
              <w:rPr>
                <w:sz w:val="20"/>
                <w:szCs w:val="20"/>
                <w:color w:val="auto"/>
              </w:rPr>
            </w:pPr>
            <w:r>
              <w:rPr>
                <w:rFonts w:ascii="Arial" w:cs="Arial" w:eastAsia="Arial" w:hAnsi="Arial"/>
                <w:sz w:val="14"/>
                <w:szCs w:val="14"/>
                <w:b w:val="1"/>
                <w:bCs w:val="1"/>
                <w:color w:val="FFFFFF"/>
              </w:rPr>
              <w:t>(b)</w:t>
            </w:r>
          </w:p>
        </w:tc>
        <w:tc>
          <w:tcPr>
            <w:tcW w:w="80" w:type="dxa"/>
            <w:vAlign w:val="bottom"/>
            <w:shd w:val="clear" w:color="auto" w:fill="052B82"/>
          </w:tcPr>
          <w:p>
            <w:pPr>
              <w:spacing w:after="0"/>
              <w:rPr>
                <w:sz w:val="14"/>
                <w:szCs w:val="14"/>
                <w:color w:val="auto"/>
              </w:rPr>
            </w:pPr>
          </w:p>
        </w:tc>
        <w:tc>
          <w:tcPr>
            <w:tcW w:w="2440" w:type="dxa"/>
            <w:vAlign w:val="bottom"/>
            <w:gridSpan w:val="2"/>
            <w:shd w:val="clear" w:color="auto" w:fill="052B82"/>
          </w:tcPr>
          <w:p>
            <w:pPr>
              <w:jc w:val="center"/>
              <w:ind w:right="300"/>
              <w:spacing w:after="0"/>
              <w:rPr>
                <w:sz w:val="20"/>
                <w:szCs w:val="20"/>
                <w:color w:val="auto"/>
              </w:rPr>
            </w:pPr>
            <w:r>
              <w:rPr>
                <w:rFonts w:ascii="Arial" w:cs="Arial" w:eastAsia="Arial" w:hAnsi="Arial"/>
                <w:sz w:val="14"/>
                <w:szCs w:val="14"/>
                <w:b w:val="1"/>
                <w:bCs w:val="1"/>
                <w:color w:val="FFFFFF"/>
              </w:rPr>
              <w:t>(c)</w:t>
            </w:r>
          </w:p>
        </w:tc>
      </w:tr>
      <w:tr>
        <w:trPr>
          <w:trHeight w:val="162"/>
        </w:trPr>
        <w:tc>
          <w:tcPr>
            <w:tcW w:w="3920" w:type="dxa"/>
            <w:vAlign w:val="bottom"/>
            <w:shd w:val="clear" w:color="auto" w:fill="052B82"/>
          </w:tcPr>
          <w:p>
            <w:pPr>
              <w:spacing w:after="0"/>
              <w:rPr>
                <w:sz w:val="14"/>
                <w:szCs w:val="14"/>
                <w:color w:val="auto"/>
              </w:rPr>
            </w:pPr>
          </w:p>
        </w:tc>
        <w:tc>
          <w:tcPr>
            <w:tcW w:w="80" w:type="dxa"/>
            <w:vAlign w:val="bottom"/>
            <w:shd w:val="clear" w:color="auto" w:fill="052B82"/>
          </w:tcPr>
          <w:p>
            <w:pPr>
              <w:spacing w:after="0"/>
              <w:rPr>
                <w:sz w:val="14"/>
                <w:szCs w:val="14"/>
                <w:color w:val="auto"/>
              </w:rPr>
            </w:pPr>
          </w:p>
        </w:tc>
        <w:tc>
          <w:tcPr>
            <w:tcW w:w="1840" w:type="dxa"/>
            <w:vAlign w:val="bottom"/>
            <w:shd w:val="clear" w:color="auto" w:fill="052B82"/>
          </w:tcPr>
          <w:p>
            <w:pPr>
              <w:spacing w:after="0"/>
              <w:rPr>
                <w:sz w:val="14"/>
                <w:szCs w:val="14"/>
                <w:color w:val="auto"/>
              </w:rPr>
            </w:pPr>
          </w:p>
        </w:tc>
        <w:tc>
          <w:tcPr>
            <w:tcW w:w="280" w:type="dxa"/>
            <w:vAlign w:val="bottom"/>
            <w:shd w:val="clear" w:color="auto" w:fill="052B82"/>
          </w:tcPr>
          <w:p>
            <w:pPr>
              <w:spacing w:after="0"/>
              <w:rPr>
                <w:sz w:val="14"/>
                <w:szCs w:val="14"/>
                <w:color w:val="auto"/>
              </w:rPr>
            </w:pPr>
          </w:p>
        </w:tc>
        <w:tc>
          <w:tcPr>
            <w:tcW w:w="280" w:type="dxa"/>
            <w:vAlign w:val="bottom"/>
            <w:shd w:val="clear" w:color="auto" w:fill="052B82"/>
          </w:tcPr>
          <w:p>
            <w:pPr>
              <w:spacing w:after="0"/>
              <w:rPr>
                <w:sz w:val="14"/>
                <w:szCs w:val="14"/>
                <w:color w:val="auto"/>
              </w:rPr>
            </w:pPr>
          </w:p>
        </w:tc>
        <w:tc>
          <w:tcPr>
            <w:tcW w:w="2100" w:type="dxa"/>
            <w:vAlign w:val="bottom"/>
            <w:shd w:val="clear" w:color="auto" w:fill="052B82"/>
          </w:tcPr>
          <w:p>
            <w:pPr>
              <w:spacing w:after="0"/>
              <w:rPr>
                <w:sz w:val="14"/>
                <w:szCs w:val="14"/>
                <w:color w:val="auto"/>
              </w:rPr>
            </w:pPr>
          </w:p>
        </w:tc>
        <w:tc>
          <w:tcPr>
            <w:tcW w:w="80" w:type="dxa"/>
            <w:vAlign w:val="bottom"/>
            <w:shd w:val="clear" w:color="auto" w:fill="052B82"/>
          </w:tcPr>
          <w:p>
            <w:pPr>
              <w:spacing w:after="0"/>
              <w:rPr>
                <w:sz w:val="14"/>
                <w:szCs w:val="14"/>
                <w:color w:val="auto"/>
              </w:rPr>
            </w:pPr>
          </w:p>
        </w:tc>
        <w:tc>
          <w:tcPr>
            <w:tcW w:w="2440" w:type="dxa"/>
            <w:vAlign w:val="bottom"/>
            <w:gridSpan w:val="2"/>
            <w:shd w:val="clear" w:color="auto" w:fill="052B82"/>
          </w:tcPr>
          <w:p>
            <w:pPr>
              <w:jc w:val="center"/>
              <w:ind w:right="300"/>
              <w:spacing w:after="0"/>
              <w:rPr>
                <w:sz w:val="20"/>
                <w:szCs w:val="20"/>
                <w:color w:val="auto"/>
              </w:rPr>
            </w:pPr>
            <w:r>
              <w:rPr>
                <w:rFonts w:ascii="Arial" w:cs="Arial" w:eastAsia="Arial" w:hAnsi="Arial"/>
                <w:sz w:val="14"/>
                <w:szCs w:val="14"/>
                <w:b w:val="1"/>
                <w:bCs w:val="1"/>
                <w:color w:val="FFFFFF"/>
              </w:rPr>
              <w:t>Number of Securities</w:t>
            </w:r>
          </w:p>
        </w:tc>
      </w:tr>
      <w:tr>
        <w:trPr>
          <w:trHeight w:val="162"/>
        </w:trPr>
        <w:tc>
          <w:tcPr>
            <w:tcW w:w="3920" w:type="dxa"/>
            <w:vAlign w:val="bottom"/>
            <w:shd w:val="clear" w:color="auto" w:fill="052B82"/>
          </w:tcPr>
          <w:p>
            <w:pPr>
              <w:spacing w:after="0"/>
              <w:rPr>
                <w:sz w:val="14"/>
                <w:szCs w:val="14"/>
                <w:color w:val="auto"/>
              </w:rPr>
            </w:pPr>
          </w:p>
        </w:tc>
        <w:tc>
          <w:tcPr>
            <w:tcW w:w="80" w:type="dxa"/>
            <w:vAlign w:val="bottom"/>
            <w:shd w:val="clear" w:color="auto" w:fill="052B82"/>
          </w:tcPr>
          <w:p>
            <w:pPr>
              <w:spacing w:after="0"/>
              <w:rPr>
                <w:sz w:val="14"/>
                <w:szCs w:val="14"/>
                <w:color w:val="auto"/>
              </w:rPr>
            </w:pPr>
          </w:p>
        </w:tc>
        <w:tc>
          <w:tcPr>
            <w:tcW w:w="1840" w:type="dxa"/>
            <w:vAlign w:val="bottom"/>
            <w:shd w:val="clear" w:color="auto" w:fill="052B82"/>
          </w:tcPr>
          <w:p>
            <w:pPr>
              <w:spacing w:after="0"/>
              <w:rPr>
                <w:sz w:val="14"/>
                <w:szCs w:val="14"/>
                <w:color w:val="auto"/>
              </w:rPr>
            </w:pPr>
          </w:p>
        </w:tc>
        <w:tc>
          <w:tcPr>
            <w:tcW w:w="280" w:type="dxa"/>
            <w:vAlign w:val="bottom"/>
            <w:shd w:val="clear" w:color="auto" w:fill="052B82"/>
          </w:tcPr>
          <w:p>
            <w:pPr>
              <w:spacing w:after="0"/>
              <w:rPr>
                <w:sz w:val="14"/>
                <w:szCs w:val="14"/>
                <w:color w:val="auto"/>
              </w:rPr>
            </w:pPr>
          </w:p>
        </w:tc>
        <w:tc>
          <w:tcPr>
            <w:tcW w:w="280" w:type="dxa"/>
            <w:vAlign w:val="bottom"/>
            <w:shd w:val="clear" w:color="auto" w:fill="052B82"/>
          </w:tcPr>
          <w:p>
            <w:pPr>
              <w:spacing w:after="0"/>
              <w:rPr>
                <w:sz w:val="14"/>
                <w:szCs w:val="14"/>
                <w:color w:val="auto"/>
              </w:rPr>
            </w:pPr>
          </w:p>
        </w:tc>
        <w:tc>
          <w:tcPr>
            <w:tcW w:w="2100" w:type="dxa"/>
            <w:vAlign w:val="bottom"/>
            <w:shd w:val="clear" w:color="auto" w:fill="052B82"/>
          </w:tcPr>
          <w:p>
            <w:pPr>
              <w:spacing w:after="0"/>
              <w:rPr>
                <w:sz w:val="14"/>
                <w:szCs w:val="14"/>
                <w:color w:val="auto"/>
              </w:rPr>
            </w:pPr>
          </w:p>
        </w:tc>
        <w:tc>
          <w:tcPr>
            <w:tcW w:w="80" w:type="dxa"/>
            <w:vAlign w:val="bottom"/>
            <w:shd w:val="clear" w:color="auto" w:fill="052B82"/>
          </w:tcPr>
          <w:p>
            <w:pPr>
              <w:spacing w:after="0"/>
              <w:rPr>
                <w:sz w:val="14"/>
                <w:szCs w:val="14"/>
                <w:color w:val="auto"/>
              </w:rPr>
            </w:pPr>
          </w:p>
        </w:tc>
        <w:tc>
          <w:tcPr>
            <w:tcW w:w="2440" w:type="dxa"/>
            <w:vAlign w:val="bottom"/>
            <w:gridSpan w:val="2"/>
            <w:shd w:val="clear" w:color="auto" w:fill="052B82"/>
          </w:tcPr>
          <w:p>
            <w:pPr>
              <w:jc w:val="center"/>
              <w:ind w:right="300"/>
              <w:spacing w:after="0"/>
              <w:rPr>
                <w:sz w:val="20"/>
                <w:szCs w:val="20"/>
                <w:color w:val="auto"/>
              </w:rPr>
            </w:pPr>
            <w:r>
              <w:rPr>
                <w:rFonts w:ascii="Arial" w:cs="Arial" w:eastAsia="Arial" w:hAnsi="Arial"/>
                <w:sz w:val="14"/>
                <w:szCs w:val="14"/>
                <w:b w:val="1"/>
                <w:bCs w:val="1"/>
                <w:color w:val="FFFFFF"/>
              </w:rPr>
              <w:t>Remaining Available for</w:t>
            </w:r>
          </w:p>
        </w:tc>
      </w:tr>
      <w:tr>
        <w:trPr>
          <w:trHeight w:val="162"/>
        </w:trPr>
        <w:tc>
          <w:tcPr>
            <w:tcW w:w="3920" w:type="dxa"/>
            <w:vAlign w:val="bottom"/>
            <w:shd w:val="clear" w:color="auto" w:fill="052B82"/>
          </w:tcPr>
          <w:p>
            <w:pPr>
              <w:spacing w:after="0"/>
              <w:rPr>
                <w:sz w:val="14"/>
                <w:szCs w:val="14"/>
                <w:color w:val="auto"/>
              </w:rPr>
            </w:pPr>
          </w:p>
        </w:tc>
        <w:tc>
          <w:tcPr>
            <w:tcW w:w="2200" w:type="dxa"/>
            <w:vAlign w:val="bottom"/>
            <w:gridSpan w:val="3"/>
            <w:shd w:val="clear" w:color="auto" w:fill="052B82"/>
          </w:tcPr>
          <w:p>
            <w:pPr>
              <w:jc w:val="center"/>
              <w:ind w:right="220"/>
              <w:spacing w:after="0"/>
              <w:rPr>
                <w:sz w:val="20"/>
                <w:szCs w:val="20"/>
                <w:color w:val="auto"/>
              </w:rPr>
            </w:pPr>
            <w:r>
              <w:rPr>
                <w:rFonts w:ascii="Arial" w:cs="Arial" w:eastAsia="Arial" w:hAnsi="Arial"/>
                <w:sz w:val="14"/>
                <w:szCs w:val="14"/>
                <w:b w:val="1"/>
                <w:bCs w:val="1"/>
                <w:color w:val="FFFFFF"/>
              </w:rPr>
              <w:t>Number of Securities to be</w:t>
            </w:r>
          </w:p>
        </w:tc>
        <w:tc>
          <w:tcPr>
            <w:tcW w:w="280" w:type="dxa"/>
            <w:vAlign w:val="bottom"/>
            <w:shd w:val="clear" w:color="auto" w:fill="052B82"/>
          </w:tcPr>
          <w:p>
            <w:pPr>
              <w:spacing w:after="0"/>
              <w:rPr>
                <w:sz w:val="14"/>
                <w:szCs w:val="14"/>
                <w:color w:val="auto"/>
              </w:rPr>
            </w:pPr>
          </w:p>
        </w:tc>
        <w:tc>
          <w:tcPr>
            <w:tcW w:w="2100" w:type="dxa"/>
            <w:vAlign w:val="bottom"/>
            <w:shd w:val="clear" w:color="auto" w:fill="052B82"/>
          </w:tcPr>
          <w:p>
            <w:pPr>
              <w:spacing w:after="0"/>
              <w:rPr>
                <w:sz w:val="14"/>
                <w:szCs w:val="14"/>
                <w:color w:val="auto"/>
              </w:rPr>
            </w:pPr>
          </w:p>
        </w:tc>
        <w:tc>
          <w:tcPr>
            <w:tcW w:w="80" w:type="dxa"/>
            <w:vAlign w:val="bottom"/>
            <w:shd w:val="clear" w:color="auto" w:fill="052B82"/>
          </w:tcPr>
          <w:p>
            <w:pPr>
              <w:spacing w:after="0"/>
              <w:rPr>
                <w:sz w:val="14"/>
                <w:szCs w:val="14"/>
                <w:color w:val="auto"/>
              </w:rPr>
            </w:pPr>
          </w:p>
        </w:tc>
        <w:tc>
          <w:tcPr>
            <w:tcW w:w="2440" w:type="dxa"/>
            <w:vAlign w:val="bottom"/>
            <w:gridSpan w:val="2"/>
            <w:shd w:val="clear" w:color="auto" w:fill="052B82"/>
          </w:tcPr>
          <w:p>
            <w:pPr>
              <w:jc w:val="center"/>
              <w:ind w:right="280"/>
              <w:spacing w:after="0"/>
              <w:rPr>
                <w:sz w:val="20"/>
                <w:szCs w:val="20"/>
                <w:color w:val="auto"/>
              </w:rPr>
            </w:pPr>
            <w:r>
              <w:rPr>
                <w:rFonts w:ascii="Arial" w:cs="Arial" w:eastAsia="Arial" w:hAnsi="Arial"/>
                <w:sz w:val="14"/>
                <w:szCs w:val="14"/>
                <w:b w:val="1"/>
                <w:bCs w:val="1"/>
                <w:color w:val="FFFFFF"/>
              </w:rPr>
              <w:t>Future Issuance Under Equity</w:t>
            </w:r>
          </w:p>
        </w:tc>
      </w:tr>
      <w:tr>
        <w:trPr>
          <w:trHeight w:val="162"/>
        </w:trPr>
        <w:tc>
          <w:tcPr>
            <w:tcW w:w="3920" w:type="dxa"/>
            <w:vAlign w:val="bottom"/>
            <w:shd w:val="clear" w:color="auto" w:fill="052B82"/>
          </w:tcPr>
          <w:p>
            <w:pPr>
              <w:spacing w:after="0"/>
              <w:rPr>
                <w:sz w:val="14"/>
                <w:szCs w:val="14"/>
                <w:color w:val="auto"/>
              </w:rPr>
            </w:pPr>
          </w:p>
        </w:tc>
        <w:tc>
          <w:tcPr>
            <w:tcW w:w="80" w:type="dxa"/>
            <w:vAlign w:val="bottom"/>
            <w:shd w:val="clear" w:color="auto" w:fill="052B82"/>
          </w:tcPr>
          <w:p>
            <w:pPr>
              <w:spacing w:after="0"/>
              <w:rPr>
                <w:sz w:val="14"/>
                <w:szCs w:val="14"/>
                <w:color w:val="auto"/>
              </w:rPr>
            </w:pPr>
          </w:p>
        </w:tc>
        <w:tc>
          <w:tcPr>
            <w:tcW w:w="2120" w:type="dxa"/>
            <w:vAlign w:val="bottom"/>
            <w:gridSpan w:val="2"/>
            <w:shd w:val="clear" w:color="auto" w:fill="052B82"/>
          </w:tcPr>
          <w:p>
            <w:pPr>
              <w:jc w:val="center"/>
              <w:ind w:right="300"/>
              <w:spacing w:after="0"/>
              <w:rPr>
                <w:sz w:val="20"/>
                <w:szCs w:val="20"/>
                <w:color w:val="auto"/>
              </w:rPr>
            </w:pPr>
            <w:r>
              <w:rPr>
                <w:rFonts w:ascii="Arial" w:cs="Arial" w:eastAsia="Arial" w:hAnsi="Arial"/>
                <w:sz w:val="14"/>
                <w:szCs w:val="14"/>
                <w:b w:val="1"/>
                <w:bCs w:val="1"/>
                <w:color w:val="FFFFFF"/>
              </w:rPr>
              <w:t>Issued Upon Exercise of</w:t>
            </w:r>
          </w:p>
        </w:tc>
        <w:tc>
          <w:tcPr>
            <w:tcW w:w="2380" w:type="dxa"/>
            <w:vAlign w:val="bottom"/>
            <w:gridSpan w:val="2"/>
            <w:shd w:val="clear" w:color="auto" w:fill="052B82"/>
          </w:tcPr>
          <w:p>
            <w:pPr>
              <w:jc w:val="center"/>
              <w:ind w:right="137"/>
              <w:spacing w:after="0"/>
              <w:rPr>
                <w:sz w:val="20"/>
                <w:szCs w:val="20"/>
                <w:color w:val="auto"/>
              </w:rPr>
            </w:pPr>
            <w:r>
              <w:rPr>
                <w:rFonts w:ascii="Arial" w:cs="Arial" w:eastAsia="Arial" w:hAnsi="Arial"/>
                <w:sz w:val="14"/>
                <w:szCs w:val="14"/>
                <w:b w:val="1"/>
                <w:bCs w:val="1"/>
                <w:color w:val="FFFFFF"/>
              </w:rPr>
              <w:t>Weighted-Average Exercise</w:t>
            </w:r>
          </w:p>
        </w:tc>
        <w:tc>
          <w:tcPr>
            <w:tcW w:w="80" w:type="dxa"/>
            <w:vAlign w:val="bottom"/>
            <w:shd w:val="clear" w:color="auto" w:fill="052B82"/>
          </w:tcPr>
          <w:p>
            <w:pPr>
              <w:spacing w:after="0"/>
              <w:rPr>
                <w:sz w:val="14"/>
                <w:szCs w:val="14"/>
                <w:color w:val="auto"/>
              </w:rPr>
            </w:pPr>
          </w:p>
        </w:tc>
        <w:tc>
          <w:tcPr>
            <w:tcW w:w="2440" w:type="dxa"/>
            <w:vAlign w:val="bottom"/>
            <w:gridSpan w:val="2"/>
            <w:shd w:val="clear" w:color="auto" w:fill="052B82"/>
          </w:tcPr>
          <w:p>
            <w:pPr>
              <w:jc w:val="center"/>
              <w:ind w:right="300"/>
              <w:spacing w:after="0"/>
              <w:rPr>
                <w:sz w:val="20"/>
                <w:szCs w:val="20"/>
                <w:color w:val="auto"/>
              </w:rPr>
            </w:pPr>
            <w:r>
              <w:rPr>
                <w:rFonts w:ascii="Arial" w:cs="Arial" w:eastAsia="Arial" w:hAnsi="Arial"/>
                <w:sz w:val="14"/>
                <w:szCs w:val="14"/>
                <w:b w:val="1"/>
                <w:bCs w:val="1"/>
                <w:color w:val="FFFFFF"/>
              </w:rPr>
              <w:t>Compensation Plans</w:t>
            </w:r>
          </w:p>
        </w:tc>
      </w:tr>
      <w:tr>
        <w:trPr>
          <w:trHeight w:val="162"/>
        </w:trPr>
        <w:tc>
          <w:tcPr>
            <w:tcW w:w="3920" w:type="dxa"/>
            <w:vAlign w:val="bottom"/>
            <w:shd w:val="clear" w:color="auto" w:fill="052B82"/>
          </w:tcPr>
          <w:p>
            <w:pPr>
              <w:spacing w:after="0"/>
              <w:rPr>
                <w:sz w:val="14"/>
                <w:szCs w:val="14"/>
                <w:color w:val="auto"/>
              </w:rPr>
            </w:pPr>
          </w:p>
        </w:tc>
        <w:tc>
          <w:tcPr>
            <w:tcW w:w="80" w:type="dxa"/>
            <w:vAlign w:val="bottom"/>
            <w:shd w:val="clear" w:color="auto" w:fill="052B82"/>
          </w:tcPr>
          <w:p>
            <w:pPr>
              <w:spacing w:after="0"/>
              <w:rPr>
                <w:sz w:val="14"/>
                <w:szCs w:val="14"/>
                <w:color w:val="auto"/>
              </w:rPr>
            </w:pPr>
          </w:p>
        </w:tc>
        <w:tc>
          <w:tcPr>
            <w:tcW w:w="2120" w:type="dxa"/>
            <w:vAlign w:val="bottom"/>
            <w:gridSpan w:val="2"/>
            <w:shd w:val="clear" w:color="auto" w:fill="052B82"/>
          </w:tcPr>
          <w:p>
            <w:pPr>
              <w:jc w:val="center"/>
              <w:ind w:right="300"/>
              <w:spacing w:after="0"/>
              <w:rPr>
                <w:sz w:val="20"/>
                <w:szCs w:val="20"/>
                <w:color w:val="auto"/>
              </w:rPr>
            </w:pPr>
            <w:r>
              <w:rPr>
                <w:rFonts w:ascii="Arial" w:cs="Arial" w:eastAsia="Arial" w:hAnsi="Arial"/>
                <w:sz w:val="14"/>
                <w:szCs w:val="14"/>
                <w:b w:val="1"/>
                <w:bCs w:val="1"/>
                <w:color w:val="FFFFFF"/>
              </w:rPr>
              <w:t>Outstanding Options,</w:t>
            </w:r>
          </w:p>
        </w:tc>
        <w:tc>
          <w:tcPr>
            <w:tcW w:w="2380" w:type="dxa"/>
            <w:vAlign w:val="bottom"/>
            <w:gridSpan w:val="2"/>
            <w:shd w:val="clear" w:color="auto" w:fill="052B82"/>
          </w:tcPr>
          <w:p>
            <w:pPr>
              <w:ind w:left="60"/>
              <w:spacing w:after="0"/>
              <w:rPr>
                <w:sz w:val="20"/>
                <w:szCs w:val="20"/>
                <w:color w:val="auto"/>
              </w:rPr>
            </w:pPr>
            <w:r>
              <w:rPr>
                <w:rFonts w:ascii="Arial" w:cs="Arial" w:eastAsia="Arial" w:hAnsi="Arial"/>
                <w:sz w:val="14"/>
                <w:szCs w:val="14"/>
                <w:b w:val="1"/>
                <w:bCs w:val="1"/>
                <w:color w:val="FFFFFF"/>
              </w:rPr>
              <w:t>Price of Outstanding Options,</w:t>
            </w:r>
          </w:p>
        </w:tc>
        <w:tc>
          <w:tcPr>
            <w:tcW w:w="2520" w:type="dxa"/>
            <w:vAlign w:val="bottom"/>
            <w:gridSpan w:val="3"/>
            <w:shd w:val="clear" w:color="auto" w:fill="052B82"/>
          </w:tcPr>
          <w:p>
            <w:pPr>
              <w:jc w:val="center"/>
              <w:ind w:right="220"/>
              <w:spacing w:after="0"/>
              <w:rPr>
                <w:sz w:val="20"/>
                <w:szCs w:val="20"/>
                <w:color w:val="auto"/>
              </w:rPr>
            </w:pPr>
            <w:r>
              <w:rPr>
                <w:rFonts w:ascii="Arial" w:cs="Arial" w:eastAsia="Arial" w:hAnsi="Arial"/>
                <w:sz w:val="14"/>
                <w:szCs w:val="14"/>
                <w:b w:val="1"/>
                <w:bCs w:val="1"/>
                <w:color w:val="FFFFFF"/>
              </w:rPr>
              <w:t>(Excluding Securities Reflected</w:t>
            </w:r>
          </w:p>
        </w:tc>
      </w:tr>
      <w:tr>
        <w:trPr>
          <w:trHeight w:val="189"/>
        </w:trPr>
        <w:tc>
          <w:tcPr>
            <w:tcW w:w="3920" w:type="dxa"/>
            <w:vAlign w:val="bottom"/>
            <w:shd w:val="clear" w:color="auto" w:fill="052B82"/>
          </w:tcPr>
          <w:p>
            <w:pPr>
              <w:ind w:left="20"/>
              <w:spacing w:after="0"/>
              <w:rPr>
                <w:sz w:val="20"/>
                <w:szCs w:val="20"/>
                <w:color w:val="auto"/>
              </w:rPr>
            </w:pPr>
            <w:r>
              <w:rPr>
                <w:rFonts w:ascii="Arial" w:cs="Arial" w:eastAsia="Arial" w:hAnsi="Arial"/>
                <w:sz w:val="14"/>
                <w:szCs w:val="14"/>
                <w:b w:val="1"/>
                <w:bCs w:val="1"/>
                <w:color w:val="FFFFFF"/>
              </w:rPr>
              <w:t>Plan Category</w:t>
            </w:r>
          </w:p>
        </w:tc>
        <w:tc>
          <w:tcPr>
            <w:tcW w:w="80" w:type="dxa"/>
            <w:vAlign w:val="bottom"/>
            <w:shd w:val="clear" w:color="auto" w:fill="052B82"/>
          </w:tcPr>
          <w:p>
            <w:pPr>
              <w:spacing w:after="0"/>
              <w:rPr>
                <w:sz w:val="16"/>
                <w:szCs w:val="16"/>
                <w:color w:val="auto"/>
              </w:rPr>
            </w:pPr>
          </w:p>
        </w:tc>
        <w:tc>
          <w:tcPr>
            <w:tcW w:w="2120" w:type="dxa"/>
            <w:vAlign w:val="bottom"/>
            <w:gridSpan w:val="2"/>
            <w:shd w:val="clear" w:color="auto" w:fill="052B82"/>
          </w:tcPr>
          <w:p>
            <w:pPr>
              <w:jc w:val="center"/>
              <w:ind w:right="280"/>
              <w:spacing w:after="0"/>
              <w:rPr>
                <w:sz w:val="20"/>
                <w:szCs w:val="20"/>
                <w:color w:val="auto"/>
              </w:rPr>
            </w:pPr>
            <w:r>
              <w:rPr>
                <w:rFonts w:ascii="Arial" w:cs="Arial" w:eastAsia="Arial" w:hAnsi="Arial"/>
                <w:sz w:val="14"/>
                <w:szCs w:val="14"/>
                <w:b w:val="1"/>
                <w:bCs w:val="1"/>
                <w:color w:val="FFFFFF"/>
              </w:rPr>
              <w:t>Warrants and Rights</w:t>
            </w:r>
          </w:p>
        </w:tc>
        <w:tc>
          <w:tcPr>
            <w:tcW w:w="280" w:type="dxa"/>
            <w:vAlign w:val="bottom"/>
            <w:shd w:val="clear" w:color="auto" w:fill="052B82"/>
          </w:tcPr>
          <w:p>
            <w:pPr>
              <w:spacing w:after="0"/>
              <w:rPr>
                <w:sz w:val="16"/>
                <w:szCs w:val="16"/>
                <w:color w:val="auto"/>
              </w:rPr>
            </w:pPr>
          </w:p>
        </w:tc>
        <w:tc>
          <w:tcPr>
            <w:tcW w:w="2100" w:type="dxa"/>
            <w:vAlign w:val="bottom"/>
            <w:shd w:val="clear" w:color="auto" w:fill="052B82"/>
          </w:tcPr>
          <w:p>
            <w:pPr>
              <w:jc w:val="center"/>
              <w:ind w:right="417"/>
              <w:spacing w:after="0"/>
              <w:rPr>
                <w:sz w:val="20"/>
                <w:szCs w:val="20"/>
                <w:color w:val="auto"/>
              </w:rPr>
            </w:pPr>
            <w:r>
              <w:rPr>
                <w:rFonts w:ascii="Arial" w:cs="Arial" w:eastAsia="Arial" w:hAnsi="Arial"/>
                <w:sz w:val="14"/>
                <w:szCs w:val="14"/>
                <w:b w:val="1"/>
                <w:bCs w:val="1"/>
                <w:color w:val="FFFFFF"/>
              </w:rPr>
              <w:t>Warrants and Rights</w:t>
            </w:r>
          </w:p>
        </w:tc>
        <w:tc>
          <w:tcPr>
            <w:tcW w:w="80" w:type="dxa"/>
            <w:vAlign w:val="bottom"/>
            <w:shd w:val="clear" w:color="auto" w:fill="052B82"/>
          </w:tcPr>
          <w:p>
            <w:pPr>
              <w:spacing w:after="0"/>
              <w:rPr>
                <w:sz w:val="16"/>
                <w:szCs w:val="16"/>
                <w:color w:val="auto"/>
              </w:rPr>
            </w:pPr>
          </w:p>
        </w:tc>
        <w:tc>
          <w:tcPr>
            <w:tcW w:w="2440" w:type="dxa"/>
            <w:vAlign w:val="bottom"/>
            <w:gridSpan w:val="2"/>
            <w:shd w:val="clear" w:color="auto" w:fill="052B82"/>
          </w:tcPr>
          <w:p>
            <w:pPr>
              <w:jc w:val="center"/>
              <w:ind w:right="280"/>
              <w:spacing w:after="0"/>
              <w:rPr>
                <w:sz w:val="20"/>
                <w:szCs w:val="20"/>
                <w:color w:val="auto"/>
              </w:rPr>
            </w:pPr>
            <w:r>
              <w:rPr>
                <w:rFonts w:ascii="Arial" w:cs="Arial" w:eastAsia="Arial" w:hAnsi="Arial"/>
                <w:sz w:val="14"/>
                <w:szCs w:val="14"/>
                <w:b w:val="1"/>
                <w:bCs w:val="1"/>
                <w:color w:val="FFFFFF"/>
              </w:rPr>
              <w:t>in Column (a))</w:t>
            </w:r>
          </w:p>
        </w:tc>
      </w:tr>
      <w:tr>
        <w:trPr>
          <w:trHeight w:val="202"/>
        </w:trPr>
        <w:tc>
          <w:tcPr>
            <w:tcW w:w="3920" w:type="dxa"/>
            <w:vAlign w:val="bottom"/>
          </w:tcPr>
          <w:p>
            <w:pPr>
              <w:ind w:left="40"/>
              <w:spacing w:after="0" w:line="201" w:lineRule="exact"/>
              <w:rPr>
                <w:sz w:val="20"/>
                <w:szCs w:val="20"/>
                <w:color w:val="auto"/>
              </w:rPr>
            </w:pPr>
            <w:r>
              <w:rPr>
                <w:rFonts w:ascii="Arial" w:cs="Arial" w:eastAsia="Arial" w:hAnsi="Arial"/>
                <w:sz w:val="18"/>
                <w:szCs w:val="18"/>
                <w:color w:val="auto"/>
              </w:rPr>
              <w:t>Equity compensation plans approved by</w:t>
            </w:r>
          </w:p>
        </w:tc>
        <w:tc>
          <w:tcPr>
            <w:tcW w:w="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3"/>
        </w:trPr>
        <w:tc>
          <w:tcPr>
            <w:tcW w:w="3920" w:type="dxa"/>
            <w:vAlign w:val="bottom"/>
          </w:tcPr>
          <w:p>
            <w:pPr>
              <w:ind w:left="160"/>
              <w:spacing w:after="0" w:line="203" w:lineRule="exact"/>
              <w:rPr>
                <w:sz w:val="20"/>
                <w:szCs w:val="20"/>
                <w:color w:val="auto"/>
              </w:rPr>
            </w:pPr>
            <w:r>
              <w:rPr>
                <w:rFonts w:ascii="Arial" w:cs="Arial" w:eastAsia="Arial" w:hAnsi="Arial"/>
                <w:sz w:val="18"/>
                <w:szCs w:val="18"/>
                <w:color w:val="auto"/>
              </w:rPr>
              <w:t>shareholders</w:t>
            </w:r>
          </w:p>
        </w:tc>
        <w:tc>
          <w:tcPr>
            <w:tcW w:w="2200" w:type="dxa"/>
            <w:vAlign w:val="bottom"/>
            <w:gridSpan w:val="3"/>
          </w:tcPr>
          <w:p>
            <w:pPr>
              <w:ind w:left="1120"/>
              <w:spacing w:after="0" w:line="203" w:lineRule="exact"/>
              <w:rPr>
                <w:sz w:val="20"/>
                <w:szCs w:val="20"/>
                <w:color w:val="auto"/>
              </w:rPr>
            </w:pPr>
            <w:r>
              <w:rPr>
                <w:rFonts w:ascii="Arial" w:cs="Arial" w:eastAsia="Arial" w:hAnsi="Arial"/>
                <w:sz w:val="18"/>
                <w:szCs w:val="18"/>
                <w:color w:val="auto"/>
              </w:rPr>
              <w:t>7,598,556(1)</w:t>
            </w:r>
          </w:p>
        </w:tc>
        <w:tc>
          <w:tcPr>
            <w:tcW w:w="280" w:type="dxa"/>
            <w:vAlign w:val="bottom"/>
          </w:tcPr>
          <w:p>
            <w:pPr>
              <w:ind w:left="60"/>
              <w:spacing w:after="0" w:line="203" w:lineRule="exact"/>
              <w:rPr>
                <w:sz w:val="20"/>
                <w:szCs w:val="20"/>
                <w:color w:val="auto"/>
              </w:rPr>
            </w:pPr>
            <w:r>
              <w:rPr>
                <w:rFonts w:ascii="Arial" w:cs="Arial" w:eastAsia="Arial" w:hAnsi="Arial"/>
                <w:sz w:val="18"/>
                <w:szCs w:val="18"/>
                <w:color w:val="auto"/>
              </w:rPr>
              <w:t>$</w:t>
            </w:r>
          </w:p>
        </w:tc>
        <w:tc>
          <w:tcPr>
            <w:tcW w:w="2100" w:type="dxa"/>
            <w:vAlign w:val="bottom"/>
          </w:tcPr>
          <w:p>
            <w:pPr>
              <w:jc w:val="right"/>
              <w:spacing w:after="0" w:line="203" w:lineRule="exact"/>
              <w:rPr>
                <w:sz w:val="20"/>
                <w:szCs w:val="20"/>
                <w:color w:val="auto"/>
              </w:rPr>
            </w:pPr>
            <w:r>
              <w:rPr>
                <w:rFonts w:ascii="Arial" w:cs="Arial" w:eastAsia="Arial" w:hAnsi="Arial"/>
                <w:sz w:val="18"/>
                <w:szCs w:val="18"/>
                <w:color w:val="auto"/>
              </w:rPr>
              <w:t>65.97(2)</w:t>
            </w:r>
          </w:p>
        </w:tc>
        <w:tc>
          <w:tcPr>
            <w:tcW w:w="2520" w:type="dxa"/>
            <w:vAlign w:val="bottom"/>
            <w:gridSpan w:val="3"/>
          </w:tcPr>
          <w:p>
            <w:pPr>
              <w:jc w:val="right"/>
              <w:ind w:right="60"/>
              <w:spacing w:after="0" w:line="203" w:lineRule="exact"/>
              <w:rPr>
                <w:sz w:val="20"/>
                <w:szCs w:val="20"/>
                <w:color w:val="auto"/>
              </w:rPr>
            </w:pPr>
            <w:r>
              <w:rPr>
                <w:rFonts w:ascii="Arial" w:cs="Arial" w:eastAsia="Arial" w:hAnsi="Arial"/>
                <w:sz w:val="18"/>
                <w:szCs w:val="18"/>
                <w:color w:val="auto"/>
              </w:rPr>
              <w:t>10,243,694(3)</w:t>
            </w:r>
          </w:p>
        </w:tc>
      </w:tr>
      <w:tr>
        <w:trPr>
          <w:trHeight w:val="202"/>
        </w:trPr>
        <w:tc>
          <w:tcPr>
            <w:tcW w:w="3920" w:type="dxa"/>
            <w:vAlign w:val="bottom"/>
            <w:shd w:val="clear" w:color="auto" w:fill="E8EDF4"/>
          </w:tcPr>
          <w:p>
            <w:pPr>
              <w:ind w:left="40"/>
              <w:spacing w:after="0" w:line="201" w:lineRule="exact"/>
              <w:rPr>
                <w:sz w:val="20"/>
                <w:szCs w:val="20"/>
                <w:color w:val="auto"/>
              </w:rPr>
            </w:pPr>
            <w:r>
              <w:rPr>
                <w:rFonts w:ascii="Arial" w:cs="Arial" w:eastAsia="Arial" w:hAnsi="Arial"/>
                <w:sz w:val="18"/>
                <w:szCs w:val="18"/>
                <w:color w:val="auto"/>
              </w:rPr>
              <w:t>Equity compensation plans not approved by</w:t>
            </w:r>
          </w:p>
        </w:tc>
        <w:tc>
          <w:tcPr>
            <w:tcW w:w="80" w:type="dxa"/>
            <w:vAlign w:val="bottom"/>
            <w:shd w:val="clear" w:color="auto" w:fill="E8EDF4"/>
          </w:tcPr>
          <w:p>
            <w:pPr>
              <w:spacing w:after="0"/>
              <w:rPr>
                <w:sz w:val="17"/>
                <w:szCs w:val="17"/>
                <w:color w:val="auto"/>
              </w:rPr>
            </w:pPr>
          </w:p>
        </w:tc>
        <w:tc>
          <w:tcPr>
            <w:tcW w:w="1840" w:type="dxa"/>
            <w:vAlign w:val="bottom"/>
            <w:shd w:val="clear" w:color="auto" w:fill="E8EDF4"/>
          </w:tcPr>
          <w:p>
            <w:pPr>
              <w:spacing w:after="0"/>
              <w:rPr>
                <w:sz w:val="17"/>
                <w:szCs w:val="17"/>
                <w:color w:val="auto"/>
              </w:rPr>
            </w:pPr>
          </w:p>
        </w:tc>
        <w:tc>
          <w:tcPr>
            <w:tcW w:w="280" w:type="dxa"/>
            <w:vAlign w:val="bottom"/>
            <w:shd w:val="clear" w:color="auto" w:fill="E8EDF4"/>
          </w:tcPr>
          <w:p>
            <w:pPr>
              <w:spacing w:after="0"/>
              <w:rPr>
                <w:sz w:val="17"/>
                <w:szCs w:val="17"/>
                <w:color w:val="auto"/>
              </w:rPr>
            </w:pPr>
          </w:p>
        </w:tc>
        <w:tc>
          <w:tcPr>
            <w:tcW w:w="280" w:type="dxa"/>
            <w:vAlign w:val="bottom"/>
            <w:shd w:val="clear" w:color="auto" w:fill="E8EDF4"/>
          </w:tcPr>
          <w:p>
            <w:pPr>
              <w:spacing w:after="0"/>
              <w:rPr>
                <w:sz w:val="17"/>
                <w:szCs w:val="17"/>
                <w:color w:val="auto"/>
              </w:rPr>
            </w:pPr>
          </w:p>
        </w:tc>
        <w:tc>
          <w:tcPr>
            <w:tcW w:w="2100" w:type="dxa"/>
            <w:vAlign w:val="bottom"/>
            <w:shd w:val="clear" w:color="auto" w:fill="E8EDF4"/>
          </w:tcPr>
          <w:p>
            <w:pPr>
              <w:spacing w:after="0"/>
              <w:rPr>
                <w:sz w:val="17"/>
                <w:szCs w:val="17"/>
                <w:color w:val="auto"/>
              </w:rPr>
            </w:pPr>
          </w:p>
        </w:tc>
        <w:tc>
          <w:tcPr>
            <w:tcW w:w="80" w:type="dxa"/>
            <w:vAlign w:val="bottom"/>
            <w:shd w:val="clear" w:color="auto" w:fill="E8EDF4"/>
          </w:tcPr>
          <w:p>
            <w:pPr>
              <w:spacing w:after="0"/>
              <w:rPr>
                <w:sz w:val="17"/>
                <w:szCs w:val="17"/>
                <w:color w:val="auto"/>
              </w:rPr>
            </w:pPr>
          </w:p>
        </w:tc>
        <w:tc>
          <w:tcPr>
            <w:tcW w:w="2160" w:type="dxa"/>
            <w:vAlign w:val="bottom"/>
            <w:shd w:val="clear" w:color="auto" w:fill="E8EDF4"/>
          </w:tcPr>
          <w:p>
            <w:pPr>
              <w:spacing w:after="0"/>
              <w:rPr>
                <w:sz w:val="17"/>
                <w:szCs w:val="17"/>
                <w:color w:val="auto"/>
              </w:rPr>
            </w:pPr>
          </w:p>
        </w:tc>
        <w:tc>
          <w:tcPr>
            <w:tcW w:w="280" w:type="dxa"/>
            <w:vAlign w:val="bottom"/>
            <w:shd w:val="clear" w:color="auto" w:fill="E8EDF4"/>
          </w:tcPr>
          <w:p>
            <w:pPr>
              <w:spacing w:after="0"/>
              <w:rPr>
                <w:sz w:val="17"/>
                <w:szCs w:val="17"/>
                <w:color w:val="auto"/>
              </w:rPr>
            </w:pPr>
          </w:p>
        </w:tc>
      </w:tr>
      <w:tr>
        <w:trPr>
          <w:trHeight w:val="203"/>
        </w:trPr>
        <w:tc>
          <w:tcPr>
            <w:tcW w:w="3920" w:type="dxa"/>
            <w:vAlign w:val="bottom"/>
            <w:shd w:val="clear" w:color="auto" w:fill="E8EDF4"/>
          </w:tcPr>
          <w:p>
            <w:pPr>
              <w:ind w:left="160"/>
              <w:spacing w:after="0" w:line="203" w:lineRule="exact"/>
              <w:rPr>
                <w:sz w:val="20"/>
                <w:szCs w:val="20"/>
                <w:color w:val="auto"/>
              </w:rPr>
            </w:pPr>
            <w:r>
              <w:rPr>
                <w:rFonts w:ascii="Arial" w:cs="Arial" w:eastAsia="Arial" w:hAnsi="Arial"/>
                <w:sz w:val="18"/>
                <w:szCs w:val="18"/>
                <w:color w:val="auto"/>
              </w:rPr>
              <w:t>shareholders (4)</w:t>
            </w:r>
          </w:p>
        </w:tc>
        <w:tc>
          <w:tcPr>
            <w:tcW w:w="80" w:type="dxa"/>
            <w:vAlign w:val="bottom"/>
            <w:shd w:val="clear" w:color="auto" w:fill="E8EDF4"/>
          </w:tcPr>
          <w:p>
            <w:pPr>
              <w:spacing w:after="0"/>
              <w:rPr>
                <w:sz w:val="17"/>
                <w:szCs w:val="17"/>
                <w:color w:val="auto"/>
              </w:rPr>
            </w:pPr>
          </w:p>
        </w:tc>
        <w:tc>
          <w:tcPr>
            <w:tcW w:w="2120" w:type="dxa"/>
            <w:vAlign w:val="bottom"/>
            <w:gridSpan w:val="2"/>
            <w:shd w:val="clear" w:color="auto" w:fill="E8EDF4"/>
          </w:tcPr>
          <w:p>
            <w:pPr>
              <w:ind w:left="1040"/>
              <w:spacing w:after="0" w:line="203" w:lineRule="exact"/>
              <w:rPr>
                <w:sz w:val="20"/>
                <w:szCs w:val="20"/>
                <w:color w:val="auto"/>
              </w:rPr>
            </w:pPr>
            <w:r>
              <w:rPr>
                <w:rFonts w:ascii="Arial" w:cs="Arial" w:eastAsia="Arial" w:hAnsi="Arial"/>
                <w:sz w:val="18"/>
                <w:szCs w:val="18"/>
                <w:color w:val="auto"/>
              </w:rPr>
              <w:t>1,979,725(4)</w:t>
            </w:r>
          </w:p>
        </w:tc>
        <w:tc>
          <w:tcPr>
            <w:tcW w:w="280" w:type="dxa"/>
            <w:vAlign w:val="bottom"/>
            <w:shd w:val="clear" w:color="auto" w:fill="E8EDF4"/>
          </w:tcPr>
          <w:p>
            <w:pPr>
              <w:ind w:left="60"/>
              <w:spacing w:after="0" w:line="203" w:lineRule="exact"/>
              <w:rPr>
                <w:sz w:val="20"/>
                <w:szCs w:val="20"/>
                <w:color w:val="auto"/>
              </w:rPr>
            </w:pPr>
            <w:r>
              <w:rPr>
                <w:rFonts w:ascii="Arial" w:cs="Arial" w:eastAsia="Arial" w:hAnsi="Arial"/>
                <w:sz w:val="18"/>
                <w:szCs w:val="18"/>
                <w:color w:val="auto"/>
              </w:rPr>
              <w:t>$</w:t>
            </w:r>
          </w:p>
        </w:tc>
        <w:tc>
          <w:tcPr>
            <w:tcW w:w="2100" w:type="dxa"/>
            <w:vAlign w:val="bottom"/>
            <w:shd w:val="clear" w:color="auto" w:fill="E8EDF4"/>
          </w:tcPr>
          <w:p>
            <w:pPr>
              <w:jc w:val="right"/>
              <w:ind w:right="297"/>
              <w:spacing w:after="0" w:line="203" w:lineRule="exact"/>
              <w:rPr>
                <w:sz w:val="20"/>
                <w:szCs w:val="20"/>
                <w:color w:val="auto"/>
              </w:rPr>
            </w:pPr>
            <w:r>
              <w:rPr>
                <w:rFonts w:ascii="Arial" w:cs="Arial" w:eastAsia="Arial" w:hAnsi="Arial"/>
                <w:sz w:val="18"/>
                <w:szCs w:val="18"/>
                <w:color w:val="auto"/>
              </w:rPr>
              <w:t>—</w:t>
            </w:r>
          </w:p>
        </w:tc>
        <w:tc>
          <w:tcPr>
            <w:tcW w:w="2240" w:type="dxa"/>
            <w:vAlign w:val="bottom"/>
            <w:gridSpan w:val="2"/>
            <w:shd w:val="clear" w:color="auto" w:fill="E8EDF4"/>
          </w:tcPr>
          <w:p>
            <w:pPr>
              <w:jc w:val="right"/>
              <w:spacing w:after="0" w:line="203" w:lineRule="exact"/>
              <w:rPr>
                <w:sz w:val="20"/>
                <w:szCs w:val="20"/>
                <w:color w:val="auto"/>
              </w:rPr>
            </w:pPr>
            <w:r>
              <w:rPr>
                <w:rFonts w:ascii="Arial" w:cs="Arial" w:eastAsia="Arial" w:hAnsi="Arial"/>
                <w:sz w:val="18"/>
                <w:szCs w:val="18"/>
                <w:color w:val="auto"/>
              </w:rPr>
              <w:t>1,420,824</w:t>
            </w:r>
          </w:p>
        </w:tc>
        <w:tc>
          <w:tcPr>
            <w:tcW w:w="280" w:type="dxa"/>
            <w:vAlign w:val="bottom"/>
            <w:shd w:val="clear" w:color="auto" w:fill="E8EDF4"/>
          </w:tcPr>
          <w:p>
            <w:pPr>
              <w:spacing w:after="0"/>
              <w:rPr>
                <w:sz w:val="17"/>
                <w:szCs w:val="17"/>
                <w:color w:val="auto"/>
              </w:rPr>
            </w:pPr>
          </w:p>
        </w:tc>
      </w:tr>
      <w:tr>
        <w:trPr>
          <w:trHeight w:val="210"/>
        </w:trPr>
        <w:tc>
          <w:tcPr>
            <w:tcW w:w="3920" w:type="dxa"/>
            <w:vAlign w:val="bottom"/>
          </w:tcPr>
          <w:p>
            <w:pPr>
              <w:ind w:left="4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18"/>
                <w:szCs w:val="18"/>
                <w:color w:val="auto"/>
              </w:rPr>
            </w:pPr>
          </w:p>
        </w:tc>
        <w:tc>
          <w:tcPr>
            <w:tcW w:w="1840" w:type="dxa"/>
            <w:vAlign w:val="bottom"/>
            <w:tcBorders>
              <w:top w:val="single" w:sz="8" w:color="auto"/>
              <w:bottom w:val="single" w:sz="8" w:color="auto"/>
            </w:tcBorders>
          </w:tcPr>
          <w:p>
            <w:pPr>
              <w:ind w:left="1040"/>
              <w:spacing w:after="0"/>
              <w:rPr>
                <w:sz w:val="20"/>
                <w:szCs w:val="20"/>
                <w:color w:val="auto"/>
              </w:rPr>
            </w:pPr>
            <w:r>
              <w:rPr>
                <w:rFonts w:ascii="Arial" w:cs="Arial" w:eastAsia="Arial" w:hAnsi="Arial"/>
                <w:sz w:val="18"/>
                <w:szCs w:val="18"/>
                <w:color w:val="auto"/>
                <w:w w:val="97"/>
              </w:rPr>
              <w:t>9,578,281</w:t>
            </w:r>
          </w:p>
        </w:tc>
        <w:tc>
          <w:tcPr>
            <w:tcW w:w="280" w:type="dxa"/>
            <w:vAlign w:val="bottom"/>
          </w:tcPr>
          <w:p>
            <w:pPr>
              <w:spacing w:after="0"/>
              <w:rPr>
                <w:sz w:val="18"/>
                <w:szCs w:val="18"/>
                <w:color w:val="auto"/>
              </w:rPr>
            </w:pPr>
          </w:p>
        </w:tc>
        <w:tc>
          <w:tcPr>
            <w:tcW w:w="280" w:type="dxa"/>
            <w:vAlign w:val="bottom"/>
          </w:tcPr>
          <w:p>
            <w:pPr>
              <w:ind w:left="60"/>
              <w:spacing w:after="0"/>
              <w:rPr>
                <w:sz w:val="20"/>
                <w:szCs w:val="20"/>
                <w:color w:val="auto"/>
              </w:rPr>
            </w:pPr>
            <w:r>
              <w:rPr>
                <w:rFonts w:ascii="Arial" w:cs="Arial" w:eastAsia="Arial" w:hAnsi="Arial"/>
                <w:sz w:val="18"/>
                <w:szCs w:val="18"/>
                <w:color w:val="auto"/>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65.97(2)</w:t>
            </w:r>
          </w:p>
        </w:tc>
        <w:tc>
          <w:tcPr>
            <w:tcW w:w="80" w:type="dxa"/>
            <w:vAlign w:val="bottom"/>
          </w:tcPr>
          <w:p>
            <w:pPr>
              <w:spacing w:after="0"/>
              <w:rPr>
                <w:sz w:val="18"/>
                <w:szCs w:val="18"/>
                <w:color w:val="auto"/>
              </w:rPr>
            </w:pPr>
          </w:p>
        </w:tc>
        <w:tc>
          <w:tcPr>
            <w:tcW w:w="2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11,664,518</w:t>
            </w:r>
          </w:p>
        </w:tc>
        <w:tc>
          <w:tcPr>
            <w:tcW w:w="280" w:type="dxa"/>
            <w:vAlign w:val="bottom"/>
          </w:tcPr>
          <w:p>
            <w:pPr>
              <w:spacing w:after="0"/>
              <w:rPr>
                <w:sz w:val="18"/>
                <w:szCs w:val="18"/>
                <w:color w:val="auto"/>
              </w:rPr>
            </w:pPr>
          </w:p>
        </w:tc>
      </w:tr>
      <w:tr>
        <w:trPr>
          <w:trHeight w:val="20"/>
        </w:trPr>
        <w:tc>
          <w:tcPr>
            <w:tcW w:w="3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-1320165</wp:posOffset>
            </wp:positionV>
            <wp:extent cx="427926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279265"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94615</wp:posOffset>
            </wp:positionV>
            <wp:extent cx="76327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82" w:lineRule="exact"/>
        <w:rPr>
          <w:sz w:val="20"/>
          <w:szCs w:val="20"/>
          <w:color w:val="auto"/>
        </w:rPr>
      </w:pPr>
    </w:p>
    <w:p>
      <w:pPr>
        <w:ind w:left="640" w:hanging="436"/>
        <w:spacing w:after="0"/>
        <w:tabs>
          <w:tab w:leader="none" w:pos="6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Includes 2,415,835 RSUs under our 2006 Stock Incentive Plan that were outstanding on November 2, 2019.</w:t>
      </w:r>
    </w:p>
    <w:p>
      <w:pPr>
        <w:spacing w:after="0" w:line="117" w:lineRule="exact"/>
        <w:rPr>
          <w:rFonts w:ascii="Arial" w:cs="Arial" w:eastAsia="Arial" w:hAnsi="Arial"/>
          <w:sz w:val="18"/>
          <w:szCs w:val="18"/>
          <w:color w:val="auto"/>
        </w:rPr>
      </w:pPr>
    </w:p>
    <w:p>
      <w:pPr>
        <w:ind w:left="640" w:right="420" w:hanging="436"/>
        <w:spacing w:after="0" w:line="246" w:lineRule="auto"/>
        <w:tabs>
          <w:tab w:leader="none" w:pos="6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weighted average exercise price of outstanding options, warrants and rights excludes RSUs, which do not have an exercise price.</w:t>
      </w:r>
    </w:p>
    <w:p>
      <w:pPr>
        <w:spacing w:after="0" w:line="102" w:lineRule="exact"/>
        <w:rPr>
          <w:rFonts w:ascii="Arial" w:cs="Arial" w:eastAsia="Arial" w:hAnsi="Arial"/>
          <w:sz w:val="18"/>
          <w:szCs w:val="18"/>
          <w:color w:val="auto"/>
        </w:rPr>
      </w:pPr>
    </w:p>
    <w:p>
      <w:pPr>
        <w:ind w:left="640" w:right="80" w:hanging="436"/>
        <w:spacing w:after="0" w:line="238" w:lineRule="auto"/>
        <w:tabs>
          <w:tab w:leader="none" w:pos="6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Our 2006 Stock Incentive Plan, which was approved by shareholders in March 2014, allows for the issuance of 34 million shares of our common stock, plus any shares that were subject to outstanding options under our 1998 Stock Option Plan and our 2001 Broad-Based Stock Option Plan as of January 23, 2006 that are subsequently terminated or expire without being exercised. Shares not issued as a result of a net settlement, used to pay withholding tax on options or stock appreciation rights, or surrendered but not issued as new awards under a shareholder approved option exchange program are not available for use under the plan.</w:t>
      </w:r>
    </w:p>
    <w:p>
      <w:pPr>
        <w:spacing w:after="0" w:line="108" w:lineRule="exact"/>
        <w:rPr>
          <w:rFonts w:ascii="Arial" w:cs="Arial" w:eastAsia="Arial" w:hAnsi="Arial"/>
          <w:sz w:val="18"/>
          <w:szCs w:val="18"/>
          <w:color w:val="auto"/>
        </w:rPr>
      </w:pPr>
    </w:p>
    <w:p>
      <w:pPr>
        <w:jc w:val="both"/>
        <w:ind w:left="640" w:right="300" w:hanging="436"/>
        <w:spacing w:after="0" w:line="261" w:lineRule="auto"/>
        <w:tabs>
          <w:tab w:leader="none" w:pos="64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In connection with the acquisition of Linear Technology in March 2017, we assumed the 2005 Plan and the 2010 Plan and issued 2.8 million RSU and RSA awards, in the aggregate, in replacement of outstanding and unvested Linear Technology equity awards under such plans. The 2010 Plan allows for the future issuance of up to 2.9 million additional shares of our common stock.</w:t>
      </w:r>
    </w:p>
    <w:p>
      <w:pPr>
        <w:spacing w:after="0" w:line="116" w:lineRule="exact"/>
        <w:rPr>
          <w:sz w:val="20"/>
          <w:szCs w:val="20"/>
          <w:color w:val="auto"/>
        </w:rPr>
      </w:pPr>
    </w:p>
    <w:p>
      <w:pPr>
        <w:ind w:left="600" w:hanging="396"/>
        <w:spacing w:after="0"/>
        <w:tabs>
          <w:tab w:leader="none" w:pos="600" w:val="left"/>
        </w:tabs>
        <w:numPr>
          <w:ilvl w:val="0"/>
          <w:numId w:val="112"/>
        </w:numPr>
        <w:rPr>
          <w:rFonts w:ascii="Arial" w:cs="Arial" w:eastAsia="Arial" w:hAnsi="Arial"/>
          <w:sz w:val="18"/>
          <w:szCs w:val="18"/>
          <w:color w:val="999999"/>
        </w:rPr>
      </w:pPr>
      <w:r>
        <w:rPr>
          <w:rFonts w:ascii="Arial" w:cs="Arial" w:eastAsia="Arial" w:hAnsi="Arial"/>
          <w:sz w:val="14"/>
          <w:szCs w:val="14"/>
          <w:b w:val="1"/>
          <w:bCs w:val="1"/>
          <w:color w:val="052B82"/>
        </w:rPr>
        <w:t>Analog Devices, Inc.</w:t>
      </w:r>
    </w:p>
    <w:p>
      <w:pPr>
        <w:sectPr>
          <w:pgSz w:w="11900" w:h="16838" w:orient="portrait"/>
          <w:cols w:equalWidth="0" w:num="1">
            <w:col w:w="11240"/>
          </w:cols>
          <w:pgMar w:left="240" w:top="459" w:right="41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205740</wp:posOffset>
            </wp:positionV>
            <wp:extent cx="2649855" cy="1371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52B82"/>
        </w:rPr>
        <w:t>COMPENSATION COMMITTEE INTERLOCKS AND INSIDER PARTICIPATION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During fiscal 2019, Drs. Frank and Su and Messrs. Novich and Little served as members of our Compensation Committee.</w:t>
      </w:r>
    </w:p>
    <w:p>
      <w:pPr>
        <w:ind w:left="200" w:right="80"/>
        <w:spacing w:after="0" w:line="239" w:lineRule="auto"/>
        <w:rPr>
          <w:sz w:val="20"/>
          <w:szCs w:val="20"/>
          <w:color w:val="auto"/>
        </w:rPr>
      </w:pPr>
      <w:r>
        <w:rPr>
          <w:rFonts w:ascii="Arial" w:cs="Arial" w:eastAsia="Arial" w:hAnsi="Arial"/>
          <w:sz w:val="18"/>
          <w:szCs w:val="18"/>
          <w:color w:val="auto"/>
        </w:rPr>
        <w:t>Mr. Novich rotated off of the Compensation Committee in March 2019. Susie Wee joined our Board of Directors and became a member of our Compensation Committee in November 2019, which is during fiscal 2020. No member of our Compensation Committee was at any time during fiscal 2019, or formerly, an officer or employee of ADI or any subsidiary of ADI. No member of our Compensation Committee had any relationship with us during fiscal 2019 requiring disclosure under Item 404 of Regulation S-K under the Exchange Act.</w:t>
      </w:r>
    </w:p>
    <w:p>
      <w:pPr>
        <w:spacing w:after="0" w:line="202" w:lineRule="exact"/>
        <w:rPr>
          <w:sz w:val="20"/>
          <w:szCs w:val="20"/>
          <w:color w:val="auto"/>
        </w:rPr>
      </w:pPr>
    </w:p>
    <w:p>
      <w:pPr>
        <w:ind w:left="200" w:right="60" w:firstLine="441"/>
        <w:spacing w:after="0"/>
        <w:rPr>
          <w:sz w:val="20"/>
          <w:szCs w:val="20"/>
          <w:color w:val="auto"/>
        </w:rPr>
      </w:pPr>
      <w:r>
        <w:rPr>
          <w:rFonts w:ascii="Arial" w:cs="Arial" w:eastAsia="Arial" w:hAnsi="Arial"/>
          <w:sz w:val="18"/>
          <w:szCs w:val="18"/>
          <w:color w:val="auto"/>
        </w:rPr>
        <w:t>During fiscal 2019, none of our executive officers served as a member of the board of directors or compensation committee (or other committee serving an equivalent function) of any entity that had one or more executive officers serving as a member of our Board of Directors or Compensation Committee.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52B82"/>
        </w:rPr>
        <w:t>COMPENSATION COMMITTEE REPORT</w:t>
      </w:r>
    </w:p>
    <w:p>
      <w:pPr>
        <w:spacing w:after="0" w:line="126" w:lineRule="exact"/>
        <w:rPr>
          <w:sz w:val="20"/>
          <w:szCs w:val="20"/>
          <w:color w:val="auto"/>
        </w:rPr>
      </w:pPr>
    </w:p>
    <w:p>
      <w:pPr>
        <w:ind w:left="200" w:right="100" w:firstLine="441"/>
        <w:spacing w:after="0"/>
        <w:rPr>
          <w:sz w:val="20"/>
          <w:szCs w:val="20"/>
          <w:color w:val="auto"/>
        </w:rPr>
      </w:pPr>
      <w:r>
        <w:rPr>
          <w:rFonts w:ascii="Arial" w:cs="Arial" w:eastAsia="Arial" w:hAnsi="Arial"/>
          <w:sz w:val="18"/>
          <w:szCs w:val="18"/>
          <w:color w:val="auto"/>
        </w:rPr>
        <w:t>The Compensation Committee has reviewed and discussed the Compensation Discussion and Analysis required by Item 402(b) of Regulation S-K with our management. Based on this review and discussion, the Compensation Committee recommended to our Board of Directors that the Compensation Discussion and Analysis be included in this proxy statement.</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Compensation Committee</w:t>
      </w:r>
    </w:p>
    <w:p>
      <w:pPr>
        <w:spacing w:after="0" w:line="1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Edward H. Frank, </w:t>
      </w:r>
      <w:r>
        <w:rPr>
          <w:rFonts w:ascii="Arial" w:cs="Arial" w:eastAsia="Arial" w:hAnsi="Arial"/>
          <w:sz w:val="18"/>
          <w:szCs w:val="18"/>
          <w:i w:val="1"/>
          <w:iCs w:val="1"/>
          <w:color w:val="auto"/>
        </w:rPr>
        <w:t>Chairman</w:t>
      </w:r>
    </w:p>
    <w:p>
      <w:pPr>
        <w:ind w:left="640"/>
        <w:spacing w:after="0" w:line="234" w:lineRule="auto"/>
        <w:rPr>
          <w:sz w:val="20"/>
          <w:szCs w:val="20"/>
          <w:color w:val="auto"/>
        </w:rPr>
      </w:pPr>
      <w:r>
        <w:rPr>
          <w:rFonts w:ascii="Arial" w:cs="Arial" w:eastAsia="Arial" w:hAnsi="Arial"/>
          <w:sz w:val="18"/>
          <w:szCs w:val="18"/>
          <w:color w:val="auto"/>
        </w:rPr>
        <w:t>Mark M. Little</w:t>
      </w:r>
    </w:p>
    <w:p>
      <w:pPr>
        <w:ind w:left="640"/>
        <w:spacing w:after="0" w:line="235" w:lineRule="auto"/>
        <w:rPr>
          <w:sz w:val="20"/>
          <w:szCs w:val="20"/>
          <w:color w:val="auto"/>
        </w:rPr>
      </w:pPr>
      <w:r>
        <w:rPr>
          <w:rFonts w:ascii="Arial" w:cs="Arial" w:eastAsia="Arial" w:hAnsi="Arial"/>
          <w:sz w:val="18"/>
          <w:szCs w:val="18"/>
          <w:color w:val="auto"/>
        </w:rPr>
        <w:t>Lisa T. Su</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Susie Wee</w:t>
      </w:r>
    </w:p>
    <w:p>
      <w:pPr>
        <w:spacing w:after="0" w:line="14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4"/>
          <w:szCs w:val="14"/>
          <w:b w:val="1"/>
          <w:bCs w:val="1"/>
          <w:color w:val="052B82"/>
        </w:rPr>
        <w:t>2020 Proxy Statement</w:t>
      </w:r>
      <w:r>
        <w:rPr>
          <w:sz w:val="20"/>
          <w:szCs w:val="20"/>
          <w:color w:val="auto"/>
        </w:rPr>
        <w:tab/>
      </w:r>
      <w:r>
        <w:rPr>
          <w:rFonts w:ascii="Arial" w:cs="Arial" w:eastAsia="Arial" w:hAnsi="Arial"/>
          <w:sz w:val="17"/>
          <w:szCs w:val="17"/>
          <w:color w:val="999999"/>
        </w:rPr>
        <w:t>69</w:t>
      </w:r>
    </w:p>
    <w:p>
      <w:pPr>
        <w:sectPr>
          <w:pgSz w:w="11900" w:h="16838" w:orient="portrait"/>
          <w:cols w:equalWidth="0" w:num="1">
            <w:col w:w="11220"/>
          </w:cols>
          <w:pgMar w:left="24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437515</wp:posOffset>
            </wp:positionV>
            <wp:extent cx="6997700" cy="40322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97700" cy="40322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205740</wp:posOffset>
            </wp:positionV>
            <wp:extent cx="2641600" cy="13716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64160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00"/>
        <w:spacing w:after="0"/>
        <w:rPr>
          <w:sz w:val="20"/>
          <w:szCs w:val="20"/>
          <w:color w:val="auto"/>
        </w:rPr>
      </w:pPr>
      <w:r>
        <w:rPr>
          <w:rFonts w:ascii="Arial" w:cs="Arial" w:eastAsia="Arial" w:hAnsi="Arial"/>
          <w:sz w:val="32"/>
          <w:szCs w:val="32"/>
          <w:b w:val="1"/>
          <w:bCs w:val="1"/>
          <w:color w:val="FFFFFF"/>
        </w:rPr>
        <w:t>PROPOSAL 3</w:t>
      </w:r>
    </w:p>
    <w:p>
      <w:pPr>
        <w:spacing w:after="0" w:line="200" w:lineRule="exact"/>
        <w:rPr>
          <w:sz w:val="20"/>
          <w:szCs w:val="20"/>
          <w:color w:val="auto"/>
        </w:rPr>
      </w:pPr>
    </w:p>
    <w:p>
      <w:pPr>
        <w:spacing w:after="0" w:line="309" w:lineRule="exact"/>
        <w:rPr>
          <w:sz w:val="20"/>
          <w:szCs w:val="20"/>
          <w:color w:val="auto"/>
        </w:rPr>
      </w:pPr>
    </w:p>
    <w:p>
      <w:pPr>
        <w:ind w:left="200" w:right="300"/>
        <w:spacing w:after="0" w:line="260" w:lineRule="auto"/>
        <w:rPr>
          <w:sz w:val="20"/>
          <w:szCs w:val="20"/>
          <w:color w:val="auto"/>
        </w:rPr>
      </w:pPr>
      <w:r>
        <w:rPr>
          <w:rFonts w:ascii="Arial" w:cs="Arial" w:eastAsia="Arial" w:hAnsi="Arial"/>
          <w:sz w:val="32"/>
          <w:szCs w:val="32"/>
          <w:color w:val="052B82"/>
        </w:rPr>
        <w:t>APPROVAL OF THE ANALOG DEVICES, INC. 2020 EQUITY INCENTIVE PLAN</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Why We Are Requesting Shareholder Approval of the 2020 Equity Incentive Plan</w:t>
      </w:r>
    </w:p>
    <w:p>
      <w:pPr>
        <w:spacing w:after="0" w:line="126"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We are asking shareholders to approve the Analog Devices, Inc. 2020 Equity Incentive Plan, which we refer to as the 2020 Plan. Our Board of Directors believes that our success depends, in large part, on our ability to maintain a competitive position by attracting, retaining and motivating key employees with experience and ability. We believe that our stock-based compensation programs are central to this objective. On December 11, 2019, upon the recommendation of the Compensation Committee, and subject to shareholder approval, the Board of Directors adopted the 2020 Plan. The 2020 Plan is intended to replace our Amended and Restated 2006 Equity Incentive Plan, which will expire by its terms on March 12, 2021 (the “2006 Plan”) and our Amended and Restated 2010 Equity Incentive Plan, which we assumed in connection with the acquisition of Linear Technology Corporation, and which will expire by its terms on September 15, 2020 (the “2010 Plan” and, together with the 2006 Plan, the “Prior Plans”). If our shareholders approve the 2020 Plan at the Annual Meeting, then we will not grant any new awards under the Prior Plans after the Annual Meeting; however, awards outstanding under the Prior Plans will remain in effect.</w:t>
      </w:r>
    </w:p>
    <w:p>
      <w:pPr>
        <w:spacing w:after="0" w:line="207" w:lineRule="exact"/>
        <w:rPr>
          <w:sz w:val="20"/>
          <w:szCs w:val="20"/>
          <w:color w:val="auto"/>
        </w:rPr>
      </w:pPr>
    </w:p>
    <w:p>
      <w:pPr>
        <w:ind w:left="200" w:right="40" w:firstLine="441"/>
        <w:spacing w:after="0" w:line="235" w:lineRule="auto"/>
        <w:rPr>
          <w:sz w:val="20"/>
          <w:szCs w:val="20"/>
          <w:color w:val="auto"/>
        </w:rPr>
      </w:pPr>
      <w:r>
        <w:rPr>
          <w:rFonts w:ascii="Arial" w:cs="Arial" w:eastAsia="Arial" w:hAnsi="Arial"/>
          <w:sz w:val="18"/>
          <w:szCs w:val="18"/>
          <w:color w:val="auto"/>
        </w:rPr>
        <w:t>If shareholders approve the 2020 Plan, subject to adjustment in the event of stock splits and other similar events, awards may be made under the 2020 Plan for up to the sum of (i) 9,585,500 shares of common stock and (ii) such additional number of shares of common stock (up to 20,857,992 shares) as is equal to the sum of (x) the number of shares of common stock reserved for issuance under the Prior Plans that remain available for grant under the Prior Plans immediately prior to the date that the 2020 Plan is approved by our shareholders and (y) the number of shares of common stock subject to awards granted under the Prior Plans and under our Linear Technology Corporation Amended and Restated 2005 Equity Incentive Plan (the “2005 Plan” and, together with the Prior Plans, the “Existing Plans”), which awards expire, terminate or are otherwise surrendered, cancelled, forfeited or repurchased by the Company at their original issuance price pursuant to a contractual repurchase right (subject, however, in the case of incentive stock options to any limitations under the Internal Revenue Code of 1986, as amended, and any regulations thereunder, which we refer to as the Code). As of December 18, 2019, options to purchase 5,060,254 shares of common stock were outstanding under the Existing Plans with a weighted-average remaining term of 5.8 years and a weighted-average exercise price of $66.26 per share, 3,556,110 shares of common stock were subject to outstanding time-based restricted stock units granted under the Existing Plans, 211,653 shares of common stock were subject to outstanding performance-based restricted stock units granted under the Existing Plans (assuming target performance), 609,221 shares of restricted stock were outstanding under the Existing Plans and an additional 11,420,754 shares of common stock were reserved for future awards under the Prior Plans (no future awards may be granted under the 2005 Plan). The 2020 Plan provides that each share of common stock subject to an award under the Existing Plans that becomes available for grant under the 2020 Plan will increase the 2020 Plan’s share reserve by one share. We expect that the proposed share pool under the 2020 Plan will allow us to continue to grant equity awards at our historic rates for approximately five to six years.</w:t>
      </w:r>
    </w:p>
    <w:p>
      <w:pPr>
        <w:spacing w:after="0" w:line="214" w:lineRule="exact"/>
        <w:rPr>
          <w:sz w:val="20"/>
          <w:szCs w:val="20"/>
          <w:color w:val="auto"/>
        </w:rPr>
      </w:pPr>
    </w:p>
    <w:p>
      <w:pPr>
        <w:ind w:left="200" w:right="40" w:firstLine="441"/>
        <w:spacing w:after="0" w:line="237" w:lineRule="auto"/>
        <w:rPr>
          <w:sz w:val="20"/>
          <w:szCs w:val="20"/>
          <w:color w:val="auto"/>
        </w:rPr>
      </w:pPr>
      <w:r>
        <w:rPr>
          <w:rFonts w:ascii="Arial" w:cs="Arial" w:eastAsia="Arial" w:hAnsi="Arial"/>
          <w:sz w:val="18"/>
          <w:szCs w:val="18"/>
          <w:color w:val="auto"/>
        </w:rPr>
        <w:t xml:space="preserve">We believe that our stock-based compensation programs have been integral to our success in the past and will be important to our ability to succeed in the future. If the 2020 Plan is not approved by our shareholders, we will not be able to make long-term equity incentive awards under a shareholder-approved equity incentive plan after the expiration of the 2006 Plan on March 12, 2021 and the 2010 Plan on September 15, 2020. Therefore, we consider approval of the 2020 Plan vital to our future success. </w:t>
      </w:r>
      <w:r>
        <w:rPr>
          <w:rFonts w:ascii="Arial" w:cs="Arial" w:eastAsia="Arial" w:hAnsi="Arial"/>
          <w:sz w:val="18"/>
          <w:szCs w:val="18"/>
          <w:b w:val="1"/>
          <w:bCs w:val="1"/>
          <w:i w:val="1"/>
          <w:iCs w:val="1"/>
          <w:color w:val="auto"/>
        </w:rPr>
        <w:t>Accordingly, our Board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of Directors believes adoption of the 2020 Plan is in the best interests of the Company and its shareholders and recommends a vote “FOR” the approval of the 2020 Plan.</w:t>
      </w:r>
    </w:p>
    <w:p>
      <w:pPr>
        <w:spacing w:after="0" w:line="136" w:lineRule="exact"/>
        <w:rPr>
          <w:sz w:val="20"/>
          <w:szCs w:val="20"/>
          <w:color w:val="auto"/>
        </w:rPr>
      </w:pPr>
    </w:p>
    <w:p>
      <w:pPr>
        <w:ind w:left="600" w:hanging="396"/>
        <w:spacing w:after="0"/>
        <w:tabs>
          <w:tab w:leader="none" w:pos="600" w:val="left"/>
        </w:tabs>
        <w:numPr>
          <w:ilvl w:val="0"/>
          <w:numId w:val="113"/>
        </w:numPr>
        <w:rPr>
          <w:rFonts w:ascii="Arial" w:cs="Arial" w:eastAsia="Arial" w:hAnsi="Arial"/>
          <w:sz w:val="18"/>
          <w:szCs w:val="18"/>
          <w:color w:val="999999"/>
        </w:rPr>
      </w:pPr>
      <w:r>
        <w:rPr>
          <w:rFonts w:ascii="Arial" w:cs="Arial" w:eastAsia="Arial" w:hAnsi="Arial"/>
          <w:sz w:val="14"/>
          <w:szCs w:val="14"/>
          <w:b w:val="1"/>
          <w:bCs w:val="1"/>
          <w:color w:val="052B82"/>
        </w:rPr>
        <w:t>Analog Devices, Inc.</w:t>
      </w:r>
    </w:p>
    <w:p>
      <w:pPr>
        <w:sectPr>
          <w:pgSz w:w="11900" w:h="16838" w:orient="portrait"/>
          <w:cols w:equalWidth="0" w:num="1">
            <w:col w:w="11220"/>
          </w:cols>
          <w:pgMar w:left="24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205740</wp:posOffset>
            </wp:positionV>
            <wp:extent cx="2649855" cy="13716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Highlights of the 2020 Plan</w:t>
      </w:r>
    </w:p>
    <w:p>
      <w:pPr>
        <w:spacing w:after="0" w:line="121" w:lineRule="exact"/>
        <w:rPr>
          <w:sz w:val="20"/>
          <w:szCs w:val="20"/>
          <w:color w:val="auto"/>
        </w:rPr>
      </w:pPr>
    </w:p>
    <w:p>
      <w:pPr>
        <w:ind w:left="1180" w:right="160" w:hanging="436"/>
        <w:spacing w:after="0" w:line="245" w:lineRule="auto"/>
        <w:tabs>
          <w:tab w:leader="none" w:pos="1180"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No Liberal Share Recycling</w:t>
      </w:r>
      <w:r>
        <w:rPr>
          <w:rFonts w:ascii="Arial" w:cs="Arial" w:eastAsia="Arial" w:hAnsi="Arial"/>
          <w:sz w:val="18"/>
          <w:szCs w:val="18"/>
          <w:color w:val="auto"/>
        </w:rPr>
        <w:t>. The 2020 Plan prohibits the re-granting of (i) shares withheld or delivered to satisfy the exercise</w:t>
      </w:r>
      <w:r>
        <w:rPr>
          <w:rFonts w:ascii="Arial" w:cs="Arial" w:eastAsia="Arial" w:hAnsi="Arial"/>
          <w:sz w:val="18"/>
          <w:szCs w:val="18"/>
          <w:i w:val="1"/>
          <w:iCs w:val="1"/>
          <w:color w:val="auto"/>
        </w:rPr>
        <w:t xml:space="preserve"> </w:t>
      </w:r>
      <w:r>
        <w:rPr>
          <w:rFonts w:ascii="Arial" w:cs="Arial" w:eastAsia="Arial" w:hAnsi="Arial"/>
          <w:sz w:val="18"/>
          <w:szCs w:val="18"/>
          <w:color w:val="auto"/>
        </w:rPr>
        <w:t>price of an award or to satisfy tax withholding obligations, (ii) shares that were subject to a stock appreciation right, or SAR, and not issued upon the net settlement or net exercise of such award, or (iii) shares repurchased on the open market using proceeds from the exercise of an award.</w:t>
      </w:r>
    </w:p>
    <w:p>
      <w:pPr>
        <w:spacing w:after="0" w:line="86" w:lineRule="exact"/>
        <w:rPr>
          <w:rFonts w:ascii="Arial" w:cs="Arial" w:eastAsia="Arial" w:hAnsi="Arial"/>
          <w:sz w:val="18"/>
          <w:szCs w:val="18"/>
          <w:color w:val="auto"/>
        </w:rPr>
      </w:pPr>
    </w:p>
    <w:p>
      <w:pPr>
        <w:ind w:left="1180" w:right="140" w:hanging="436"/>
        <w:spacing w:after="0" w:line="267" w:lineRule="auto"/>
        <w:tabs>
          <w:tab w:leader="none" w:pos="1180"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No Repricing of Awards</w:t>
      </w:r>
      <w:r>
        <w:rPr>
          <w:rFonts w:ascii="Arial" w:cs="Arial" w:eastAsia="Arial" w:hAnsi="Arial"/>
          <w:sz w:val="18"/>
          <w:szCs w:val="18"/>
          <w:color w:val="auto"/>
        </w:rPr>
        <w:t>. The 2020 Plan prohibits the direct or indirect repricing of stock options or SARs without shareholder</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w:t>
      </w:r>
    </w:p>
    <w:p>
      <w:pPr>
        <w:spacing w:after="0" w:line="66" w:lineRule="exact"/>
        <w:rPr>
          <w:rFonts w:ascii="Arial" w:cs="Arial" w:eastAsia="Arial" w:hAnsi="Arial"/>
          <w:sz w:val="18"/>
          <w:szCs w:val="18"/>
          <w:color w:val="auto"/>
        </w:rPr>
      </w:pPr>
    </w:p>
    <w:p>
      <w:pPr>
        <w:ind w:left="1180" w:right="180" w:hanging="436"/>
        <w:spacing w:after="0" w:line="267" w:lineRule="auto"/>
        <w:tabs>
          <w:tab w:leader="none" w:pos="1180"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No Discounted Options or SARs</w:t>
      </w:r>
      <w:r>
        <w:rPr>
          <w:rFonts w:ascii="Arial" w:cs="Arial" w:eastAsia="Arial" w:hAnsi="Arial"/>
          <w:sz w:val="18"/>
          <w:szCs w:val="18"/>
          <w:color w:val="auto"/>
        </w:rPr>
        <w:t>. All options and SARs must have an exercise or measurement price that is at least equal to</w:t>
      </w:r>
      <w:r>
        <w:rPr>
          <w:rFonts w:ascii="Arial" w:cs="Arial" w:eastAsia="Arial" w:hAnsi="Arial"/>
          <w:sz w:val="18"/>
          <w:szCs w:val="18"/>
          <w:i w:val="1"/>
          <w:iCs w:val="1"/>
          <w:color w:val="auto"/>
        </w:rPr>
        <w:t xml:space="preserve"> </w:t>
      </w:r>
      <w:r>
        <w:rPr>
          <w:rFonts w:ascii="Arial" w:cs="Arial" w:eastAsia="Arial" w:hAnsi="Arial"/>
          <w:sz w:val="18"/>
          <w:szCs w:val="18"/>
          <w:color w:val="auto"/>
        </w:rPr>
        <w:t>the fair market value of the underlying common stock on the date of grant.</w:t>
      </w:r>
    </w:p>
    <w:p>
      <w:pPr>
        <w:spacing w:after="0" w:line="66" w:lineRule="exact"/>
        <w:rPr>
          <w:rFonts w:ascii="Arial" w:cs="Arial" w:eastAsia="Arial" w:hAnsi="Arial"/>
          <w:sz w:val="18"/>
          <w:szCs w:val="18"/>
          <w:color w:val="auto"/>
        </w:rPr>
      </w:pPr>
    </w:p>
    <w:p>
      <w:pPr>
        <w:ind w:left="1180" w:right="340" w:hanging="436"/>
        <w:spacing w:after="0" w:line="297" w:lineRule="auto"/>
        <w:tabs>
          <w:tab w:leader="none" w:pos="1180" w:val="left"/>
        </w:tabs>
        <w:numPr>
          <w:ilvl w:val="0"/>
          <w:numId w:val="114"/>
        </w:numPr>
        <w:rPr>
          <w:rFonts w:ascii="Arial" w:cs="Arial" w:eastAsia="Arial" w:hAnsi="Arial"/>
          <w:sz w:val="17"/>
          <w:szCs w:val="17"/>
          <w:color w:val="auto"/>
        </w:rPr>
      </w:pPr>
      <w:r>
        <w:rPr>
          <w:rFonts w:ascii="Arial" w:cs="Arial" w:eastAsia="Arial" w:hAnsi="Arial"/>
          <w:sz w:val="17"/>
          <w:szCs w:val="17"/>
          <w:i w:val="1"/>
          <w:iCs w:val="1"/>
          <w:color w:val="auto"/>
        </w:rPr>
        <w:t>No Reload Options or SARs</w:t>
      </w:r>
      <w:r>
        <w:rPr>
          <w:rFonts w:ascii="Arial" w:cs="Arial" w:eastAsia="Arial" w:hAnsi="Arial"/>
          <w:sz w:val="17"/>
          <w:szCs w:val="17"/>
          <w:color w:val="auto"/>
        </w:rPr>
        <w:t>. No options or SARs granted under the 2020 Plan may contain a provision entitling the award</w:t>
      </w:r>
      <w:r>
        <w:rPr>
          <w:rFonts w:ascii="Arial" w:cs="Arial" w:eastAsia="Arial" w:hAnsi="Arial"/>
          <w:sz w:val="17"/>
          <w:szCs w:val="17"/>
          <w:i w:val="1"/>
          <w:iCs w:val="1"/>
          <w:color w:val="auto"/>
        </w:rPr>
        <w:t xml:space="preserve"> </w:t>
      </w:r>
      <w:r>
        <w:rPr>
          <w:rFonts w:ascii="Arial" w:cs="Arial" w:eastAsia="Arial" w:hAnsi="Arial"/>
          <w:sz w:val="17"/>
          <w:szCs w:val="17"/>
          <w:color w:val="auto"/>
        </w:rPr>
        <w:t>holder to the automatic grant of additional options or SARs in connection with any exercise of the original option or SAR.</w:t>
      </w:r>
    </w:p>
    <w:p>
      <w:pPr>
        <w:spacing w:after="0" w:line="42" w:lineRule="exact"/>
        <w:rPr>
          <w:rFonts w:ascii="Arial" w:cs="Arial" w:eastAsia="Arial" w:hAnsi="Arial"/>
          <w:sz w:val="17"/>
          <w:szCs w:val="17"/>
          <w:color w:val="auto"/>
        </w:rPr>
      </w:pPr>
    </w:p>
    <w:p>
      <w:pPr>
        <w:ind w:left="1180" w:right="100" w:hanging="436"/>
        <w:spacing w:after="0" w:line="267" w:lineRule="auto"/>
        <w:tabs>
          <w:tab w:leader="none" w:pos="1180"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No Dividend Equivalents on Options or SARs</w:t>
      </w:r>
      <w:r>
        <w:rPr>
          <w:rFonts w:ascii="Arial" w:cs="Arial" w:eastAsia="Arial" w:hAnsi="Arial"/>
          <w:sz w:val="18"/>
          <w:szCs w:val="18"/>
          <w:color w:val="auto"/>
        </w:rPr>
        <w:t>. No options or SARs granted under the 2020 Plan may provide for the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or accrual of dividend equivalents.</w:t>
      </w:r>
    </w:p>
    <w:p>
      <w:pPr>
        <w:spacing w:after="0" w:line="66" w:lineRule="exact"/>
        <w:rPr>
          <w:rFonts w:ascii="Arial" w:cs="Arial" w:eastAsia="Arial" w:hAnsi="Arial"/>
          <w:sz w:val="18"/>
          <w:szCs w:val="18"/>
          <w:color w:val="auto"/>
        </w:rPr>
      </w:pPr>
    </w:p>
    <w:p>
      <w:pPr>
        <w:ind w:left="1180" w:right="120" w:hanging="436"/>
        <w:spacing w:after="0"/>
        <w:tabs>
          <w:tab w:leader="none" w:pos="1180"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Limit Applicable to Non-Employee Directors</w:t>
      </w:r>
      <w:r>
        <w:rPr>
          <w:rFonts w:ascii="Arial" w:cs="Arial" w:eastAsia="Arial" w:hAnsi="Arial"/>
          <w:sz w:val="18"/>
          <w:szCs w:val="18"/>
          <w:color w:val="auto"/>
        </w:rPr>
        <w:t>. The maximum amount of cash and equity compensation (calculated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grant date fair value for financial reporting purposes) granted to any non-employee director in any fiscal year may not exceed $750,000; provided, however, fees paid by us on behalf of any non-employee director in connection with regulatory compliance and any amounts paid to a non-employee director as reimbursement of an expense shall not count against the foregoing limitations. Exceptions to these limitations may only be made by the Compensation Committee in extraordinary circumstances, or in the case of regulatory filing fees, provided that the non-employee director receiving any additional compensation does not participate in the decision to award such compensation.</w:t>
      </w:r>
    </w:p>
    <w:p>
      <w:pPr>
        <w:spacing w:after="0" w:line="90" w:lineRule="exact"/>
        <w:rPr>
          <w:rFonts w:ascii="Arial" w:cs="Arial" w:eastAsia="Arial" w:hAnsi="Arial"/>
          <w:sz w:val="18"/>
          <w:szCs w:val="18"/>
          <w:color w:val="auto"/>
        </w:rPr>
      </w:pPr>
    </w:p>
    <w:p>
      <w:pPr>
        <w:ind w:left="1180" w:right="160" w:hanging="436"/>
        <w:spacing w:after="0" w:line="251" w:lineRule="auto"/>
        <w:tabs>
          <w:tab w:leader="none" w:pos="1180"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Material Amendments Require Shareholder Approval</w:t>
      </w:r>
      <w:r>
        <w:rPr>
          <w:rFonts w:ascii="Arial" w:cs="Arial" w:eastAsia="Arial" w:hAnsi="Arial"/>
          <w:sz w:val="18"/>
          <w:szCs w:val="18"/>
          <w:color w:val="auto"/>
        </w:rPr>
        <w:t>. Shareholder approval is required prior to an amendment to the 2020</w:t>
      </w:r>
      <w:r>
        <w:rPr>
          <w:rFonts w:ascii="Arial" w:cs="Arial" w:eastAsia="Arial" w:hAnsi="Arial"/>
          <w:sz w:val="18"/>
          <w:szCs w:val="18"/>
          <w:i w:val="1"/>
          <w:iCs w:val="1"/>
          <w:color w:val="auto"/>
        </w:rPr>
        <w:t xml:space="preserve"> </w:t>
      </w:r>
      <w:r>
        <w:rPr>
          <w:rFonts w:ascii="Arial" w:cs="Arial" w:eastAsia="Arial" w:hAnsi="Arial"/>
          <w:sz w:val="18"/>
          <w:szCs w:val="18"/>
          <w:color w:val="auto"/>
        </w:rPr>
        <w:t>Plan that would (i) materially increase the number of shares authorized, (ii) expand the types of awards that may be granted, or (iii) materially expand the class of participants eligible to participate.</w:t>
      </w:r>
    </w:p>
    <w:p>
      <w:pPr>
        <w:spacing w:after="0" w:line="79" w:lineRule="exact"/>
        <w:rPr>
          <w:rFonts w:ascii="Arial" w:cs="Arial" w:eastAsia="Arial" w:hAnsi="Arial"/>
          <w:sz w:val="18"/>
          <w:szCs w:val="18"/>
          <w:color w:val="auto"/>
        </w:rPr>
      </w:pPr>
    </w:p>
    <w:p>
      <w:pPr>
        <w:ind w:left="1180" w:right="80" w:hanging="436"/>
        <w:spacing w:after="0" w:line="267" w:lineRule="auto"/>
        <w:tabs>
          <w:tab w:leader="none" w:pos="1180"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Administered by an Independent Committee</w:t>
      </w:r>
      <w:r>
        <w:rPr>
          <w:rFonts w:ascii="Arial" w:cs="Arial" w:eastAsia="Arial" w:hAnsi="Arial"/>
          <w:sz w:val="18"/>
          <w:szCs w:val="18"/>
          <w:color w:val="auto"/>
        </w:rPr>
        <w:t>. The 2020 Plan is administered by the Compensation Committee, which is made</w:t>
      </w:r>
      <w:r>
        <w:rPr>
          <w:rFonts w:ascii="Arial" w:cs="Arial" w:eastAsia="Arial" w:hAnsi="Arial"/>
          <w:sz w:val="18"/>
          <w:szCs w:val="18"/>
          <w:i w:val="1"/>
          <w:iCs w:val="1"/>
          <w:color w:val="auto"/>
        </w:rPr>
        <w:t xml:space="preserve"> </w:t>
      </w:r>
      <w:r>
        <w:rPr>
          <w:rFonts w:ascii="Arial" w:cs="Arial" w:eastAsia="Arial" w:hAnsi="Arial"/>
          <w:sz w:val="18"/>
          <w:szCs w:val="18"/>
          <w:color w:val="auto"/>
        </w:rPr>
        <w:t>up entirely of independent directors.</w:t>
      </w:r>
    </w:p>
    <w:p>
      <w:pPr>
        <w:spacing w:after="0" w:line="26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Information Regarding Overhang and Dilution</w:t>
      </w:r>
    </w:p>
    <w:p>
      <w:pPr>
        <w:spacing w:after="0" w:line="126" w:lineRule="exact"/>
        <w:rPr>
          <w:sz w:val="20"/>
          <w:szCs w:val="20"/>
          <w:color w:val="auto"/>
        </w:rPr>
      </w:pPr>
    </w:p>
    <w:p>
      <w:pPr>
        <w:ind w:left="200" w:right="280" w:firstLine="441"/>
        <w:spacing w:after="0" w:line="246" w:lineRule="auto"/>
        <w:rPr>
          <w:sz w:val="20"/>
          <w:szCs w:val="20"/>
          <w:color w:val="auto"/>
        </w:rPr>
      </w:pPr>
      <w:r>
        <w:rPr>
          <w:rFonts w:ascii="Arial" w:cs="Arial" w:eastAsia="Arial" w:hAnsi="Arial"/>
          <w:sz w:val="18"/>
          <w:szCs w:val="18"/>
          <w:color w:val="auto"/>
        </w:rPr>
        <w:t>In developing our share request for the 2020 Plan and analyzing the impact of utilizing equity as a means of compensation on our shareholders, we considered both our “overhang” and our “burn rate”.</w:t>
      </w:r>
    </w:p>
    <w:p>
      <w:pPr>
        <w:spacing w:after="0" w:line="197" w:lineRule="exact"/>
        <w:rPr>
          <w:sz w:val="20"/>
          <w:szCs w:val="20"/>
          <w:color w:val="auto"/>
        </w:rPr>
      </w:pPr>
    </w:p>
    <w:p>
      <w:pPr>
        <w:ind w:left="200" w:right="60" w:firstLine="441"/>
        <w:spacing w:after="0" w:line="236" w:lineRule="auto"/>
        <w:rPr>
          <w:sz w:val="20"/>
          <w:szCs w:val="20"/>
          <w:color w:val="auto"/>
        </w:rPr>
      </w:pPr>
      <w:r>
        <w:rPr>
          <w:rFonts w:ascii="Arial" w:cs="Arial" w:eastAsia="Arial" w:hAnsi="Arial"/>
          <w:sz w:val="18"/>
          <w:szCs w:val="18"/>
          <w:color w:val="auto"/>
        </w:rPr>
        <w:t>Overhang is a measure of potential dilution which we define as the sum of (i) the total number of shares underlying all equity awards outstanding and (ii) the total number of shares available for future award grants, divided by the number of shares of common stock outstanding. As of December 18, 2019, there were 9,437,238 shares underlying all equity awards outstanding and 11,420,754 shares available for future awards, and the basic weighted average common shares outstanding for the period ended November 2, 2019 was 369,133,000. Accordingly, our overhang at December 18, 2019 was 5.7%. For purposes of this calculation, we counted the shares subject to our PRSUs using the target number of shares of common stock issuable under such awards. If the 9,585,500 additional shares proposed to be authorized for grant under the 2020 Plan are included in the calculation, our overhang on December 18, 2019 would have been 8.2%.</w:t>
      </w:r>
    </w:p>
    <w:p>
      <w:pPr>
        <w:spacing w:after="0" w:line="208" w:lineRule="exact"/>
        <w:rPr>
          <w:sz w:val="20"/>
          <w:szCs w:val="20"/>
          <w:color w:val="auto"/>
        </w:rPr>
      </w:pPr>
    </w:p>
    <w:p>
      <w:pPr>
        <w:ind w:left="200" w:right="60" w:firstLine="441"/>
        <w:spacing w:after="0"/>
        <w:rPr>
          <w:sz w:val="20"/>
          <w:szCs w:val="20"/>
          <w:color w:val="auto"/>
        </w:rPr>
      </w:pPr>
      <w:r>
        <w:rPr>
          <w:rFonts w:ascii="Arial" w:cs="Arial" w:eastAsia="Arial" w:hAnsi="Arial"/>
          <w:sz w:val="18"/>
          <w:szCs w:val="18"/>
          <w:color w:val="auto"/>
        </w:rPr>
        <w:t>Burn rate provides a measure of the potential dilutive impact of our equity award program which we calculate by dividing the number of shares subject to equity awards granted during the fiscal year by the basic weighted average number of shares outstanding. Set forth below is a table that reflects our burn rate for the 2019, 2018 and 2017 fiscal years as well as an average over those years.</w:t>
      </w:r>
    </w:p>
    <w:p>
      <w:pPr>
        <w:spacing w:after="0" w:line="13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4"/>
          <w:szCs w:val="14"/>
          <w:b w:val="1"/>
          <w:bCs w:val="1"/>
          <w:color w:val="052B82"/>
        </w:rPr>
        <w:t>2020 Proxy Statement</w:t>
      </w:r>
      <w:r>
        <w:rPr>
          <w:sz w:val="20"/>
          <w:szCs w:val="20"/>
          <w:color w:val="auto"/>
        </w:rPr>
        <w:tab/>
      </w:r>
      <w:r>
        <w:rPr>
          <w:rFonts w:ascii="Arial" w:cs="Arial" w:eastAsia="Arial" w:hAnsi="Arial"/>
          <w:sz w:val="17"/>
          <w:szCs w:val="17"/>
          <w:color w:val="999999"/>
        </w:rPr>
        <w:t>71</w:t>
      </w:r>
    </w:p>
    <w:p>
      <w:pPr>
        <w:sectPr>
          <w:pgSz w:w="11900" w:h="16838" w:orient="portrait"/>
          <w:cols w:equalWidth="0" w:num="1">
            <w:col w:w="11220"/>
          </w:cols>
          <w:pgMar w:left="24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2641600" cy="13716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64160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220" w:type="dxa"/>
        <w:tblCellMar>
          <w:top w:w="0" w:type="dxa"/>
          <w:left w:w="0" w:type="dxa"/>
          <w:bottom w:w="0" w:type="dxa"/>
          <w:right w:w="0" w:type="dxa"/>
        </w:tblCellMar>
      </w:tblPr>
      <w:tr>
        <w:trPr>
          <w:trHeight w:val="176"/>
        </w:trPr>
        <w:tc>
          <w:tcPr>
            <w:tcW w:w="1200" w:type="dxa"/>
            <w:vAlign w:val="bottom"/>
            <w:shd w:val="clear" w:color="auto" w:fill="052B82"/>
          </w:tcPr>
          <w:p>
            <w:pPr>
              <w:spacing w:after="0"/>
              <w:rPr>
                <w:sz w:val="15"/>
                <w:szCs w:val="15"/>
                <w:color w:val="auto"/>
              </w:rPr>
            </w:pPr>
          </w:p>
        </w:tc>
        <w:tc>
          <w:tcPr>
            <w:tcW w:w="2280" w:type="dxa"/>
            <w:vAlign w:val="bottom"/>
            <w:shd w:val="clear" w:color="auto" w:fill="052B82"/>
          </w:tcPr>
          <w:p>
            <w:pPr>
              <w:spacing w:after="0"/>
              <w:rPr>
                <w:sz w:val="15"/>
                <w:szCs w:val="15"/>
                <w:color w:val="auto"/>
              </w:rPr>
            </w:pPr>
          </w:p>
        </w:tc>
        <w:tc>
          <w:tcPr>
            <w:tcW w:w="2300" w:type="dxa"/>
            <w:vAlign w:val="bottom"/>
            <w:shd w:val="clear" w:color="auto" w:fill="052B82"/>
          </w:tcPr>
          <w:p>
            <w:pPr>
              <w:jc w:val="right"/>
              <w:ind w:right="596"/>
              <w:spacing w:after="0"/>
              <w:rPr>
                <w:sz w:val="20"/>
                <w:szCs w:val="20"/>
                <w:color w:val="auto"/>
              </w:rPr>
            </w:pPr>
            <w:r>
              <w:rPr>
                <w:rFonts w:ascii="Arial" w:cs="Arial" w:eastAsia="Arial" w:hAnsi="Arial"/>
                <w:sz w:val="14"/>
                <w:szCs w:val="14"/>
                <w:b w:val="1"/>
                <w:bCs w:val="1"/>
                <w:color w:val="FFFFFF"/>
              </w:rPr>
              <w:t>Awards</w:t>
            </w:r>
          </w:p>
        </w:tc>
        <w:tc>
          <w:tcPr>
            <w:tcW w:w="3260" w:type="dxa"/>
            <w:vAlign w:val="bottom"/>
            <w:shd w:val="clear" w:color="auto" w:fill="052B82"/>
          </w:tcPr>
          <w:p>
            <w:pPr>
              <w:jc w:val="right"/>
              <w:ind w:right="276"/>
              <w:spacing w:after="0"/>
              <w:rPr>
                <w:sz w:val="20"/>
                <w:szCs w:val="20"/>
                <w:color w:val="auto"/>
              </w:rPr>
            </w:pPr>
            <w:r>
              <w:rPr>
                <w:rFonts w:ascii="Arial" w:cs="Arial" w:eastAsia="Arial" w:hAnsi="Arial"/>
                <w:sz w:val="14"/>
                <w:szCs w:val="14"/>
                <w:b w:val="1"/>
                <w:bCs w:val="1"/>
                <w:color w:val="FFFFFF"/>
              </w:rPr>
              <w:t>Basic Weighted Average Number of</w:t>
            </w:r>
          </w:p>
        </w:tc>
        <w:tc>
          <w:tcPr>
            <w:tcW w:w="1980" w:type="dxa"/>
            <w:vAlign w:val="bottom"/>
            <w:shd w:val="clear" w:color="auto" w:fill="052B82"/>
          </w:tcPr>
          <w:p>
            <w:pPr>
              <w:spacing w:after="0"/>
              <w:rPr>
                <w:sz w:val="15"/>
                <w:szCs w:val="15"/>
                <w:color w:val="auto"/>
              </w:rPr>
            </w:pPr>
          </w:p>
        </w:tc>
      </w:tr>
      <w:tr>
        <w:trPr>
          <w:trHeight w:val="175"/>
        </w:trPr>
        <w:tc>
          <w:tcPr>
            <w:tcW w:w="3480" w:type="dxa"/>
            <w:vAlign w:val="bottom"/>
            <w:gridSpan w:val="2"/>
            <w:shd w:val="clear" w:color="auto" w:fill="052B82"/>
          </w:tcPr>
          <w:p>
            <w:pPr>
              <w:ind w:left="40"/>
              <w:spacing w:after="0"/>
              <w:rPr>
                <w:sz w:val="20"/>
                <w:szCs w:val="20"/>
                <w:color w:val="auto"/>
              </w:rPr>
            </w:pPr>
            <w:r>
              <w:rPr>
                <w:rFonts w:ascii="Arial" w:cs="Arial" w:eastAsia="Arial" w:hAnsi="Arial"/>
                <w:sz w:val="14"/>
                <w:szCs w:val="14"/>
                <w:b w:val="1"/>
                <w:bCs w:val="1"/>
                <w:color w:val="FFFFFF"/>
              </w:rPr>
              <w:t>Fiscal Year</w:t>
            </w:r>
          </w:p>
        </w:tc>
        <w:tc>
          <w:tcPr>
            <w:tcW w:w="2300" w:type="dxa"/>
            <w:vAlign w:val="bottom"/>
            <w:shd w:val="clear" w:color="auto" w:fill="052B82"/>
          </w:tcPr>
          <w:p>
            <w:pPr>
              <w:jc w:val="right"/>
              <w:ind w:right="496"/>
              <w:spacing w:after="0"/>
              <w:rPr>
                <w:sz w:val="20"/>
                <w:szCs w:val="20"/>
                <w:color w:val="auto"/>
              </w:rPr>
            </w:pPr>
            <w:r>
              <w:rPr>
                <w:rFonts w:ascii="Arial" w:cs="Arial" w:eastAsia="Arial" w:hAnsi="Arial"/>
                <w:sz w:val="14"/>
                <w:szCs w:val="14"/>
                <w:b w:val="1"/>
                <w:bCs w:val="1"/>
                <w:color w:val="FFFFFF"/>
              </w:rPr>
              <w:t>Granted(1)</w:t>
            </w:r>
          </w:p>
        </w:tc>
        <w:tc>
          <w:tcPr>
            <w:tcW w:w="3260" w:type="dxa"/>
            <w:vAlign w:val="bottom"/>
            <w:shd w:val="clear" w:color="auto" w:fill="052B82"/>
          </w:tcPr>
          <w:p>
            <w:pPr>
              <w:jc w:val="right"/>
              <w:ind w:right="476"/>
              <w:spacing w:after="0"/>
              <w:rPr>
                <w:sz w:val="20"/>
                <w:szCs w:val="20"/>
                <w:color w:val="auto"/>
              </w:rPr>
            </w:pPr>
            <w:r>
              <w:rPr>
                <w:rFonts w:ascii="Arial" w:cs="Arial" w:eastAsia="Arial" w:hAnsi="Arial"/>
                <w:sz w:val="14"/>
                <w:szCs w:val="14"/>
                <w:b w:val="1"/>
                <w:bCs w:val="1"/>
                <w:color w:val="FFFFFF"/>
              </w:rPr>
              <w:t>Common Shares Outstanding</w:t>
            </w:r>
          </w:p>
        </w:tc>
        <w:tc>
          <w:tcPr>
            <w:tcW w:w="1980" w:type="dxa"/>
            <w:vAlign w:val="bottom"/>
            <w:shd w:val="clear" w:color="auto" w:fill="052B82"/>
          </w:tcPr>
          <w:p>
            <w:pPr>
              <w:jc w:val="right"/>
              <w:ind w:right="234"/>
              <w:spacing w:after="0"/>
              <w:rPr>
                <w:sz w:val="20"/>
                <w:szCs w:val="20"/>
                <w:color w:val="auto"/>
              </w:rPr>
            </w:pPr>
            <w:r>
              <w:rPr>
                <w:rFonts w:ascii="Arial" w:cs="Arial" w:eastAsia="Arial" w:hAnsi="Arial"/>
                <w:sz w:val="14"/>
                <w:szCs w:val="14"/>
                <w:b w:val="1"/>
                <w:bCs w:val="1"/>
                <w:color w:val="FFFFFF"/>
              </w:rPr>
              <w:t>Gross Burn Rate(2)</w:t>
            </w:r>
          </w:p>
        </w:tc>
      </w:tr>
      <w:tr>
        <w:trPr>
          <w:trHeight w:val="239"/>
        </w:trPr>
        <w:tc>
          <w:tcPr>
            <w:tcW w:w="1200" w:type="dxa"/>
            <w:vAlign w:val="bottom"/>
          </w:tcPr>
          <w:p>
            <w:pPr>
              <w:ind w:left="40"/>
              <w:spacing w:after="0"/>
              <w:rPr>
                <w:sz w:val="20"/>
                <w:szCs w:val="20"/>
                <w:color w:val="auto"/>
              </w:rPr>
            </w:pPr>
            <w:r>
              <w:rPr>
                <w:rFonts w:ascii="Arial" w:cs="Arial" w:eastAsia="Arial" w:hAnsi="Arial"/>
                <w:sz w:val="18"/>
                <w:szCs w:val="18"/>
                <w:b w:val="1"/>
                <w:bCs w:val="1"/>
                <w:color w:val="auto"/>
              </w:rPr>
              <w:t>2019</w:t>
            </w:r>
          </w:p>
        </w:tc>
        <w:tc>
          <w:tcPr>
            <w:tcW w:w="2280" w:type="dxa"/>
            <w:vAlign w:val="bottom"/>
          </w:tcPr>
          <w:p>
            <w:pPr>
              <w:spacing w:after="0"/>
              <w:rPr>
                <w:sz w:val="20"/>
                <w:szCs w:val="20"/>
                <w:color w:val="auto"/>
              </w:rPr>
            </w:pPr>
          </w:p>
        </w:tc>
        <w:tc>
          <w:tcPr>
            <w:tcW w:w="2300" w:type="dxa"/>
            <w:vAlign w:val="bottom"/>
          </w:tcPr>
          <w:p>
            <w:pPr>
              <w:jc w:val="right"/>
              <w:ind w:right="376"/>
              <w:spacing w:after="0"/>
              <w:rPr>
                <w:sz w:val="20"/>
                <w:szCs w:val="20"/>
                <w:color w:val="auto"/>
              </w:rPr>
            </w:pPr>
            <w:r>
              <w:rPr>
                <w:rFonts w:ascii="Arial" w:cs="Arial" w:eastAsia="Arial" w:hAnsi="Arial"/>
                <w:sz w:val="18"/>
                <w:szCs w:val="18"/>
                <w:color w:val="auto"/>
              </w:rPr>
              <w:t>3,746,500</w:t>
            </w:r>
          </w:p>
        </w:tc>
        <w:tc>
          <w:tcPr>
            <w:tcW w:w="3260" w:type="dxa"/>
            <w:vAlign w:val="bottom"/>
          </w:tcPr>
          <w:p>
            <w:pPr>
              <w:jc w:val="right"/>
              <w:ind w:right="276"/>
              <w:spacing w:after="0"/>
              <w:rPr>
                <w:sz w:val="20"/>
                <w:szCs w:val="20"/>
                <w:color w:val="auto"/>
              </w:rPr>
            </w:pPr>
            <w:r>
              <w:rPr>
                <w:rFonts w:ascii="Arial" w:cs="Arial" w:eastAsia="Arial" w:hAnsi="Arial"/>
                <w:sz w:val="18"/>
                <w:szCs w:val="18"/>
                <w:color w:val="auto"/>
              </w:rPr>
              <w:t>369,133,000</w:t>
            </w:r>
          </w:p>
        </w:tc>
        <w:tc>
          <w:tcPr>
            <w:tcW w:w="1980" w:type="dxa"/>
            <w:vAlign w:val="bottom"/>
          </w:tcPr>
          <w:p>
            <w:pPr>
              <w:jc w:val="right"/>
              <w:ind w:right="74"/>
              <w:spacing w:after="0"/>
              <w:rPr>
                <w:sz w:val="20"/>
                <w:szCs w:val="20"/>
                <w:color w:val="auto"/>
              </w:rPr>
            </w:pPr>
            <w:r>
              <w:rPr>
                <w:rFonts w:ascii="Arial" w:cs="Arial" w:eastAsia="Arial" w:hAnsi="Arial"/>
                <w:sz w:val="18"/>
                <w:szCs w:val="18"/>
                <w:color w:val="auto"/>
              </w:rPr>
              <w:t>1.01%</w:t>
            </w:r>
          </w:p>
        </w:tc>
      </w:tr>
      <w:tr>
        <w:trPr>
          <w:trHeight w:val="58"/>
        </w:trPr>
        <w:tc>
          <w:tcPr>
            <w:tcW w:w="1200" w:type="dxa"/>
            <w:vAlign w:val="bottom"/>
          </w:tcPr>
          <w:p>
            <w:pPr>
              <w:spacing w:after="0"/>
              <w:rPr>
                <w:sz w:val="5"/>
                <w:szCs w:val="5"/>
                <w:color w:val="auto"/>
              </w:rPr>
            </w:pPr>
          </w:p>
        </w:tc>
        <w:tc>
          <w:tcPr>
            <w:tcW w:w="2280" w:type="dxa"/>
            <w:vAlign w:val="bottom"/>
          </w:tcPr>
          <w:p>
            <w:pPr>
              <w:spacing w:after="0"/>
              <w:rPr>
                <w:sz w:val="5"/>
                <w:szCs w:val="5"/>
                <w:color w:val="auto"/>
              </w:rPr>
            </w:pPr>
          </w:p>
        </w:tc>
        <w:tc>
          <w:tcPr>
            <w:tcW w:w="2300" w:type="dxa"/>
            <w:vAlign w:val="bottom"/>
          </w:tcPr>
          <w:p>
            <w:pPr>
              <w:spacing w:after="0"/>
              <w:rPr>
                <w:sz w:val="5"/>
                <w:szCs w:val="5"/>
                <w:color w:val="auto"/>
              </w:rPr>
            </w:pPr>
          </w:p>
        </w:tc>
        <w:tc>
          <w:tcPr>
            <w:tcW w:w="3260" w:type="dxa"/>
            <w:vAlign w:val="bottom"/>
          </w:tcPr>
          <w:p>
            <w:pPr>
              <w:spacing w:after="0"/>
              <w:rPr>
                <w:sz w:val="5"/>
                <w:szCs w:val="5"/>
                <w:color w:val="auto"/>
              </w:rPr>
            </w:pPr>
          </w:p>
        </w:tc>
        <w:tc>
          <w:tcPr>
            <w:tcW w:w="1980" w:type="dxa"/>
            <w:vAlign w:val="bottom"/>
          </w:tcPr>
          <w:p>
            <w:pPr>
              <w:spacing w:after="0"/>
              <w:rPr>
                <w:sz w:val="5"/>
                <w:szCs w:val="5"/>
                <w:color w:val="auto"/>
              </w:rPr>
            </w:pPr>
          </w:p>
        </w:tc>
      </w:tr>
      <w:tr>
        <w:trPr>
          <w:trHeight w:val="277"/>
        </w:trPr>
        <w:tc>
          <w:tcPr>
            <w:tcW w:w="1200" w:type="dxa"/>
            <w:vAlign w:val="bottom"/>
            <w:tcBorders>
              <w:bottom w:val="single" w:sz="8" w:color="E8EDF4"/>
            </w:tcBorders>
            <w:shd w:val="clear" w:color="auto" w:fill="E8EDF4"/>
          </w:tcPr>
          <w:p>
            <w:pPr>
              <w:ind w:left="40"/>
              <w:spacing w:after="0"/>
              <w:rPr>
                <w:sz w:val="20"/>
                <w:szCs w:val="20"/>
                <w:color w:val="auto"/>
              </w:rPr>
            </w:pPr>
            <w:r>
              <w:rPr>
                <w:rFonts w:ascii="Arial" w:cs="Arial" w:eastAsia="Arial" w:hAnsi="Arial"/>
                <w:sz w:val="18"/>
                <w:szCs w:val="18"/>
                <w:b w:val="1"/>
                <w:bCs w:val="1"/>
                <w:color w:val="auto"/>
              </w:rPr>
              <w:t>2018</w:t>
            </w:r>
          </w:p>
        </w:tc>
        <w:tc>
          <w:tcPr>
            <w:tcW w:w="2280" w:type="dxa"/>
            <w:vAlign w:val="bottom"/>
            <w:tcBorders>
              <w:bottom w:val="single" w:sz="8" w:color="E8EDF4"/>
            </w:tcBorders>
            <w:shd w:val="clear" w:color="auto" w:fill="E8EDF4"/>
          </w:tcPr>
          <w:p>
            <w:pPr>
              <w:spacing w:after="0"/>
              <w:rPr>
                <w:sz w:val="24"/>
                <w:szCs w:val="24"/>
                <w:color w:val="auto"/>
              </w:rPr>
            </w:pPr>
          </w:p>
        </w:tc>
        <w:tc>
          <w:tcPr>
            <w:tcW w:w="2300" w:type="dxa"/>
            <w:vAlign w:val="bottom"/>
            <w:tcBorders>
              <w:bottom w:val="single" w:sz="8" w:color="E8EDF4"/>
            </w:tcBorders>
            <w:shd w:val="clear" w:color="auto" w:fill="E8EDF4"/>
          </w:tcPr>
          <w:p>
            <w:pPr>
              <w:jc w:val="right"/>
              <w:ind w:right="376"/>
              <w:spacing w:after="0"/>
              <w:rPr>
                <w:sz w:val="20"/>
                <w:szCs w:val="20"/>
                <w:color w:val="auto"/>
              </w:rPr>
            </w:pPr>
            <w:r>
              <w:rPr>
                <w:rFonts w:ascii="Arial" w:cs="Arial" w:eastAsia="Arial" w:hAnsi="Arial"/>
                <w:sz w:val="18"/>
                <w:szCs w:val="18"/>
                <w:color w:val="auto"/>
              </w:rPr>
              <w:t>4,773,000</w:t>
            </w:r>
          </w:p>
        </w:tc>
        <w:tc>
          <w:tcPr>
            <w:tcW w:w="3260" w:type="dxa"/>
            <w:vAlign w:val="bottom"/>
            <w:tcBorders>
              <w:bottom w:val="single" w:sz="8" w:color="E8EDF4"/>
            </w:tcBorders>
            <w:shd w:val="clear" w:color="auto" w:fill="E8EDF4"/>
          </w:tcPr>
          <w:p>
            <w:pPr>
              <w:jc w:val="right"/>
              <w:ind w:right="276"/>
              <w:spacing w:after="0"/>
              <w:rPr>
                <w:sz w:val="20"/>
                <w:szCs w:val="20"/>
                <w:color w:val="auto"/>
              </w:rPr>
            </w:pPr>
            <w:r>
              <w:rPr>
                <w:rFonts w:ascii="Arial" w:cs="Arial" w:eastAsia="Arial" w:hAnsi="Arial"/>
                <w:sz w:val="18"/>
                <w:szCs w:val="18"/>
                <w:color w:val="auto"/>
              </w:rPr>
              <w:t>370,430,000</w:t>
            </w:r>
          </w:p>
        </w:tc>
        <w:tc>
          <w:tcPr>
            <w:tcW w:w="1980" w:type="dxa"/>
            <w:vAlign w:val="bottom"/>
            <w:tcBorders>
              <w:bottom w:val="single" w:sz="8" w:color="E8EDF4"/>
            </w:tcBorders>
            <w:shd w:val="clear" w:color="auto" w:fill="E8EDF4"/>
          </w:tcPr>
          <w:p>
            <w:pPr>
              <w:jc w:val="right"/>
              <w:ind w:right="74"/>
              <w:spacing w:after="0"/>
              <w:rPr>
                <w:sz w:val="20"/>
                <w:szCs w:val="20"/>
                <w:color w:val="auto"/>
              </w:rPr>
            </w:pPr>
            <w:r>
              <w:rPr>
                <w:rFonts w:ascii="Arial" w:cs="Arial" w:eastAsia="Arial" w:hAnsi="Arial"/>
                <w:sz w:val="18"/>
                <w:szCs w:val="18"/>
                <w:color w:val="auto"/>
              </w:rPr>
              <w:t>1.29%</w:t>
            </w:r>
          </w:p>
        </w:tc>
      </w:tr>
      <w:tr>
        <w:trPr>
          <w:trHeight w:val="239"/>
        </w:trPr>
        <w:tc>
          <w:tcPr>
            <w:tcW w:w="1200" w:type="dxa"/>
            <w:vAlign w:val="bottom"/>
          </w:tcPr>
          <w:p>
            <w:pPr>
              <w:ind w:left="40"/>
              <w:spacing w:after="0"/>
              <w:rPr>
                <w:sz w:val="20"/>
                <w:szCs w:val="20"/>
                <w:color w:val="auto"/>
              </w:rPr>
            </w:pPr>
            <w:r>
              <w:rPr>
                <w:rFonts w:ascii="Arial" w:cs="Arial" w:eastAsia="Arial" w:hAnsi="Arial"/>
                <w:sz w:val="18"/>
                <w:szCs w:val="18"/>
                <w:b w:val="1"/>
                <w:bCs w:val="1"/>
                <w:color w:val="auto"/>
              </w:rPr>
              <w:t>2017</w:t>
            </w:r>
          </w:p>
        </w:tc>
        <w:tc>
          <w:tcPr>
            <w:tcW w:w="2280" w:type="dxa"/>
            <w:vAlign w:val="bottom"/>
          </w:tcPr>
          <w:p>
            <w:pPr>
              <w:spacing w:after="0"/>
              <w:rPr>
                <w:sz w:val="20"/>
                <w:szCs w:val="20"/>
                <w:color w:val="auto"/>
              </w:rPr>
            </w:pPr>
          </w:p>
        </w:tc>
        <w:tc>
          <w:tcPr>
            <w:tcW w:w="2300" w:type="dxa"/>
            <w:vAlign w:val="bottom"/>
          </w:tcPr>
          <w:p>
            <w:pPr>
              <w:jc w:val="right"/>
              <w:ind w:right="376"/>
              <w:spacing w:after="0"/>
              <w:rPr>
                <w:sz w:val="20"/>
                <w:szCs w:val="20"/>
                <w:color w:val="auto"/>
              </w:rPr>
            </w:pPr>
            <w:r>
              <w:rPr>
                <w:rFonts w:ascii="Arial" w:cs="Arial" w:eastAsia="Arial" w:hAnsi="Arial"/>
                <w:sz w:val="18"/>
                <w:szCs w:val="18"/>
                <w:color w:val="auto"/>
              </w:rPr>
              <w:t>13,502,500</w:t>
            </w:r>
          </w:p>
        </w:tc>
        <w:tc>
          <w:tcPr>
            <w:tcW w:w="3260" w:type="dxa"/>
            <w:vAlign w:val="bottom"/>
          </w:tcPr>
          <w:p>
            <w:pPr>
              <w:jc w:val="right"/>
              <w:ind w:right="276"/>
              <w:spacing w:after="0"/>
              <w:rPr>
                <w:sz w:val="20"/>
                <w:szCs w:val="20"/>
                <w:color w:val="auto"/>
              </w:rPr>
            </w:pPr>
            <w:r>
              <w:rPr>
                <w:rFonts w:ascii="Arial" w:cs="Arial" w:eastAsia="Arial" w:hAnsi="Arial"/>
                <w:sz w:val="18"/>
                <w:szCs w:val="18"/>
                <w:color w:val="auto"/>
              </w:rPr>
              <w:t>346,371,000</w:t>
            </w:r>
          </w:p>
        </w:tc>
        <w:tc>
          <w:tcPr>
            <w:tcW w:w="1980" w:type="dxa"/>
            <w:vAlign w:val="bottom"/>
          </w:tcPr>
          <w:p>
            <w:pPr>
              <w:jc w:val="right"/>
              <w:ind w:right="74"/>
              <w:spacing w:after="0"/>
              <w:rPr>
                <w:sz w:val="20"/>
                <w:szCs w:val="20"/>
                <w:color w:val="auto"/>
              </w:rPr>
            </w:pPr>
            <w:r>
              <w:rPr>
                <w:rFonts w:ascii="Arial" w:cs="Arial" w:eastAsia="Arial" w:hAnsi="Arial"/>
                <w:sz w:val="18"/>
                <w:szCs w:val="18"/>
                <w:color w:val="auto"/>
              </w:rPr>
              <w:t>3.90%</w:t>
            </w:r>
          </w:p>
        </w:tc>
      </w:tr>
      <w:tr>
        <w:trPr>
          <w:trHeight w:val="58"/>
        </w:trPr>
        <w:tc>
          <w:tcPr>
            <w:tcW w:w="1200" w:type="dxa"/>
            <w:vAlign w:val="bottom"/>
          </w:tcPr>
          <w:p>
            <w:pPr>
              <w:spacing w:after="0"/>
              <w:rPr>
                <w:sz w:val="5"/>
                <w:szCs w:val="5"/>
                <w:color w:val="auto"/>
              </w:rPr>
            </w:pPr>
          </w:p>
        </w:tc>
        <w:tc>
          <w:tcPr>
            <w:tcW w:w="2280" w:type="dxa"/>
            <w:vAlign w:val="bottom"/>
          </w:tcPr>
          <w:p>
            <w:pPr>
              <w:spacing w:after="0"/>
              <w:rPr>
                <w:sz w:val="5"/>
                <w:szCs w:val="5"/>
                <w:color w:val="auto"/>
              </w:rPr>
            </w:pPr>
          </w:p>
        </w:tc>
        <w:tc>
          <w:tcPr>
            <w:tcW w:w="2300" w:type="dxa"/>
            <w:vAlign w:val="bottom"/>
          </w:tcPr>
          <w:p>
            <w:pPr>
              <w:spacing w:after="0"/>
              <w:rPr>
                <w:sz w:val="5"/>
                <w:szCs w:val="5"/>
                <w:color w:val="auto"/>
              </w:rPr>
            </w:pPr>
          </w:p>
        </w:tc>
        <w:tc>
          <w:tcPr>
            <w:tcW w:w="3260" w:type="dxa"/>
            <w:vAlign w:val="bottom"/>
          </w:tcPr>
          <w:p>
            <w:pPr>
              <w:spacing w:after="0"/>
              <w:rPr>
                <w:sz w:val="5"/>
                <w:szCs w:val="5"/>
                <w:color w:val="auto"/>
              </w:rPr>
            </w:pPr>
          </w:p>
        </w:tc>
        <w:tc>
          <w:tcPr>
            <w:tcW w:w="1980" w:type="dxa"/>
            <w:vAlign w:val="bottom"/>
          </w:tcPr>
          <w:p>
            <w:pPr>
              <w:spacing w:after="0"/>
              <w:rPr>
                <w:sz w:val="5"/>
                <w:szCs w:val="5"/>
                <w:color w:val="auto"/>
              </w:rPr>
            </w:pPr>
          </w:p>
        </w:tc>
      </w:tr>
      <w:tr>
        <w:trPr>
          <w:trHeight w:val="277"/>
        </w:trPr>
        <w:tc>
          <w:tcPr>
            <w:tcW w:w="3480" w:type="dxa"/>
            <w:vAlign w:val="bottom"/>
            <w:tcBorders>
              <w:bottom w:val="single" w:sz="8" w:color="E8EDF4"/>
            </w:tcBorders>
            <w:gridSpan w:val="2"/>
            <w:shd w:val="clear" w:color="auto" w:fill="E8EDF4"/>
          </w:tcPr>
          <w:p>
            <w:pPr>
              <w:ind w:left="40"/>
              <w:spacing w:after="0"/>
              <w:rPr>
                <w:sz w:val="20"/>
                <w:szCs w:val="20"/>
                <w:color w:val="auto"/>
              </w:rPr>
            </w:pPr>
            <w:r>
              <w:rPr>
                <w:rFonts w:ascii="Arial" w:cs="Arial" w:eastAsia="Arial" w:hAnsi="Arial"/>
                <w:sz w:val="18"/>
                <w:szCs w:val="18"/>
                <w:b w:val="1"/>
                <w:bCs w:val="1"/>
                <w:color w:val="auto"/>
              </w:rPr>
              <w:t>Three-Year Average</w:t>
            </w:r>
          </w:p>
        </w:tc>
        <w:tc>
          <w:tcPr>
            <w:tcW w:w="2300" w:type="dxa"/>
            <w:vAlign w:val="bottom"/>
            <w:tcBorders>
              <w:bottom w:val="single" w:sz="8" w:color="E8EDF4"/>
            </w:tcBorders>
            <w:shd w:val="clear" w:color="auto" w:fill="E8EDF4"/>
          </w:tcPr>
          <w:p>
            <w:pPr>
              <w:jc w:val="right"/>
              <w:ind w:right="376"/>
              <w:spacing w:after="0"/>
              <w:rPr>
                <w:sz w:val="20"/>
                <w:szCs w:val="20"/>
                <w:color w:val="auto"/>
              </w:rPr>
            </w:pPr>
            <w:r>
              <w:rPr>
                <w:rFonts w:ascii="Arial" w:cs="Arial" w:eastAsia="Arial" w:hAnsi="Arial"/>
                <w:sz w:val="18"/>
                <w:szCs w:val="18"/>
                <w:color w:val="auto"/>
              </w:rPr>
              <w:t>7,340,667</w:t>
            </w:r>
          </w:p>
        </w:tc>
        <w:tc>
          <w:tcPr>
            <w:tcW w:w="3260" w:type="dxa"/>
            <w:vAlign w:val="bottom"/>
            <w:tcBorders>
              <w:bottom w:val="single" w:sz="8" w:color="E8EDF4"/>
            </w:tcBorders>
            <w:shd w:val="clear" w:color="auto" w:fill="E8EDF4"/>
          </w:tcPr>
          <w:p>
            <w:pPr>
              <w:jc w:val="right"/>
              <w:ind w:right="276"/>
              <w:spacing w:after="0"/>
              <w:rPr>
                <w:sz w:val="20"/>
                <w:szCs w:val="20"/>
                <w:color w:val="auto"/>
              </w:rPr>
            </w:pPr>
            <w:r>
              <w:rPr>
                <w:rFonts w:ascii="Arial" w:cs="Arial" w:eastAsia="Arial" w:hAnsi="Arial"/>
                <w:sz w:val="18"/>
                <w:szCs w:val="18"/>
                <w:color w:val="auto"/>
              </w:rPr>
              <w:t>361,978,000</w:t>
            </w:r>
          </w:p>
        </w:tc>
        <w:tc>
          <w:tcPr>
            <w:tcW w:w="1980" w:type="dxa"/>
            <w:vAlign w:val="bottom"/>
            <w:tcBorders>
              <w:bottom w:val="single" w:sz="8" w:color="E8EDF4"/>
            </w:tcBorders>
            <w:shd w:val="clear" w:color="auto" w:fill="E8EDF4"/>
          </w:tcPr>
          <w:p>
            <w:pPr>
              <w:jc w:val="right"/>
              <w:ind w:right="74"/>
              <w:spacing w:after="0"/>
              <w:rPr>
                <w:sz w:val="20"/>
                <w:szCs w:val="20"/>
                <w:color w:val="auto"/>
              </w:rPr>
            </w:pPr>
            <w:r>
              <w:rPr>
                <w:rFonts w:ascii="Arial" w:cs="Arial" w:eastAsia="Arial" w:hAnsi="Arial"/>
                <w:sz w:val="18"/>
                <w:szCs w:val="18"/>
                <w:color w:val="auto"/>
              </w:rPr>
              <w:t>2.07%</w:t>
            </w:r>
          </w:p>
        </w:tc>
      </w:tr>
      <w:tr>
        <w:trPr>
          <w:trHeight w:val="135"/>
        </w:trPr>
        <w:tc>
          <w:tcPr>
            <w:tcW w:w="1200" w:type="dxa"/>
            <w:vAlign w:val="bottom"/>
            <w:tcBorders>
              <w:bottom w:val="single" w:sz="8" w:color="auto"/>
            </w:tcBorders>
          </w:tcPr>
          <w:p>
            <w:pPr>
              <w:spacing w:after="0"/>
              <w:rPr>
                <w:sz w:val="11"/>
                <w:szCs w:val="11"/>
                <w:color w:val="auto"/>
              </w:rPr>
            </w:pPr>
          </w:p>
        </w:tc>
        <w:tc>
          <w:tcPr>
            <w:tcW w:w="228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980" w:type="dxa"/>
            <w:vAlign w:val="bottom"/>
          </w:tcPr>
          <w:p>
            <w:pPr>
              <w:spacing w:after="0"/>
              <w:rPr>
                <w:sz w:val="11"/>
                <w:szCs w:val="11"/>
                <w:color w:val="auto"/>
              </w:rPr>
            </w:pPr>
          </w:p>
        </w:tc>
      </w:tr>
    </w:tbl>
    <w:p>
      <w:pPr>
        <w:spacing w:after="0" w:line="40" w:lineRule="exact"/>
        <w:rPr>
          <w:sz w:val="20"/>
          <w:szCs w:val="20"/>
          <w:color w:val="auto"/>
        </w:rPr>
      </w:pPr>
    </w:p>
    <w:p>
      <w:pPr>
        <w:ind w:left="640" w:right="260" w:hanging="436"/>
        <w:spacing w:after="0" w:line="246" w:lineRule="auto"/>
        <w:tabs>
          <w:tab w:leader="none" w:pos="6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Awards granted represents the number of stock options plus adjusted restricted stock units/awards granted during the time period. Adjusted restricted stock units/awards are calculated using a 1:2.5 ratio of restricted stock units/awards to options.</w:t>
      </w:r>
    </w:p>
    <w:p>
      <w:pPr>
        <w:spacing w:after="0" w:line="102" w:lineRule="exact"/>
        <w:rPr>
          <w:rFonts w:ascii="Arial" w:cs="Arial" w:eastAsia="Arial" w:hAnsi="Arial"/>
          <w:sz w:val="18"/>
          <w:szCs w:val="18"/>
          <w:color w:val="auto"/>
        </w:rPr>
      </w:pPr>
    </w:p>
    <w:p>
      <w:pPr>
        <w:jc w:val="both"/>
        <w:ind w:left="640" w:right="80" w:hanging="436"/>
        <w:spacing w:after="0"/>
        <w:tabs>
          <w:tab w:leader="none" w:pos="6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“Gross burn rate” is defined as the number of equity awards granted in the fiscal year divided by the basic weighted average number of common shares outstanding. For purposes of this calculation, we counted shares subject to our outstanding PRSUs based on the target number of shares of common stock issuable under such awards.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Description of the 2020 Plan</w:t>
      </w:r>
    </w:p>
    <w:p>
      <w:pPr>
        <w:spacing w:after="0" w:line="126" w:lineRule="exact"/>
        <w:rPr>
          <w:sz w:val="20"/>
          <w:szCs w:val="20"/>
          <w:color w:val="auto"/>
        </w:rPr>
      </w:pPr>
    </w:p>
    <w:p>
      <w:pPr>
        <w:ind w:left="200" w:right="100" w:firstLine="441"/>
        <w:spacing w:after="0"/>
        <w:rPr>
          <w:sz w:val="20"/>
          <w:szCs w:val="20"/>
          <w:color w:val="auto"/>
        </w:rPr>
      </w:pPr>
      <w:r>
        <w:rPr>
          <w:rFonts w:ascii="Arial" w:cs="Arial" w:eastAsia="Arial" w:hAnsi="Arial"/>
          <w:sz w:val="18"/>
          <w:szCs w:val="18"/>
          <w:color w:val="auto"/>
        </w:rPr>
        <w:t xml:space="preserve">The following is a brief summary of the 2020 Plan, a copy of which is attached as </w:t>
      </w:r>
      <w:r>
        <w:rPr>
          <w:rFonts w:ascii="Arial" w:cs="Arial" w:eastAsia="Arial" w:hAnsi="Arial"/>
          <w:sz w:val="18"/>
          <w:szCs w:val="18"/>
          <w:u w:val="single" w:color="auto"/>
          <w:color w:val="auto"/>
        </w:rPr>
        <w:t>Appendix B</w:t>
      </w:r>
      <w:r>
        <w:rPr>
          <w:rFonts w:ascii="Arial" w:cs="Arial" w:eastAsia="Arial" w:hAnsi="Arial"/>
          <w:sz w:val="18"/>
          <w:szCs w:val="18"/>
          <w:color w:val="auto"/>
        </w:rPr>
        <w:t xml:space="preserve"> to this proxy statement. References to our Board of Directors in this summary shall include the Compensation Committee or any similar committee appointed by our Board of Directors to administer the 2020 Plan.</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Types of Awards; Shares Available for Awards; Share Counting Rules</w:t>
      </w:r>
    </w:p>
    <w:p>
      <w:pPr>
        <w:spacing w:after="0" w:line="126" w:lineRule="exact"/>
        <w:rPr>
          <w:sz w:val="20"/>
          <w:szCs w:val="20"/>
          <w:color w:val="auto"/>
        </w:rPr>
      </w:pPr>
    </w:p>
    <w:p>
      <w:pPr>
        <w:ind w:left="200" w:right="40" w:firstLine="441"/>
        <w:spacing w:after="0"/>
        <w:rPr>
          <w:sz w:val="20"/>
          <w:szCs w:val="20"/>
          <w:color w:val="auto"/>
        </w:rPr>
      </w:pPr>
      <w:r>
        <w:rPr>
          <w:rFonts w:ascii="Arial" w:cs="Arial" w:eastAsia="Arial" w:hAnsi="Arial"/>
          <w:sz w:val="18"/>
          <w:szCs w:val="18"/>
          <w:color w:val="auto"/>
        </w:rPr>
        <w:t>The 2020 Plan provides for the grant of incentive stock options intended to qualify under Section 422 of the Code, nonstatutory stock options, SARs, restricted stock, restricted stock units and other stock-based awards as described below, which we collectively refer to as awards.</w:t>
      </w:r>
    </w:p>
    <w:p>
      <w:pPr>
        <w:spacing w:after="0" w:line="203" w:lineRule="exact"/>
        <w:rPr>
          <w:sz w:val="20"/>
          <w:szCs w:val="20"/>
          <w:color w:val="auto"/>
        </w:rPr>
      </w:pPr>
    </w:p>
    <w:p>
      <w:pPr>
        <w:ind w:left="200" w:right="180" w:firstLine="441"/>
        <w:spacing w:after="0" w:line="234" w:lineRule="auto"/>
        <w:rPr>
          <w:sz w:val="20"/>
          <w:szCs w:val="20"/>
          <w:color w:val="auto"/>
        </w:rPr>
      </w:pPr>
      <w:r>
        <w:rPr>
          <w:rFonts w:ascii="Arial" w:cs="Arial" w:eastAsia="Arial" w:hAnsi="Arial"/>
          <w:sz w:val="18"/>
          <w:szCs w:val="18"/>
          <w:color w:val="auto"/>
        </w:rPr>
        <w:t>Subject to adjustment in the event of stock splits, stock dividends or similar events, awards may be made under the 2020 Plan (any or all of which awards may be in the form of incentive stock options) for up to the sum of (i) 9,585,500 shares of common stock and</w:t>
      </w:r>
    </w:p>
    <w:p>
      <w:pPr>
        <w:spacing w:after="0" w:line="2" w:lineRule="exact"/>
        <w:rPr>
          <w:sz w:val="20"/>
          <w:szCs w:val="20"/>
          <w:color w:val="auto"/>
        </w:rPr>
      </w:pPr>
    </w:p>
    <w:p>
      <w:pPr>
        <w:ind w:left="200" w:right="200" w:firstLine="4"/>
        <w:spacing w:after="0" w:line="237" w:lineRule="auto"/>
        <w:tabs>
          <w:tab w:leader="none" w:pos="45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such additional number of shares of common stock (up to 20,857,992 shares) as is equal to the sum of (x) the number of shares of common stock reserved for issuance under the Prior Plans that remain available for grant under the Prior Plans immediately prior to the date that the 2020 Plan is approved by the our shareholders and (y) the number of shares of common stock subject to awards granted under the Existing Plans, which awards expire, terminate or are otherwise surrendered, cancelled, forfeited or repurchased by us at their original issuance price pursuant to a contractual repurchase right (subject, however, in the case of incentive stock options to any limitations under the Code). The 2020 Plan provides that each share of common stock subject to an award under the Existing Plans that becomes available for grant under the 2020 Plan will increase the 2020 Plan’s share reserve by one share.</w:t>
      </w:r>
    </w:p>
    <w:p>
      <w:pPr>
        <w:spacing w:after="0" w:line="203" w:lineRule="exact"/>
        <w:rPr>
          <w:sz w:val="20"/>
          <w:szCs w:val="20"/>
          <w:color w:val="auto"/>
        </w:rPr>
      </w:pPr>
    </w:p>
    <w:p>
      <w:pPr>
        <w:ind w:left="200" w:right="80" w:firstLine="441"/>
        <w:spacing w:after="0" w:line="239" w:lineRule="auto"/>
        <w:rPr>
          <w:sz w:val="20"/>
          <w:szCs w:val="20"/>
          <w:color w:val="auto"/>
        </w:rPr>
      </w:pPr>
      <w:r>
        <w:rPr>
          <w:rFonts w:ascii="Arial" w:cs="Arial" w:eastAsia="Arial" w:hAnsi="Arial"/>
          <w:sz w:val="18"/>
          <w:szCs w:val="18"/>
          <w:color w:val="auto"/>
        </w:rPr>
        <w:t>The maximum number of shares with respect to which awards may be granted to any participant under the 2020 Plan may not exceed 2,000,000 shares per fiscal year for awards issued in the form of options or SARs and 1,000,000 shares per fiscal year for awards granted in the form of restricted stock awards, restricted stock unit awards or other stock-based awards. For purposes of this limit, the combination of an option in tandem with a SAR is treated as a single award.</w:t>
      </w:r>
    </w:p>
    <w:p>
      <w:pPr>
        <w:spacing w:after="0" w:line="202" w:lineRule="exact"/>
        <w:rPr>
          <w:sz w:val="20"/>
          <w:szCs w:val="20"/>
          <w:color w:val="auto"/>
        </w:rPr>
      </w:pPr>
    </w:p>
    <w:p>
      <w:pPr>
        <w:ind w:left="200" w:right="220" w:firstLine="441"/>
        <w:spacing w:after="0" w:line="237" w:lineRule="auto"/>
        <w:rPr>
          <w:sz w:val="20"/>
          <w:szCs w:val="20"/>
          <w:color w:val="auto"/>
        </w:rPr>
      </w:pPr>
      <w:r>
        <w:rPr>
          <w:rFonts w:ascii="Arial" w:cs="Arial" w:eastAsia="Arial" w:hAnsi="Arial"/>
          <w:sz w:val="18"/>
          <w:szCs w:val="18"/>
          <w:color w:val="auto"/>
        </w:rPr>
        <w:t>The 2020 Plan provides that the maximum amount of cash and equity compensation (calculated based on grant date fair value for financial reporting purposes) granted to any individual non-employee director in any fiscal year may not exceed $750,000; provided, however, fees paid by us on behalf of any non-employee director in connection with regulatory compliance and any amounts paid to a non-employee director as reimbursement of an expense shall not count against the foregoing limitation. Exceptions to these limitations may only be made by the Compensation Committee in extraordinary circumstances, or in the case of regulatory filing fees, provided that any non-employee director receiving additional compensation does not participate in the decision to award such compensation.</w:t>
      </w:r>
    </w:p>
    <w:p>
      <w:pPr>
        <w:spacing w:after="0" w:line="136" w:lineRule="exact"/>
        <w:rPr>
          <w:sz w:val="20"/>
          <w:szCs w:val="20"/>
          <w:color w:val="auto"/>
        </w:rPr>
      </w:pPr>
    </w:p>
    <w:p>
      <w:pPr>
        <w:ind w:left="600" w:hanging="396"/>
        <w:spacing w:after="0"/>
        <w:tabs>
          <w:tab w:leader="none" w:pos="600" w:val="left"/>
        </w:tabs>
        <w:numPr>
          <w:ilvl w:val="0"/>
          <w:numId w:val="117"/>
        </w:numPr>
        <w:rPr>
          <w:rFonts w:ascii="Arial" w:cs="Arial" w:eastAsia="Arial" w:hAnsi="Arial"/>
          <w:sz w:val="18"/>
          <w:szCs w:val="18"/>
          <w:color w:val="999999"/>
        </w:rPr>
      </w:pPr>
      <w:r>
        <w:rPr>
          <w:rFonts w:ascii="Arial" w:cs="Arial" w:eastAsia="Arial" w:hAnsi="Arial"/>
          <w:sz w:val="14"/>
          <w:szCs w:val="14"/>
          <w:b w:val="1"/>
          <w:bCs w:val="1"/>
          <w:color w:val="052B82"/>
        </w:rPr>
        <w:t>Analog Devices, Inc.</w:t>
      </w:r>
    </w:p>
    <w:p>
      <w:pPr>
        <w:sectPr>
          <w:pgSz w:w="11900" w:h="16838" w:orient="portrait"/>
          <w:cols w:equalWidth="0" w:num="1">
            <w:col w:w="11240"/>
          </w:cols>
          <w:pgMar w:left="240" w:top="459" w:right="41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205740</wp:posOffset>
            </wp:positionV>
            <wp:extent cx="2649855" cy="1371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0" w:right="100" w:firstLine="441"/>
        <w:spacing w:after="0" w:line="236" w:lineRule="auto"/>
        <w:rPr>
          <w:sz w:val="20"/>
          <w:szCs w:val="20"/>
          <w:color w:val="auto"/>
        </w:rPr>
      </w:pPr>
      <w:r>
        <w:rPr>
          <w:rFonts w:ascii="Arial" w:cs="Arial" w:eastAsia="Arial" w:hAnsi="Arial"/>
          <w:sz w:val="18"/>
          <w:szCs w:val="18"/>
          <w:color w:val="auto"/>
        </w:rPr>
        <w:t>For purposes of counting the number of shares available for the grant of awards under the 2020 Plan and the sublimits of the 2020 Plan, all shares of common stock covered by SARs will be counted against the number of shares available for the grant of awards and against the sublimits of the 2020 Plan. However, SARs that may be settled only in cash will not be so counted. Similarly, to the extent that a restricted stock unit award may be settled only in cash, no shares will be counted against the shares available for the grant of awards under the 2020 Plan. In addition, if we grant an SAR in tandem with an option for the same number of shares of our common stock and provide that only one such award may be exercised, which we refer to as a tandem SAR, only the shares covered by the option, and not the shares covered by the tandem SAR, will be so counted, and the expiration of one in connection with the other’s exercise will not restore shares to the 2020 Plan.</w:t>
      </w:r>
    </w:p>
    <w:p>
      <w:pPr>
        <w:spacing w:after="0" w:line="208" w:lineRule="exact"/>
        <w:rPr>
          <w:sz w:val="20"/>
          <w:szCs w:val="20"/>
          <w:color w:val="auto"/>
        </w:rPr>
      </w:pPr>
    </w:p>
    <w:p>
      <w:pPr>
        <w:ind w:left="200" w:right="100" w:firstLine="441"/>
        <w:spacing w:after="0" w:line="236" w:lineRule="auto"/>
        <w:rPr>
          <w:sz w:val="20"/>
          <w:szCs w:val="20"/>
          <w:color w:val="auto"/>
        </w:rPr>
      </w:pPr>
      <w:r>
        <w:rPr>
          <w:rFonts w:ascii="Arial" w:cs="Arial" w:eastAsia="Arial" w:hAnsi="Arial"/>
          <w:sz w:val="18"/>
          <w:szCs w:val="18"/>
          <w:color w:val="auto"/>
        </w:rPr>
        <w:t>Shares covered by awards under the 2020 Plan that expire or are terminated, surrendered or cancelled without having been fully exercised or are forfeited in whole or in part (including as the result of shares subject to such award being repurchased by us at the original issuance price pursuant to a contractual repurchase right) or that result in any shares not being issued (including as a result of an SAR that was settleable either in cash or in stock actually being settled in cash) will again be available for the grant of awards under the 2020 Plan (subject, in the case of incentive stock options, to any limitations under the Code). In the case of the exercise of an SAR, the number of shares counted against the shares available for the grant of awards and against the sublimits of the 2020 Plan will be the full number of shares subject to the SAR multiplied by the percentage of the SAR actually exercised, regardless of the number of shares actually used to settle the SAR upon exercise, and the shares covered by a tandem SAR will not again become available for grant upon the expiration or termination of the tandem SAR.</w:t>
      </w:r>
    </w:p>
    <w:p>
      <w:pPr>
        <w:spacing w:after="0" w:line="207" w:lineRule="exact"/>
        <w:rPr>
          <w:sz w:val="20"/>
          <w:szCs w:val="20"/>
          <w:color w:val="auto"/>
        </w:rPr>
      </w:pPr>
    </w:p>
    <w:p>
      <w:pPr>
        <w:ind w:left="200" w:right="20" w:firstLine="441"/>
        <w:spacing w:after="0" w:line="238" w:lineRule="auto"/>
        <w:rPr>
          <w:sz w:val="20"/>
          <w:szCs w:val="20"/>
          <w:color w:val="auto"/>
        </w:rPr>
      </w:pPr>
      <w:r>
        <w:rPr>
          <w:rFonts w:ascii="Arial" w:cs="Arial" w:eastAsia="Arial" w:hAnsi="Arial"/>
          <w:sz w:val="18"/>
          <w:szCs w:val="18"/>
          <w:color w:val="auto"/>
        </w:rPr>
        <w:t>Shares of common stock that are delivered (by actual delivery, attestation, or net exercise) to us by a participant to purchase shares of common stock upon exercise of an award or to satisfy tax withholding obligations (including shares retained from the award creating the tax obligation) will not be added back to the number of shares available for the future grant of awards under the 2020 Plan. Shares purchased by us on the open market using proceeds from the exercise of an award will not increase the number of shares available for future grant of awards.</w:t>
      </w:r>
    </w:p>
    <w:p>
      <w:pPr>
        <w:spacing w:after="0" w:line="203" w:lineRule="exact"/>
        <w:rPr>
          <w:sz w:val="20"/>
          <w:szCs w:val="20"/>
          <w:color w:val="auto"/>
        </w:rPr>
      </w:pPr>
    </w:p>
    <w:p>
      <w:pPr>
        <w:ind w:left="200" w:right="20" w:firstLine="441"/>
        <w:spacing w:after="0" w:line="238" w:lineRule="auto"/>
        <w:rPr>
          <w:sz w:val="20"/>
          <w:szCs w:val="20"/>
          <w:color w:val="auto"/>
        </w:rPr>
      </w:pPr>
      <w:r>
        <w:rPr>
          <w:rFonts w:ascii="Arial" w:cs="Arial" w:eastAsia="Arial" w:hAnsi="Arial"/>
          <w:sz w:val="18"/>
          <w:szCs w:val="18"/>
          <w:color w:val="auto"/>
        </w:rPr>
        <w:t>In connection with a merger or consolidation of an entity with us or our acquisition of property or stock of an entity, our Board of Directors may grant awards under the 2020 Plan in substitution for any options or other stock or stock-based awards granted by such entity or an affiliate thereof on such terms as our Board of Directors determines appropriate in the circumstances, notwithstanding any limitation on awards contained in the 2020 Plan. Any such substitute awards shall not count against the overall share limits or the sublimits of the 2020 Plan, except as required by reason of Section 422 and related provisions of the Code.</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Descriptions of Awards</w:t>
      </w:r>
    </w:p>
    <w:p>
      <w:pPr>
        <w:spacing w:after="0" w:line="108" w:lineRule="exact"/>
        <w:rPr>
          <w:sz w:val="20"/>
          <w:szCs w:val="20"/>
          <w:color w:val="auto"/>
        </w:rPr>
      </w:pPr>
    </w:p>
    <w:p>
      <w:pPr>
        <w:ind w:left="200" w:right="40" w:firstLine="441"/>
        <w:spacing w:after="0" w:line="237" w:lineRule="auto"/>
        <w:rPr>
          <w:sz w:val="20"/>
          <w:szCs w:val="20"/>
          <w:color w:val="auto"/>
        </w:rPr>
      </w:pPr>
      <w:r>
        <w:rPr>
          <w:rFonts w:ascii="Arial" w:cs="Arial" w:eastAsia="Arial" w:hAnsi="Arial"/>
          <w:sz w:val="18"/>
          <w:szCs w:val="18"/>
          <w:i w:val="1"/>
          <w:iCs w:val="1"/>
          <w:color w:val="auto"/>
        </w:rPr>
        <w:t xml:space="preserve">Options. </w:t>
      </w:r>
      <w:r>
        <w:rPr>
          <w:rFonts w:ascii="Arial" w:cs="Arial" w:eastAsia="Arial" w:hAnsi="Arial"/>
          <w:sz w:val="18"/>
          <w:szCs w:val="18"/>
          <w:color w:val="auto"/>
        </w:rPr>
        <w:t>Optionees receive the right to purchase a specified number of shares of common stock at a specified exercise price and</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the other terms and conditions that are specified in connection with the option grant. An option that is not intended to be an “incentive stock option” is a “nonstatutory stock option”. Options may not be granted at an exercise price that is less than 100% of the fair market value of our common stock on the date of grant. If our Board of Directors approves the grant of an option with an exercise price to be determined on a future date, the exercise price may not be less than 100% of the fair market value of our common stock on that future date. Under present law, incentive stock options may not be granted at an exercise price less than 110% of the fair market value in the case of stock options granted to optionees holding more than 10% of the total combined voting power of all classes of our stock or any of our subsidiaries. Under the terms of the 2020 Plan, options may not be granted for a term in excess of ten years (and, under present law, five years in the case of incentive stock options granted to optionees holding greater than 10% of the total combined voting power of all classes of our stock or any of our subsidiaries). The 2020 Plan permits participants to pay the exercise price of options using one or more of the following manners of payment: (i) payment by cash or by check, (ii) except as may otherwise be provided in the applicable option agreement or approved by our Board of Directors, in connection with a “cashless exercise” through a broker, (iii) to the extent provided in the applicable option agreement or approved by our Board of Directors, and subject to certain conditions, by delivery of shares of common stock to us owned by the</w:t>
      </w:r>
    </w:p>
    <w:p>
      <w:pPr>
        <w:spacing w:after="0" w:line="14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4"/>
          <w:szCs w:val="14"/>
          <w:b w:val="1"/>
          <w:bCs w:val="1"/>
          <w:color w:val="052B82"/>
        </w:rPr>
        <w:t>2020 Proxy Statement</w:t>
      </w:r>
      <w:r>
        <w:rPr>
          <w:sz w:val="20"/>
          <w:szCs w:val="20"/>
          <w:color w:val="auto"/>
        </w:rPr>
        <w:tab/>
      </w:r>
      <w:r>
        <w:rPr>
          <w:rFonts w:ascii="Arial" w:cs="Arial" w:eastAsia="Arial" w:hAnsi="Arial"/>
          <w:sz w:val="17"/>
          <w:szCs w:val="17"/>
          <w:color w:val="999999"/>
        </w:rPr>
        <w:t>73</w:t>
      </w:r>
    </w:p>
    <w:p>
      <w:pPr>
        <w:sectPr>
          <w:pgSz w:w="11900" w:h="16838" w:orient="portrait"/>
          <w:cols w:equalWidth="0" w:num="1">
            <w:col w:w="11220"/>
          </w:cols>
          <w:pgMar w:left="24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2641600" cy="13716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64160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participant valued at their fair market value, (iv) to the extent provided in an applicable nonstatutory stock option agreement or approved by our Board of Directors, by delivery of a notice of “net exercise” as a result of which we will retain a number of shares of common stock otherwise issuable pursuant to the stock option equal to the aggregate exercise price for the portion of the option being exercised divided by the fair market value of our common stock on the date of exercise, (v) to the extent permitted by applicable law and provided for in the applicable option agreement or approved by our Board of Directors, by any other lawful means, or (vi) by any combination of these forms of payment as approved by our Board of Directors. No option granted under the 2020 Plan may contain a provision entitling the participant to the automatic grant of additional options in connection with any exercise of the original option. No options granted under the 2020 Plan may provide for the payment or accrual of dividend equivalents.</w:t>
      </w:r>
    </w:p>
    <w:p>
      <w:pPr>
        <w:spacing w:after="0" w:line="190"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7"/>
          <w:szCs w:val="17"/>
          <w:i w:val="1"/>
          <w:iCs w:val="1"/>
          <w:color w:val="auto"/>
        </w:rPr>
        <w:t xml:space="preserve">Stock Appreciation Rights. </w:t>
      </w:r>
      <w:r>
        <w:rPr>
          <w:rFonts w:ascii="Arial" w:cs="Arial" w:eastAsia="Arial" w:hAnsi="Arial"/>
          <w:sz w:val="17"/>
          <w:szCs w:val="17"/>
          <w:color w:val="auto"/>
        </w:rPr>
        <w:t>An SAR is an award entitling the holder, upon exercise, to receive a number of shares of our common</w:t>
      </w:r>
      <w:r>
        <w:rPr>
          <w:rFonts w:ascii="Arial" w:cs="Arial" w:eastAsia="Arial" w:hAnsi="Arial"/>
          <w:sz w:val="17"/>
          <w:szCs w:val="17"/>
          <w:i w:val="1"/>
          <w:iCs w:val="1"/>
          <w:color w:val="auto"/>
        </w:rPr>
        <w:t xml:space="preserve"> </w:t>
      </w:r>
      <w:r>
        <w:rPr>
          <w:rFonts w:ascii="Arial" w:cs="Arial" w:eastAsia="Arial" w:hAnsi="Arial"/>
          <w:sz w:val="17"/>
          <w:szCs w:val="17"/>
          <w:color w:val="auto"/>
        </w:rPr>
        <w:t>stock, or cash (or a combination of shares of our common stock and cash) determined by reference to appreciation, from and after the date of grant, in the fair market value of a share of our common stock over the measurement price. The 2020 Plan provides that the measurement price of an SAR may not be less than the fair market value of our common stock on the date the SAR is granted (provided, however, that if our Board of Directors approves the grant of an SAR effective as of a future date, the measurement price shall not be less than 100% of the fair market value on such future date) and that SARs may not be granted with a term in excess of 10 years. No SARs granted under the 2020 Plan may contain a provision entitling the participant to the automatic grant of additional SARs in connection with any exercise of the original SAR. No SARs granted under the 2020 Plan may provide for the payment or accrual of dividend equivalents.</w:t>
      </w:r>
    </w:p>
    <w:p>
      <w:pPr>
        <w:spacing w:after="0" w:line="175" w:lineRule="exact"/>
        <w:rPr>
          <w:sz w:val="20"/>
          <w:szCs w:val="20"/>
          <w:color w:val="auto"/>
        </w:rPr>
      </w:pPr>
    </w:p>
    <w:p>
      <w:pPr>
        <w:ind w:left="200" w:right="20" w:firstLine="441"/>
        <w:spacing w:after="0" w:line="238" w:lineRule="auto"/>
        <w:rPr>
          <w:sz w:val="20"/>
          <w:szCs w:val="20"/>
          <w:color w:val="auto"/>
        </w:rPr>
      </w:pPr>
      <w:r>
        <w:rPr>
          <w:rFonts w:ascii="Arial" w:cs="Arial" w:eastAsia="Arial" w:hAnsi="Arial"/>
          <w:sz w:val="18"/>
          <w:szCs w:val="18"/>
          <w:i w:val="1"/>
          <w:iCs w:val="1"/>
          <w:color w:val="auto"/>
        </w:rPr>
        <w:t xml:space="preserve">Limitation on Repricing of Options or SARs. </w:t>
      </w:r>
      <w:r>
        <w:rPr>
          <w:rFonts w:ascii="Arial" w:cs="Arial" w:eastAsia="Arial" w:hAnsi="Arial"/>
          <w:sz w:val="18"/>
          <w:szCs w:val="18"/>
          <w:color w:val="auto"/>
        </w:rPr>
        <w:t>With respect to options and SARs, unless such action is approved by shareholders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permitted under the terms of the 2020 Plan in connection with certain changes in capitalization and reorganization events, we may not (1) amend any outstanding option or SAR granted under the 2020 Plan to provide an exercise price or measurement price per share that is lower than the then-current exercise price or measurement price per share of such outstanding option or SAR, (2) cancel any outstanding option or SAR (whether or not granted under the 2020 Plan) and grant in substitution therefor new awards under the 2020 Plan (other than certain substitute awards issued in connection with an acquisition by us, described above) covering the same or a different number of shares of our common stock and having an exercise price or measurement price per share lower than the then-current exercise price or measurement price per share of the canceled option or SAR, (3) cancel in exchange for a cash payment any outstanding option or SAR with an exercise price or measurement price per share above the then-current fair market value of our common stock, or (4) take any other action under the 2020 Plan that constitutes a “repricing” within the meaning of the rules of the Nasdaq Stock Market.</w:t>
      </w:r>
    </w:p>
    <w:p>
      <w:pPr>
        <w:spacing w:after="0" w:line="189" w:lineRule="exact"/>
        <w:rPr>
          <w:sz w:val="20"/>
          <w:szCs w:val="20"/>
          <w:color w:val="auto"/>
        </w:rPr>
      </w:pPr>
    </w:p>
    <w:p>
      <w:pPr>
        <w:ind w:left="200" w:right="60" w:firstLine="441"/>
        <w:spacing w:after="0"/>
        <w:rPr>
          <w:sz w:val="20"/>
          <w:szCs w:val="20"/>
          <w:color w:val="auto"/>
        </w:rPr>
      </w:pPr>
      <w:r>
        <w:rPr>
          <w:rFonts w:ascii="Arial" w:cs="Arial" w:eastAsia="Arial" w:hAnsi="Arial"/>
          <w:sz w:val="18"/>
          <w:szCs w:val="18"/>
          <w:i w:val="1"/>
          <w:iCs w:val="1"/>
          <w:color w:val="auto"/>
        </w:rPr>
        <w:t xml:space="preserve">Restricted Stock Awards. </w:t>
      </w:r>
      <w:r>
        <w:rPr>
          <w:rFonts w:ascii="Arial" w:cs="Arial" w:eastAsia="Arial" w:hAnsi="Arial"/>
          <w:sz w:val="18"/>
          <w:szCs w:val="18"/>
          <w:color w:val="auto"/>
        </w:rPr>
        <w:t>Restricted stock awards entitle recipients to acquire shares of our common stock, subject to our right to</w:t>
      </w:r>
      <w:r>
        <w:rPr>
          <w:rFonts w:ascii="Arial" w:cs="Arial" w:eastAsia="Arial" w:hAnsi="Arial"/>
          <w:sz w:val="18"/>
          <w:szCs w:val="18"/>
          <w:i w:val="1"/>
          <w:iCs w:val="1"/>
          <w:color w:val="auto"/>
        </w:rPr>
        <w:t xml:space="preserve"> </w:t>
      </w:r>
      <w:r>
        <w:rPr>
          <w:rFonts w:ascii="Arial" w:cs="Arial" w:eastAsia="Arial" w:hAnsi="Arial"/>
          <w:sz w:val="18"/>
          <w:szCs w:val="18"/>
          <w:color w:val="auto"/>
        </w:rPr>
        <w:t>repurchase all or part of such shares at their issue price or other stated or formula price (or to require forfeiture of such shares if issued at no cost) in the event that the conditions specified in the applicable award are not satisfied prior to the end of the applicable restriction period established for such award. Any dividends (whether paid in cash, stock or property) declared and paid by us with respect to shares of restricted stock will be paid to the participant if and when such shares become free from the restrictions on transferability and forfeitability that apply to such shares or at such other time as the Board of Directors shall determine and set forth in the applicable restricted stock award agreement.</w:t>
      </w:r>
    </w:p>
    <w:p>
      <w:pPr>
        <w:spacing w:after="0" w:line="185" w:lineRule="exact"/>
        <w:rPr>
          <w:sz w:val="20"/>
          <w:szCs w:val="20"/>
          <w:color w:val="auto"/>
        </w:rPr>
      </w:pPr>
    </w:p>
    <w:p>
      <w:pPr>
        <w:ind w:left="200" w:firstLine="441"/>
        <w:spacing w:after="0" w:line="239" w:lineRule="auto"/>
        <w:rPr>
          <w:sz w:val="20"/>
          <w:szCs w:val="20"/>
          <w:color w:val="auto"/>
        </w:rPr>
      </w:pPr>
      <w:r>
        <w:rPr>
          <w:rFonts w:ascii="Arial" w:cs="Arial" w:eastAsia="Arial" w:hAnsi="Arial"/>
          <w:sz w:val="18"/>
          <w:szCs w:val="18"/>
          <w:i w:val="1"/>
          <w:iCs w:val="1"/>
          <w:color w:val="auto"/>
        </w:rPr>
        <w:t xml:space="preserve">Restricted Stock Unit Awards. </w:t>
      </w:r>
      <w:r>
        <w:rPr>
          <w:rFonts w:ascii="Arial" w:cs="Arial" w:eastAsia="Arial" w:hAnsi="Arial"/>
          <w:sz w:val="18"/>
          <w:szCs w:val="18"/>
          <w:color w:val="auto"/>
        </w:rPr>
        <w:t>Restricted stock units, or RSUs, entitle the recipient to receive shares of our common stock, or cash</w:t>
      </w:r>
      <w:r>
        <w:rPr>
          <w:rFonts w:ascii="Arial" w:cs="Arial" w:eastAsia="Arial" w:hAnsi="Arial"/>
          <w:sz w:val="18"/>
          <w:szCs w:val="18"/>
          <w:i w:val="1"/>
          <w:iCs w:val="1"/>
          <w:color w:val="auto"/>
        </w:rPr>
        <w:t xml:space="preserve"> </w:t>
      </w:r>
      <w:r>
        <w:rPr>
          <w:rFonts w:ascii="Arial" w:cs="Arial" w:eastAsia="Arial" w:hAnsi="Arial"/>
          <w:sz w:val="18"/>
          <w:szCs w:val="18"/>
          <w:color w:val="auto"/>
        </w:rPr>
        <w:t>equal to the fair market value of such shares, to be delivered as soon as practicable after the time such award vests pursuant to the terms and conditions established by our Board of Directors. Our Board of Directors may provide that settlement of RSUs will be deferred, on a mandatory basis or at the election of the participant, in a manner that complies with Section 409A of the Code. A participant has no voting rights with respect to any RSU. Our Board of Directors may provide that a grant of RSUs may provide the participant with the right to receive an amount equal to any dividends or other distributions declared and paid on an equal number of outstanding shares of our common stock. Any such dividend equivalents may be settled in cash and/or shares of our common stock and may be subject to the same restrictions on transfer and forfeitability as the RSUs with respect to which such dividend equivalents are awarded, in each case, as set forth in the applicable award agreement.</w:t>
      </w:r>
    </w:p>
    <w:p>
      <w:pPr>
        <w:spacing w:after="0" w:line="133" w:lineRule="exact"/>
        <w:rPr>
          <w:sz w:val="20"/>
          <w:szCs w:val="20"/>
          <w:color w:val="auto"/>
        </w:rPr>
      </w:pPr>
    </w:p>
    <w:p>
      <w:pPr>
        <w:ind w:left="600" w:hanging="396"/>
        <w:spacing w:after="0"/>
        <w:tabs>
          <w:tab w:leader="none" w:pos="600" w:val="left"/>
        </w:tabs>
        <w:numPr>
          <w:ilvl w:val="0"/>
          <w:numId w:val="118"/>
        </w:numPr>
        <w:rPr>
          <w:rFonts w:ascii="Arial" w:cs="Arial" w:eastAsia="Arial" w:hAnsi="Arial"/>
          <w:sz w:val="18"/>
          <w:szCs w:val="18"/>
          <w:color w:val="999999"/>
        </w:rPr>
      </w:pPr>
      <w:r>
        <w:rPr>
          <w:rFonts w:ascii="Arial" w:cs="Arial" w:eastAsia="Arial" w:hAnsi="Arial"/>
          <w:sz w:val="14"/>
          <w:szCs w:val="14"/>
          <w:b w:val="1"/>
          <w:bCs w:val="1"/>
          <w:color w:val="052B82"/>
        </w:rPr>
        <w:t>Analog Devices, Inc.</w:t>
      </w:r>
    </w:p>
    <w:p>
      <w:pPr>
        <w:sectPr>
          <w:pgSz w:w="11900" w:h="16838" w:orient="portrait"/>
          <w:cols w:equalWidth="0" w:num="1">
            <w:col w:w="11200"/>
          </w:cols>
          <w:pgMar w:left="24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205740</wp:posOffset>
            </wp:positionV>
            <wp:extent cx="2649855" cy="13716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0" w:firstLine="441"/>
        <w:spacing w:after="0" w:line="239" w:lineRule="auto"/>
        <w:rPr>
          <w:sz w:val="20"/>
          <w:szCs w:val="20"/>
          <w:color w:val="auto"/>
        </w:rPr>
      </w:pPr>
      <w:r>
        <w:rPr>
          <w:rFonts w:ascii="Arial" w:cs="Arial" w:eastAsia="Arial" w:hAnsi="Arial"/>
          <w:sz w:val="18"/>
          <w:szCs w:val="18"/>
          <w:i w:val="1"/>
          <w:iCs w:val="1"/>
          <w:color w:val="auto"/>
        </w:rPr>
        <w:t xml:space="preserve">Other Stock-Based Awards. </w:t>
      </w:r>
      <w:r>
        <w:rPr>
          <w:rFonts w:ascii="Arial" w:cs="Arial" w:eastAsia="Arial" w:hAnsi="Arial"/>
          <w:sz w:val="18"/>
          <w:szCs w:val="18"/>
          <w:color w:val="auto"/>
        </w:rPr>
        <w:t>Under the 2020 Plan, our Board of Directors may grant other awards of shares of our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awards that are valued in whole or in part by reference to, or are otherwise based on, shares of our common stock or other property, having such terms and conditions as our Board of Directors may determine. We refer to these types of awards as other stock-based awards. Other stock-based awards may be available as a form of payment in settlement of other awards granted under the 2020 Plan or as payment in lieu of compensation to which a participant is otherwise entitled. Other stock-based awards may be paid in shares of our common stock or in cash, as our Board of Directors may determine. The award agreement of an other stock-based award may provide the holder of an other stock-based award with the right to receive dividend equivalents. Dividend equivalents may be settled in cash and/or shares of our common stock and may be subject to the same restrictions on transfer and forfeitability as the other stock-based award with respect to which they are awarded, in each case as set forth in the applicable award agreement.</w:t>
      </w:r>
    </w:p>
    <w:p>
      <w:pPr>
        <w:spacing w:after="0" w:line="184" w:lineRule="exact"/>
        <w:rPr>
          <w:sz w:val="20"/>
          <w:szCs w:val="20"/>
          <w:color w:val="auto"/>
        </w:rPr>
      </w:pPr>
    </w:p>
    <w:p>
      <w:pPr>
        <w:ind w:left="200" w:right="60" w:firstLine="441"/>
        <w:spacing w:after="0" w:line="236" w:lineRule="auto"/>
        <w:rPr>
          <w:sz w:val="20"/>
          <w:szCs w:val="20"/>
          <w:color w:val="auto"/>
        </w:rPr>
      </w:pPr>
      <w:r>
        <w:rPr>
          <w:rFonts w:ascii="Arial" w:cs="Arial" w:eastAsia="Arial" w:hAnsi="Arial"/>
          <w:sz w:val="18"/>
          <w:szCs w:val="18"/>
          <w:i w:val="1"/>
          <w:iCs w:val="1"/>
          <w:color w:val="auto"/>
        </w:rPr>
        <w:t xml:space="preserve">Performance Conditions. </w:t>
      </w:r>
      <w:r>
        <w:rPr>
          <w:rFonts w:ascii="Arial" w:cs="Arial" w:eastAsia="Arial" w:hAnsi="Arial"/>
          <w:sz w:val="18"/>
          <w:szCs w:val="18"/>
          <w:color w:val="auto"/>
        </w:rPr>
        <w:t>Our Board of Directors may specify that the degree of granting, vesting and/or payout of any award subject</w:t>
      </w:r>
      <w:r>
        <w:rPr>
          <w:rFonts w:ascii="Arial" w:cs="Arial" w:eastAsia="Arial" w:hAnsi="Arial"/>
          <w:sz w:val="18"/>
          <w:szCs w:val="18"/>
          <w:i w:val="1"/>
          <w:iCs w:val="1"/>
          <w:color w:val="auto"/>
        </w:rPr>
        <w:t xml:space="preserve"> </w:t>
      </w:r>
      <w:r>
        <w:rPr>
          <w:rFonts w:ascii="Arial" w:cs="Arial" w:eastAsia="Arial" w:hAnsi="Arial"/>
          <w:sz w:val="18"/>
          <w:szCs w:val="18"/>
          <w:color w:val="auto"/>
        </w:rPr>
        <w:t>to performance-based vesting conditions will be subject to the achievement of one or more of the following performance measures established by the Board of Directors, which may be based on the relative or absolute attainment of specified levels of one or any combination of the following measures (and which may be determined pursuant to generally accepted accounting principles (“GAAP”) or on a non-GAAP basis, as determined by the Board of Directors): (i) net income, (ii) earnings before or after discontinued operations, interest, taxes, depreciation and/or amortization, (iii) operating profit before or after discontinued operations and/or taxes, (iv) sales, (v) sales growth, (vi) earnings growth (vii) cash flow, free cash flow or cash position, (viii) gross margins or margin percentages, (ix) stock price, (x) market share, (xi) return on sales, assets, equity or investment, (xii) improvement of financial ratings, (xiii) achievement of balance sheet or income statement objectives, (xiv) total shareholder return, (xv) product release schedules, (xvi) product shipment targets, (xvii) customer satisfaction, (xviii) product design-in and/or design-win revenue opportunities, (xix) new product innovation or</w:t>
      </w:r>
    </w:p>
    <w:p>
      <w:pPr>
        <w:spacing w:after="0" w:line="8" w:lineRule="exact"/>
        <w:rPr>
          <w:sz w:val="20"/>
          <w:szCs w:val="20"/>
          <w:color w:val="auto"/>
        </w:rPr>
      </w:pPr>
    </w:p>
    <w:p>
      <w:pPr>
        <w:ind w:left="200" w:right="80" w:firstLine="4"/>
        <w:spacing w:after="0" w:line="234" w:lineRule="auto"/>
        <w:tabs>
          <w:tab w:leader="none" w:pos="55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any other measure selected by the Board of Directors. These goals may reflect absolute entity or business unit performance or a relative comparison to the performance of a peer group of entities or other external measure of the selected performance criteria and may be absolute in their terms or measured against or in relationship to other companies comparably, similarly or otherwise situated. The Board of Directors may specify that such performance measures will be adjusted to exclude any one or more of (A) extraordinary items,</w:t>
      </w:r>
    </w:p>
    <w:p>
      <w:pPr>
        <w:spacing w:after="0" w:line="3" w:lineRule="exact"/>
        <w:rPr>
          <w:rFonts w:ascii="Arial" w:cs="Arial" w:eastAsia="Arial" w:hAnsi="Arial"/>
          <w:sz w:val="18"/>
          <w:szCs w:val="18"/>
          <w:color w:val="auto"/>
        </w:rPr>
      </w:pPr>
    </w:p>
    <w:p>
      <w:pPr>
        <w:ind w:left="200" w:right="200"/>
        <w:spacing w:after="0" w:line="248" w:lineRule="auto"/>
        <w:rPr>
          <w:rFonts w:ascii="Arial" w:cs="Arial" w:eastAsia="Arial" w:hAnsi="Arial"/>
          <w:sz w:val="18"/>
          <w:szCs w:val="18"/>
          <w:color w:val="auto"/>
        </w:rPr>
      </w:pPr>
      <w:r>
        <w:rPr>
          <w:rFonts w:ascii="Arial" w:cs="Arial" w:eastAsia="Arial" w:hAnsi="Arial"/>
          <w:sz w:val="17"/>
          <w:szCs w:val="17"/>
          <w:color w:val="auto"/>
        </w:rPr>
        <w:t>(B) gains or losses on the dispositions of discontinued operations, (C) the cumulative effects of changes in accounting principles, (D) the writedown of any asset, (E) fluctuation in foreign currency exchange rates, (F) charges for restructuring and rationalization programs,</w:t>
      </w:r>
    </w:p>
    <w:p>
      <w:pPr>
        <w:spacing w:after="0" w:line="1" w:lineRule="exact"/>
        <w:rPr>
          <w:rFonts w:ascii="Arial" w:cs="Arial" w:eastAsia="Arial" w:hAnsi="Arial"/>
          <w:sz w:val="18"/>
          <w:szCs w:val="18"/>
          <w:color w:val="auto"/>
        </w:rPr>
      </w:pPr>
    </w:p>
    <w:p>
      <w:pPr>
        <w:ind w:left="200" w:right="40"/>
        <w:spacing w:after="0" w:line="236" w:lineRule="auto"/>
        <w:rPr>
          <w:rFonts w:ascii="Arial" w:cs="Arial" w:eastAsia="Arial" w:hAnsi="Arial"/>
          <w:sz w:val="18"/>
          <w:szCs w:val="18"/>
          <w:color w:val="auto"/>
        </w:rPr>
      </w:pPr>
      <w:r>
        <w:rPr>
          <w:rFonts w:ascii="Arial" w:cs="Arial" w:eastAsia="Arial" w:hAnsi="Arial"/>
          <w:sz w:val="18"/>
          <w:szCs w:val="18"/>
          <w:color w:val="auto"/>
        </w:rPr>
        <w:t>(G) non-cash, mark-to-market adjustments on derivative instruments, (H) amortization of purchased intangibles, (I) the net impact of tax rate changes, (J) non-cash asset impairment charges, (K) gains on extinguishment of the tax receivable agreement and (L) any other factors as the Board of Directors may determine. Such performance measures: (x) may vary by participant and may be different for different awards; (y) may be particular to a participant or the department, branch, line of business, subsidiary or other unit in which the participant works; and (z) may cover such period as may be specified by the Board of Directors. The Board of Directors will have the authority to make equitable adjustments to the performance goals in recognition of unusual or non-recurring events affecting the Company or the financial statements of the Company, in response to changes in applicable laws or regulations or to account for items of gain, loss or expense determined to be extraordinary or unusual in nature or infrequent in occurrence or related to the disposal of a segment of a business or related to a change in accounting principles. Our Board of Directors may adjust the cash or number of shares payable pursuant to a performance award, and the Board of Directors may, at any time, waive the achievement of the applicable performance measures, including in the case of the death or disability of the participant or a change in control of the Company.</w:t>
      </w:r>
    </w:p>
    <w:p>
      <w:pPr>
        <w:spacing w:after="0" w:line="29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Eligibility to Receive Awards</w:t>
      </w:r>
    </w:p>
    <w:p>
      <w:pPr>
        <w:spacing w:after="0" w:line="126" w:lineRule="exact"/>
        <w:rPr>
          <w:sz w:val="20"/>
          <w:szCs w:val="20"/>
          <w:color w:val="auto"/>
        </w:rPr>
      </w:pPr>
    </w:p>
    <w:p>
      <w:pPr>
        <w:ind w:left="200" w:right="240" w:firstLine="441"/>
        <w:spacing w:after="0"/>
        <w:rPr>
          <w:sz w:val="20"/>
          <w:szCs w:val="20"/>
          <w:color w:val="auto"/>
        </w:rPr>
      </w:pPr>
      <w:r>
        <w:rPr>
          <w:rFonts w:ascii="Arial" w:cs="Arial" w:eastAsia="Arial" w:hAnsi="Arial"/>
          <w:sz w:val="18"/>
          <w:szCs w:val="18"/>
          <w:color w:val="auto"/>
        </w:rPr>
        <w:t>All of our employees, officers and directors, as well as our consultants and advisors, are eligible to receive awards under the 2020 Plan. However, incentive stock options may only be granted to our employees, employees of our present or future parent or subsidiary corporations and employees of any other entities the employees of which are eligible to receive incentive stock options under the Code.</w:t>
      </w:r>
    </w:p>
    <w:p>
      <w:pPr>
        <w:spacing w:after="0" w:line="13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4"/>
          <w:szCs w:val="14"/>
          <w:b w:val="1"/>
          <w:bCs w:val="1"/>
          <w:color w:val="052B82"/>
        </w:rPr>
        <w:t>2020 Proxy Statement</w:t>
      </w:r>
      <w:r>
        <w:rPr>
          <w:sz w:val="20"/>
          <w:szCs w:val="20"/>
          <w:color w:val="auto"/>
        </w:rPr>
        <w:tab/>
      </w:r>
      <w:r>
        <w:rPr>
          <w:rFonts w:ascii="Arial" w:cs="Arial" w:eastAsia="Arial" w:hAnsi="Arial"/>
          <w:sz w:val="17"/>
          <w:szCs w:val="17"/>
          <w:color w:val="999999"/>
        </w:rPr>
        <w:t>75</w:t>
      </w:r>
    </w:p>
    <w:p>
      <w:pPr>
        <w:sectPr>
          <w:pgSz w:w="11900" w:h="16838" w:orient="portrait"/>
          <w:cols w:equalWidth="0" w:num="1">
            <w:col w:w="11220"/>
          </w:cols>
          <w:pgMar w:left="24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2641600" cy="13716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64160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Transferability of Awards</w:t>
      </w:r>
    </w:p>
    <w:p>
      <w:pPr>
        <w:spacing w:after="0" w:line="126" w:lineRule="exact"/>
        <w:rPr>
          <w:sz w:val="20"/>
          <w:szCs w:val="20"/>
          <w:color w:val="auto"/>
        </w:rPr>
      </w:pPr>
    </w:p>
    <w:p>
      <w:pPr>
        <w:ind w:left="200" w:right="80" w:firstLine="441"/>
        <w:spacing w:after="0" w:line="236" w:lineRule="auto"/>
        <w:rPr>
          <w:sz w:val="20"/>
          <w:szCs w:val="20"/>
          <w:color w:val="auto"/>
        </w:rPr>
      </w:pPr>
      <w:r>
        <w:rPr>
          <w:rFonts w:ascii="Arial" w:cs="Arial" w:eastAsia="Arial" w:hAnsi="Arial"/>
          <w:sz w:val="18"/>
          <w:szCs w:val="18"/>
          <w:color w:val="auto"/>
        </w:rPr>
        <w:t>Awards may not be sold, assigned, transferred, pledged or otherwise encumbered by a participant, either voluntarily or by operation of law, except by will or the laws of descent and distribution or, other than in the case of an incentive stock option, pursuant to a qualified domestic relations order. During the life of the participant, awards are exercisable only by the participant. However, except with respect to awards that are subject to Section 409A of the Code, our Board of Directors may permit or provide in an award for the gratuitous transfer of the award by the participant to or for the benefit of any immediate family member, family trust or other entity established for the benefit of the participant and/or an immediate family member thereof if we would be eligible to use a Form S-8 under the Securities Act of 1933, as amended, for the registration of the sale of the common stock subject to such award to the proposed transferee. Further, we are not required to recognize any transfer until such time as the participant and the permitted transferee have, as a condition to the transfer, delivered to us a written instrument in form and substance satisfactory to us confirming that such transferee will be bound by all of the terms and conditions of the award. None of the restrictions described in this paragraph prohibit a transfer from the participant to the Company.</w:t>
      </w:r>
    </w:p>
    <w:p>
      <w:pPr>
        <w:spacing w:after="0" w:line="29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No Rights as a Shareholder; Clawback</w:t>
      </w:r>
    </w:p>
    <w:p>
      <w:pPr>
        <w:spacing w:after="0" w:line="126" w:lineRule="exact"/>
        <w:rPr>
          <w:sz w:val="20"/>
          <w:szCs w:val="20"/>
          <w:color w:val="auto"/>
        </w:rPr>
      </w:pPr>
    </w:p>
    <w:p>
      <w:pPr>
        <w:ind w:left="200" w:right="140" w:firstLine="441"/>
        <w:spacing w:after="0" w:line="239" w:lineRule="auto"/>
        <w:rPr>
          <w:sz w:val="20"/>
          <w:szCs w:val="20"/>
          <w:color w:val="auto"/>
        </w:rPr>
      </w:pPr>
      <w:r>
        <w:rPr>
          <w:rFonts w:ascii="Arial" w:cs="Arial" w:eastAsia="Arial" w:hAnsi="Arial"/>
          <w:sz w:val="18"/>
          <w:szCs w:val="18"/>
          <w:color w:val="auto"/>
        </w:rPr>
        <w:t>No participant shall have any rights as a shareholder with respect to any shares of common stock to be issued with respect to an award granted under the 2020 Plan until becoming a record holder of such shares, subject to the terms of an award agreement. In accepting an award under the 2020 Plan, a participant agrees to be bound by any clawback policy that we have in effect or may adopt in the future.</w:t>
      </w:r>
    </w:p>
    <w:p>
      <w:pPr>
        <w:spacing w:after="0" w:line="28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Plan Benefits</w:t>
      </w:r>
    </w:p>
    <w:p>
      <w:pPr>
        <w:spacing w:after="0" w:line="126" w:lineRule="exact"/>
        <w:rPr>
          <w:sz w:val="20"/>
          <w:szCs w:val="20"/>
          <w:color w:val="auto"/>
        </w:rPr>
      </w:pPr>
    </w:p>
    <w:p>
      <w:pPr>
        <w:ind w:left="200" w:right="220" w:firstLine="441"/>
        <w:spacing w:after="0" w:line="255" w:lineRule="auto"/>
        <w:rPr>
          <w:sz w:val="20"/>
          <w:szCs w:val="20"/>
          <w:color w:val="auto"/>
        </w:rPr>
      </w:pPr>
      <w:r>
        <w:rPr>
          <w:rFonts w:ascii="Arial" w:cs="Arial" w:eastAsia="Arial" w:hAnsi="Arial"/>
          <w:sz w:val="17"/>
          <w:szCs w:val="17"/>
          <w:color w:val="auto"/>
        </w:rPr>
        <w:t>As of November 2, 2019, approximately 18,134 persons were eligible to receive awards under the 2020 Plan, including the Company’s approximately 16,385 employees (excluding officers), thirteen officers (all of whom are also employees), eleven directors (excluding our President and Chief Executive Officer, who is an executive officer), and approximately 1,725 consultants. As of November 2, 2019, the Company had no advisors (excluding consultants). The granting of awards under the 2020 Plan is discretionary, and the Company cannot now determine the number or type of awards to be granted in the future to any particular person or group.</w:t>
      </w:r>
    </w:p>
    <w:p>
      <w:pPr>
        <w:spacing w:after="0" w:line="19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 January 6, 2020, the last reported sale price of our common stock on the Nasdaq Global Select Market was $116.92.</w:t>
      </w:r>
    </w:p>
    <w:p>
      <w:pPr>
        <w:spacing w:after="0" w:line="29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Administration</w:t>
      </w:r>
    </w:p>
    <w:p>
      <w:pPr>
        <w:spacing w:after="0" w:line="126" w:lineRule="exact"/>
        <w:rPr>
          <w:sz w:val="20"/>
          <w:szCs w:val="20"/>
          <w:color w:val="auto"/>
        </w:rPr>
      </w:pPr>
    </w:p>
    <w:p>
      <w:pPr>
        <w:ind w:left="200" w:firstLine="441"/>
        <w:spacing w:after="0" w:line="237" w:lineRule="auto"/>
        <w:rPr>
          <w:sz w:val="20"/>
          <w:szCs w:val="20"/>
          <w:color w:val="auto"/>
        </w:rPr>
      </w:pPr>
      <w:r>
        <w:rPr>
          <w:rFonts w:ascii="Arial" w:cs="Arial" w:eastAsia="Arial" w:hAnsi="Arial"/>
          <w:sz w:val="18"/>
          <w:szCs w:val="18"/>
          <w:color w:val="auto"/>
        </w:rPr>
        <w:t>The 2020 Plan will be administered by our Board of Directors. Our Board of Directors has the authority to grant awards and to adopt, amend and repeal the administrative rules, guidelines and practices relating to the 2020 Plan that it deems advisable and to construe and interpret the provisions of the 2020 Plan and any award agreements entered into under the 2020 Plan. Our Board of Directors may correct any defect, supply any omission or reconcile any inconsistency in the 2020 Plan or any award. All actions and decisions by our Board of Directors with respect to the 2020 Plan and any awards made under the 2020 Plan will be made in our Board of Directors’ discretion and will be final and binding on all persons having or claiming any interest in the 2020 Plan or in any award.</w:t>
      </w:r>
    </w:p>
    <w:p>
      <w:pPr>
        <w:spacing w:after="0" w:line="205"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Pursuant to the terms of the 2020 Plan, our Board of Directors may delegate any or all of its powers under the 2020 Plan to one or more committees or subcommittees of our Board of Directors. To the extent permitted by applicable law, the Board of Directors may delegate to one or more officers of the Company the power to grant awards to employees or officers of the Company and to exercise such other powers under the 2020 Plan as the Board of Directors may determine; provided, however, that no officer shall be authorized to grant awards to any “executive officer” of the Company (as defined by Rule 3b-7 under the Securities Exchange Act of 1934, as amended, which we refer to as the Exchange Act, or to any “officer” of the Company (as defined in Rule 16a-1 under the Exchange Act). Awards granted to non-employee directors must be administered by a committee of the Board of Directors, all of the members of which are independent directors as defined by Section 5605(a)(2) or any successor provision of the Nasdaq Marketplace Rules.</w:t>
      </w:r>
    </w:p>
    <w:p>
      <w:pPr>
        <w:spacing w:after="0" w:line="139" w:lineRule="exact"/>
        <w:rPr>
          <w:sz w:val="20"/>
          <w:szCs w:val="20"/>
          <w:color w:val="auto"/>
        </w:rPr>
      </w:pPr>
    </w:p>
    <w:p>
      <w:pPr>
        <w:ind w:left="600" w:hanging="396"/>
        <w:spacing w:after="0"/>
        <w:tabs>
          <w:tab w:leader="none" w:pos="600" w:val="left"/>
        </w:tabs>
        <w:numPr>
          <w:ilvl w:val="0"/>
          <w:numId w:val="120"/>
        </w:numPr>
        <w:rPr>
          <w:rFonts w:ascii="Arial" w:cs="Arial" w:eastAsia="Arial" w:hAnsi="Arial"/>
          <w:sz w:val="18"/>
          <w:szCs w:val="18"/>
          <w:color w:val="999999"/>
        </w:rPr>
      </w:pPr>
      <w:r>
        <w:rPr>
          <w:rFonts w:ascii="Arial" w:cs="Arial" w:eastAsia="Arial" w:hAnsi="Arial"/>
          <w:sz w:val="14"/>
          <w:szCs w:val="14"/>
          <w:b w:val="1"/>
          <w:bCs w:val="1"/>
          <w:color w:val="052B82"/>
        </w:rPr>
        <w:t>Analog Devices, Inc.</w:t>
      </w:r>
    </w:p>
    <w:p>
      <w:pPr>
        <w:sectPr>
          <w:pgSz w:w="11900" w:h="16838" w:orient="portrait"/>
          <w:cols w:equalWidth="0" w:num="1">
            <w:col w:w="11180"/>
          </w:cols>
          <w:pgMar w:left="240" w:top="459" w:right="4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205740</wp:posOffset>
            </wp:positionV>
            <wp:extent cx="2649855" cy="13716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0" w:right="140" w:firstLine="441"/>
        <w:spacing w:after="0" w:line="238" w:lineRule="auto"/>
        <w:rPr>
          <w:sz w:val="20"/>
          <w:szCs w:val="20"/>
          <w:color w:val="auto"/>
        </w:rPr>
      </w:pPr>
      <w:r>
        <w:rPr>
          <w:rFonts w:ascii="Arial" w:cs="Arial" w:eastAsia="Arial" w:hAnsi="Arial"/>
          <w:sz w:val="18"/>
          <w:szCs w:val="18"/>
          <w:color w:val="auto"/>
        </w:rPr>
        <w:t>Subject to any applicable limitations contained in the 2020 Plan, the Board of Directors, the Compensation Committee, or any other committee or officer to whom the Board of Directors delegates authority, as the case may be, selects the recipients of awards and determines (i) the number of shares of common stock or other consideration covered by awards and the terms and conditions of such awards, including the dates upon which such awards become exercisable or otherwise vest, (ii) the exercise or measurement price of awards, if any, and (iii) the duration of awards.</w:t>
      </w:r>
    </w:p>
    <w:p>
      <w:pPr>
        <w:spacing w:after="0" w:line="203" w:lineRule="exact"/>
        <w:rPr>
          <w:sz w:val="20"/>
          <w:szCs w:val="20"/>
          <w:color w:val="auto"/>
        </w:rPr>
      </w:pPr>
    </w:p>
    <w:p>
      <w:pPr>
        <w:ind w:left="200" w:right="20" w:firstLine="441"/>
        <w:spacing w:after="0" w:line="237" w:lineRule="auto"/>
        <w:rPr>
          <w:sz w:val="20"/>
          <w:szCs w:val="20"/>
          <w:color w:val="auto"/>
        </w:rPr>
      </w:pPr>
      <w:r>
        <w:rPr>
          <w:rFonts w:ascii="Arial" w:cs="Arial" w:eastAsia="Arial" w:hAnsi="Arial"/>
          <w:sz w:val="18"/>
          <w:szCs w:val="18"/>
          <w:color w:val="auto"/>
        </w:rPr>
        <w:t>Each award under the 2020 Plan may be made alone or in addition or in relation to any other award. The terms of each award need not be identical, and our Board of Directors need not treat participants uniformly. Our Board of Directors will determine the effect on an award of the disability, death, termination or other cessation of employment, authorized leave of absence or other change in the employment or other status of a participant, and the extent to which, and the period during which, the participant (or the participant’s legal representative, conservator, guardian or designated beneficiary) may exercise rights or receive any benefits under an award. The Board of Directors may at any time provide that any award shall become immediately exercisable in whole or in part, free from some or all restrictions or conditions or otherwise realizable in whole or in part, as the case may be.</w:t>
      </w:r>
    </w:p>
    <w:p>
      <w:pPr>
        <w:spacing w:after="0" w:line="203" w:lineRule="exact"/>
        <w:rPr>
          <w:sz w:val="20"/>
          <w:szCs w:val="20"/>
          <w:color w:val="auto"/>
        </w:rPr>
      </w:pPr>
    </w:p>
    <w:p>
      <w:pPr>
        <w:ind w:left="200" w:right="120" w:firstLine="441"/>
        <w:spacing w:after="0" w:line="236" w:lineRule="auto"/>
        <w:rPr>
          <w:sz w:val="20"/>
          <w:szCs w:val="20"/>
          <w:color w:val="auto"/>
        </w:rPr>
      </w:pPr>
      <w:r>
        <w:rPr>
          <w:rFonts w:ascii="Arial" w:cs="Arial" w:eastAsia="Arial" w:hAnsi="Arial"/>
          <w:sz w:val="18"/>
          <w:szCs w:val="18"/>
          <w:color w:val="auto"/>
        </w:rPr>
        <w:t>In the event of any stock split, reverse stock split, stock dividend, recapitalization, combination of shares, reclassification of shares, spin-off or other similar change in capitalization or event, or any dividend or distribution to holders of our common stock, other than an ordinary cash dividend, we are required to make equitable adjustments (or make substituted awards, as applicable), in the manner determined by our Board of Directors, to (i) the number and class of securities available under the 2020 Plan, (ii) the share counting rules set forth in the 2020 Plan, (iii) the sublimits contained in the 2020 Plan, (iv) the number and class of securities and exercise price per share of each outstanding option, (v) the share- and per-share provisions and the measurement price of each outstanding SAR, (vi) the number of shares subject to and the repurchase price per share subject to each outstanding award of restricted stock, and (vii) the share and per-share-related provisions and the purchase price, if any, of each outstanding RSU award and each outstanding other stock-based award.</w:t>
      </w:r>
    </w:p>
    <w:p>
      <w:pPr>
        <w:spacing w:after="0" w:line="207" w:lineRule="exact"/>
        <w:rPr>
          <w:sz w:val="20"/>
          <w:szCs w:val="20"/>
          <w:color w:val="auto"/>
        </w:rPr>
      </w:pPr>
    </w:p>
    <w:p>
      <w:pPr>
        <w:ind w:left="200" w:right="220" w:firstLine="441"/>
        <w:spacing w:after="0" w:line="239" w:lineRule="auto"/>
        <w:rPr>
          <w:sz w:val="20"/>
          <w:szCs w:val="20"/>
          <w:color w:val="auto"/>
        </w:rPr>
      </w:pPr>
      <w:r>
        <w:rPr>
          <w:rFonts w:ascii="Arial" w:cs="Arial" w:eastAsia="Arial" w:hAnsi="Arial"/>
          <w:sz w:val="18"/>
          <w:szCs w:val="18"/>
          <w:color w:val="auto"/>
        </w:rPr>
        <w:t>We will indemnify and hold harmless each director, officer, employee or agent to whom any duty or power relating to the administration or interpretation of the 2020 Plan has been or will be delegated against any cost or expense (including attorneys’ fees) or liability (including any sum paid in settlement of a claim with our Board of Directors’ approval) arising out of any act or omission to act concerning the 2020 Plan unless arising out of such person’s own fraud or bad faith.</w:t>
      </w:r>
    </w:p>
    <w:p>
      <w:pPr>
        <w:spacing w:after="0" w:line="184" w:lineRule="exact"/>
        <w:rPr>
          <w:sz w:val="20"/>
          <w:szCs w:val="20"/>
          <w:color w:val="auto"/>
        </w:rPr>
      </w:pPr>
    </w:p>
    <w:p>
      <w:pPr>
        <w:ind w:left="200" w:firstLine="441"/>
        <w:spacing w:after="0"/>
        <w:rPr>
          <w:sz w:val="20"/>
          <w:szCs w:val="20"/>
          <w:color w:val="auto"/>
        </w:rPr>
      </w:pPr>
      <w:r>
        <w:rPr>
          <w:rFonts w:ascii="Arial" w:cs="Arial" w:eastAsia="Arial" w:hAnsi="Arial"/>
          <w:sz w:val="18"/>
          <w:szCs w:val="18"/>
          <w:i w:val="1"/>
          <w:iCs w:val="1"/>
          <w:color w:val="auto"/>
        </w:rPr>
        <w:t>Amendment of awards</w:t>
      </w:r>
      <w:r>
        <w:rPr>
          <w:rFonts w:ascii="Arial" w:cs="Arial" w:eastAsia="Arial" w:hAnsi="Arial"/>
          <w:sz w:val="18"/>
          <w:szCs w:val="18"/>
          <w:color w:val="auto"/>
        </w:rPr>
        <w:t>. Except as otherwise provided under the 2020 Plan with respect to repricing outstanding stock options or</w:t>
      </w:r>
      <w:r>
        <w:rPr>
          <w:rFonts w:ascii="Arial" w:cs="Arial" w:eastAsia="Arial" w:hAnsi="Arial"/>
          <w:sz w:val="18"/>
          <w:szCs w:val="18"/>
          <w:i w:val="1"/>
          <w:iCs w:val="1"/>
          <w:color w:val="auto"/>
        </w:rPr>
        <w:t xml:space="preserve"> </w:t>
      </w:r>
      <w:r>
        <w:rPr>
          <w:rFonts w:ascii="Arial" w:cs="Arial" w:eastAsia="Arial" w:hAnsi="Arial"/>
          <w:sz w:val="18"/>
          <w:szCs w:val="18"/>
          <w:color w:val="auto"/>
        </w:rPr>
        <w:t>SARs, our Board of Directors may amend, modify or terminate any outstanding award, including but not limited to, substituting therefor another award of the same or a different type, changing the date of exercise or realization, and converting an incentive stock option to a nonstatutory stock option, provided that the participant’s consent to any such action will be required unless our Board of Directors determines that the action, taking into account any related action, does not materially and adversely affect the participant’s rights under the 2020 Plan or the change is otherwise permitted under the terms of the 2020 Plan in connection with a change in capitalization or reorganization event.</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Reorganization Events</w:t>
      </w:r>
    </w:p>
    <w:p>
      <w:pPr>
        <w:spacing w:after="0" w:line="126" w:lineRule="exact"/>
        <w:rPr>
          <w:sz w:val="20"/>
          <w:szCs w:val="20"/>
          <w:color w:val="auto"/>
        </w:rPr>
      </w:pPr>
    </w:p>
    <w:p>
      <w:pPr>
        <w:ind w:left="200" w:right="20" w:firstLine="441"/>
        <w:spacing w:after="0" w:line="238" w:lineRule="auto"/>
        <w:rPr>
          <w:sz w:val="20"/>
          <w:szCs w:val="20"/>
          <w:color w:val="auto"/>
        </w:rPr>
      </w:pPr>
      <w:r>
        <w:rPr>
          <w:rFonts w:ascii="Arial" w:cs="Arial" w:eastAsia="Arial" w:hAnsi="Arial"/>
          <w:sz w:val="18"/>
          <w:szCs w:val="18"/>
          <w:color w:val="auto"/>
        </w:rPr>
        <w:t>The 2020 Plan contains provisions addressing the consequences of any reorganization event. A reorganization event is defined under the 2020 Plan as (a) any merger or consolidation of us with or into another entity as a result of which all of our common stock is converted into or exchanged for the right to receive cash, securities or other property, or is canceled, (b) any transfer or disposition of all of our common stock for cash, securities or other property pursuant to a share exchange or other transaction or (c) our liquidation or dissolution.</w:t>
      </w:r>
    </w:p>
    <w:p>
      <w:pPr>
        <w:spacing w:after="0" w:line="185" w:lineRule="exact"/>
        <w:rPr>
          <w:sz w:val="20"/>
          <w:szCs w:val="20"/>
          <w:color w:val="auto"/>
        </w:rPr>
      </w:pPr>
    </w:p>
    <w:p>
      <w:pPr>
        <w:jc w:val="both"/>
        <w:ind w:left="200" w:right="160" w:firstLine="441"/>
        <w:spacing w:after="0" w:line="251" w:lineRule="auto"/>
        <w:rPr>
          <w:sz w:val="20"/>
          <w:szCs w:val="20"/>
          <w:color w:val="auto"/>
        </w:rPr>
      </w:pPr>
      <w:r>
        <w:rPr>
          <w:rFonts w:ascii="Arial" w:cs="Arial" w:eastAsia="Arial" w:hAnsi="Arial"/>
          <w:sz w:val="18"/>
          <w:szCs w:val="18"/>
          <w:i w:val="1"/>
          <w:iCs w:val="1"/>
          <w:color w:val="auto"/>
        </w:rPr>
        <w:t xml:space="preserve">Provisions Applicable to Awards Other than Restricted Stock. </w:t>
      </w:r>
      <w:r>
        <w:rPr>
          <w:rFonts w:ascii="Arial" w:cs="Arial" w:eastAsia="Arial" w:hAnsi="Arial"/>
          <w:sz w:val="18"/>
          <w:szCs w:val="18"/>
          <w:color w:val="auto"/>
        </w:rPr>
        <w:t>Under the 2020 Plan, if a reorganization event occurs (regardless of</w:t>
      </w:r>
      <w:r>
        <w:rPr>
          <w:rFonts w:ascii="Arial" w:cs="Arial" w:eastAsia="Arial" w:hAnsi="Arial"/>
          <w:sz w:val="18"/>
          <w:szCs w:val="18"/>
          <w:i w:val="1"/>
          <w:iCs w:val="1"/>
          <w:color w:val="auto"/>
        </w:rPr>
        <w:t xml:space="preserve"> </w:t>
      </w:r>
      <w:r>
        <w:rPr>
          <w:rFonts w:ascii="Arial" w:cs="Arial" w:eastAsia="Arial" w:hAnsi="Arial"/>
          <w:sz w:val="18"/>
          <w:szCs w:val="18"/>
          <w:color w:val="auto"/>
        </w:rPr>
        <w:t>whether such event also constitutes a Change in Control Event, as defined in the 2020 Plan), our Board of Directors shall provide that all outstanding awards other than restricted stock</w:t>
      </w:r>
    </w:p>
    <w:p>
      <w:pPr>
        <w:spacing w:after="0" w:line="12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4"/>
          <w:szCs w:val="14"/>
          <w:b w:val="1"/>
          <w:bCs w:val="1"/>
          <w:color w:val="052B82"/>
        </w:rPr>
        <w:t>2020 Proxy Statement</w:t>
      </w:r>
      <w:r>
        <w:rPr>
          <w:sz w:val="20"/>
          <w:szCs w:val="20"/>
          <w:color w:val="auto"/>
        </w:rPr>
        <w:tab/>
      </w:r>
      <w:r>
        <w:rPr>
          <w:rFonts w:ascii="Arial" w:cs="Arial" w:eastAsia="Arial" w:hAnsi="Arial"/>
          <w:sz w:val="17"/>
          <w:szCs w:val="17"/>
          <w:color w:val="999999"/>
        </w:rPr>
        <w:t>77</w:t>
      </w:r>
    </w:p>
    <w:p>
      <w:pPr>
        <w:sectPr>
          <w:pgSz w:w="11900" w:h="16838" w:orient="portrait"/>
          <w:cols w:equalWidth="0" w:num="1">
            <w:col w:w="11220"/>
          </w:cols>
          <w:pgMar w:left="24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2641600" cy="13716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64160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 xml:space="preserve">shall be assumed, or equivalent awards shall be substituted, by the acquiring or succeeding corporation (or an affiliate thereof). If such reorganization event also constitutes a Change in Control Event, except to the extent specifically provided to the contrary in the instrument evidencing any award other than restricted stock or any other agreement between a participant and us (A) one-half of the number of shares subject to the award other than restricted stock which were not already vested shall become vested and/or exercisable upon the occurrence of such reorganization event and, subject to (B) below, the remaining one-half of such number of shares shall continue to become vested in accordance with the original vesting schedule set forth in such award, with one-half of the number of shares that would otherwise have become vested on each subsequent vesting date in accordance with the original schedule becoming vested on each subsequent vesting date and (B) such assumed or substituted award other than restricted stock shall become immediately vested and/or exercisable in full if, on or prior to the first anniversary of the date of the consummation of the reorganization event, the participant’s employment with us or the acquiring or succeeding corporation is terminated for Good Reason (as defined in the 2020 Plan) by the Participant or is terminated without Cause (as defined in the 2020 Plan) by us or the acquiring or succeeding corporation. For purposes hereof, an award other than restricted stock shall be considered to be assumed if, following consummation of the reorganization event, the award confers the right to purchase or receive, for each share of common stock subject to the award immediately prior to the consummation of the reorganization event, the consideration (whether cash, securities or other property) received as a result of the reorganization event by holders of common stock for each share of common stock held immediately prior to the consummation of the reorganization event (and if holders were offered a choice of consideration, the type of consideration chosen by the holders of a majority of the outstanding shares of common stock);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if the consideration received as a result of the reorganization event is not solely common stock of the acquiring or succeeding corporation (or an affiliate thereof), we may, with the consent of the acquiring or succeeding corporation, provide for the consideration to be received upon the exercise and/or vesting of the awards other than restricted stock to consist solely of common stock of the acquiring or succeeding corporation (or an affiliate thereof) equivalent in value (as determined by the Board of Directors) to the per share consideration received by holders of outstanding shares of common stock as a result of the reorganization event.</w:t>
      </w:r>
    </w:p>
    <w:p>
      <w:pPr>
        <w:spacing w:after="0" w:line="214" w:lineRule="exact"/>
        <w:rPr>
          <w:sz w:val="20"/>
          <w:szCs w:val="20"/>
          <w:color w:val="auto"/>
        </w:rPr>
      </w:pPr>
    </w:p>
    <w:p>
      <w:pPr>
        <w:ind w:left="200" w:right="20" w:firstLine="441"/>
        <w:spacing w:after="0" w:line="236" w:lineRule="auto"/>
        <w:rPr>
          <w:sz w:val="20"/>
          <w:szCs w:val="20"/>
          <w:color w:val="auto"/>
        </w:rPr>
      </w:pPr>
      <w:r>
        <w:rPr>
          <w:rFonts w:ascii="Arial" w:cs="Arial" w:eastAsia="Arial" w:hAnsi="Arial"/>
          <w:sz w:val="18"/>
          <w:szCs w:val="18"/>
          <w:color w:val="auto"/>
        </w:rPr>
        <w:t>Notwithstanding the foregoing and anything to the contrary in the 2020 Plan, if the acquiring or succeeding corporation (or an affiliate thereof) does not agree to assume, or substitute for, such awards other than restricted stock, or in the event of a liquidation or dissolution of the Company, the Board of Directors shall, upon written notice to the participants, provide that all then unexercised or unvested awards other than restricted stock will become vested and/or exercisable in full as of a specified time prior to the reorganization event and will terminate immediately prior to the consummation of such reorganization event, except to the extent, as applicable, exercised by the participants before the consummation of such reorganization event; provided, however, that in the event of a reorganization event under the terms of which holders of common stock will receive upon consummation thereof a cash payment for each share of common stock surrendered pursuant to such reorganization event (referred to as the Acquisition Price), then the Board of Directors may instead provide that all outstanding awards other than restricted stock shall terminate upon consummation of such reorganization event and that each participant shall receive, in exchange therefor, a cash payment equal to the amount (if any) by which (A) the Acquisition Price multiplied by the number of shares of common stock subject to such outstanding award other than restricted stock (whether or not then vested), exceeds (B) the aggregate exercise price of such award other than restricted stock, if any. Further, certain restricted stock unit awards that are subject to Section 409A of the Code will be settled in accordance with the terms of the applicable award agreement.</w:t>
      </w:r>
    </w:p>
    <w:p>
      <w:pPr>
        <w:spacing w:after="0" w:line="186" w:lineRule="exact"/>
        <w:rPr>
          <w:sz w:val="20"/>
          <w:szCs w:val="20"/>
          <w:color w:val="auto"/>
        </w:rPr>
      </w:pPr>
    </w:p>
    <w:p>
      <w:pPr>
        <w:ind w:left="200" w:right="60" w:firstLine="441"/>
        <w:spacing w:after="0" w:line="242" w:lineRule="auto"/>
        <w:rPr>
          <w:sz w:val="20"/>
          <w:szCs w:val="20"/>
          <w:color w:val="auto"/>
        </w:rPr>
      </w:pPr>
      <w:r>
        <w:rPr>
          <w:rFonts w:ascii="Arial" w:cs="Arial" w:eastAsia="Arial" w:hAnsi="Arial"/>
          <w:sz w:val="18"/>
          <w:szCs w:val="18"/>
          <w:i w:val="1"/>
          <w:iCs w:val="1"/>
          <w:color w:val="auto"/>
        </w:rPr>
        <w:t>Provisions Applicable to Restricted Stock</w:t>
      </w:r>
      <w:r>
        <w:rPr>
          <w:rFonts w:ascii="Arial" w:cs="Arial" w:eastAsia="Arial" w:hAnsi="Arial"/>
          <w:sz w:val="18"/>
          <w:szCs w:val="18"/>
          <w:color w:val="auto"/>
        </w:rPr>
        <w:t>. Upon the occurrence of a reorganization event (regardless of whether such event also</w:t>
      </w:r>
      <w:r>
        <w:rPr>
          <w:rFonts w:ascii="Arial" w:cs="Arial" w:eastAsia="Arial" w:hAnsi="Arial"/>
          <w:sz w:val="18"/>
          <w:szCs w:val="18"/>
          <w:i w:val="1"/>
          <w:iCs w:val="1"/>
          <w:color w:val="auto"/>
        </w:rPr>
        <w:t xml:space="preserve"> </w:t>
      </w:r>
      <w:r>
        <w:rPr>
          <w:rFonts w:ascii="Arial" w:cs="Arial" w:eastAsia="Arial" w:hAnsi="Arial"/>
          <w:sz w:val="18"/>
          <w:szCs w:val="18"/>
          <w:color w:val="auto"/>
        </w:rPr>
        <w:t>constitutes a Change in Control Event), the repurchase and other rights of the Company under each outstanding award of restricted stock shall inure to the benefit of the Company’s successor and shall apply to the cash, securities or other property which the common stock was converted into or exchanged for pursuant to such reorganization event in the same manner and to the same extent as they applied to such award of restricted stock.</w:t>
      </w:r>
    </w:p>
    <w:p>
      <w:pPr>
        <w:spacing w:after="0" w:line="134" w:lineRule="exact"/>
        <w:rPr>
          <w:sz w:val="20"/>
          <w:szCs w:val="20"/>
          <w:color w:val="auto"/>
        </w:rPr>
      </w:pPr>
    </w:p>
    <w:p>
      <w:pPr>
        <w:ind w:left="600" w:hanging="396"/>
        <w:spacing w:after="0"/>
        <w:tabs>
          <w:tab w:leader="none" w:pos="600" w:val="left"/>
        </w:tabs>
        <w:numPr>
          <w:ilvl w:val="0"/>
          <w:numId w:val="121"/>
        </w:numPr>
        <w:rPr>
          <w:rFonts w:ascii="Arial" w:cs="Arial" w:eastAsia="Arial" w:hAnsi="Arial"/>
          <w:sz w:val="18"/>
          <w:szCs w:val="18"/>
          <w:color w:val="999999"/>
        </w:rPr>
      </w:pPr>
      <w:r>
        <w:rPr>
          <w:rFonts w:ascii="Arial" w:cs="Arial" w:eastAsia="Arial" w:hAnsi="Arial"/>
          <w:sz w:val="14"/>
          <w:szCs w:val="14"/>
          <w:b w:val="1"/>
          <w:bCs w:val="1"/>
          <w:color w:val="052B82"/>
        </w:rPr>
        <w:t>Analog Devices, Inc.</w:t>
      </w:r>
    </w:p>
    <w:p>
      <w:pPr>
        <w:sectPr>
          <w:pgSz w:w="11900" w:h="16838" w:orient="portrait"/>
          <w:cols w:equalWidth="0" w:num="1">
            <w:col w:w="11220"/>
          </w:cols>
          <w:pgMar w:left="24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205740</wp:posOffset>
            </wp:positionV>
            <wp:extent cx="2649855" cy="13716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Change in Control Event</w:t>
      </w:r>
    </w:p>
    <w:p>
      <w:pPr>
        <w:spacing w:after="0" w:line="108" w:lineRule="exact"/>
        <w:rPr>
          <w:sz w:val="20"/>
          <w:szCs w:val="20"/>
          <w:color w:val="auto"/>
        </w:rPr>
      </w:pPr>
    </w:p>
    <w:p>
      <w:pPr>
        <w:ind w:left="200" w:right="80" w:firstLine="441"/>
        <w:spacing w:after="0" w:line="238" w:lineRule="auto"/>
        <w:rPr>
          <w:sz w:val="20"/>
          <w:szCs w:val="20"/>
          <w:color w:val="auto"/>
        </w:rPr>
      </w:pPr>
      <w:r>
        <w:rPr>
          <w:rFonts w:ascii="Arial" w:cs="Arial" w:eastAsia="Arial" w:hAnsi="Arial"/>
          <w:sz w:val="18"/>
          <w:szCs w:val="18"/>
          <w:i w:val="1"/>
          <w:iCs w:val="1"/>
          <w:color w:val="auto"/>
        </w:rPr>
        <w:t xml:space="preserve">Provisions Applicable to Awards Other than Restricted Stock. </w:t>
      </w:r>
      <w:r>
        <w:rPr>
          <w:rFonts w:ascii="Arial" w:cs="Arial" w:eastAsia="Arial" w:hAnsi="Arial"/>
          <w:sz w:val="18"/>
          <w:szCs w:val="18"/>
          <w:color w:val="auto"/>
        </w:rPr>
        <w:t>The 2020 Plan also contains provisions addressing the consequences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any Change in Control Event. Upon the occurrence of a Change in Control Event that does not also constitute a reorganization event, except to the extent specifically provided to the contrary in the instrument evidencing any award other than restricted stock or any other agreement between a participant and us, and notwithstanding anything to the contrary in the 2020 Plan, the vesting schedule of such award shall be accelerated in part so that one-half of the number of shares that would otherwise have first become vested on any date after the date of the Change in Control Event shall immediately become vested and/or exercisable. The remaining one-half of such number of shares shall continue to become vested in accordance with the original vesting schedule set forth in such award other than restricted stock, with one-half of the number of shares that would otherwise have become vested on each subsequent vesting date in accordance with the original schedule becoming vested on each such subsequent vesting date;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each such award other than restricted stock shall be immediately vested and/or exercisable in full if, on or prior to the first anniversary of the date of the consummation of the Change in Control Event, the Participant’s employment with us or the acquiring or succeeding corporation is terminated for Good Reason by the participant or is terminated without Cause by us or the acquiring or succeeding corporation.</w:t>
      </w:r>
    </w:p>
    <w:p>
      <w:pPr>
        <w:spacing w:after="0" w:line="184" w:lineRule="exact"/>
        <w:rPr>
          <w:sz w:val="20"/>
          <w:szCs w:val="20"/>
          <w:color w:val="auto"/>
        </w:rPr>
      </w:pPr>
    </w:p>
    <w:p>
      <w:pPr>
        <w:ind w:left="200" w:right="20" w:firstLine="441"/>
        <w:spacing w:after="0" w:line="238" w:lineRule="auto"/>
        <w:rPr>
          <w:sz w:val="20"/>
          <w:szCs w:val="20"/>
          <w:color w:val="auto"/>
        </w:rPr>
      </w:pPr>
      <w:r>
        <w:rPr>
          <w:rFonts w:ascii="Arial" w:cs="Arial" w:eastAsia="Arial" w:hAnsi="Arial"/>
          <w:sz w:val="18"/>
          <w:szCs w:val="18"/>
          <w:i w:val="1"/>
          <w:iCs w:val="1"/>
          <w:color w:val="auto"/>
        </w:rPr>
        <w:t>Provisions Applicable to Restricted Stock</w:t>
      </w:r>
      <w:r>
        <w:rPr>
          <w:rFonts w:ascii="Arial" w:cs="Arial" w:eastAsia="Arial" w:hAnsi="Arial"/>
          <w:sz w:val="18"/>
          <w:szCs w:val="18"/>
          <w:color w:val="auto"/>
        </w:rPr>
        <w:t>. Upon the occurrence of a Change in Control Event (regardless of whether such event also</w:t>
      </w:r>
      <w:r>
        <w:rPr>
          <w:rFonts w:ascii="Arial" w:cs="Arial" w:eastAsia="Arial" w:hAnsi="Arial"/>
          <w:sz w:val="18"/>
          <w:szCs w:val="18"/>
          <w:i w:val="1"/>
          <w:iCs w:val="1"/>
          <w:color w:val="auto"/>
        </w:rPr>
        <w:t xml:space="preserve"> </w:t>
      </w:r>
      <w:r>
        <w:rPr>
          <w:rFonts w:ascii="Arial" w:cs="Arial" w:eastAsia="Arial" w:hAnsi="Arial"/>
          <w:sz w:val="18"/>
          <w:szCs w:val="18"/>
          <w:color w:val="auto"/>
        </w:rPr>
        <w:t>constitutes a reorganization event), except to the extent specifically provided to the contrary in the instrument evidencing any award of restricted stock or any other agreement between a participant and us, and notwithstanding anything to the contrary in the 2020 Plan, the vesting schedule of all awards of restricted stock shall be accelerated in part so that one-half of the number of shares that would otherwise have first become free from conditions or restrictions on any date after the date of the Change in Control Event shall immediately become free from conditions or restrictions. Subject to the following sentence, the remaining one-half of such number of shares shall continue to become free from conditions or restrictions in accordance with the original schedule set forth in such award, with one-half of the number of shares that would otherwise have become free from conditions or restrictions on each subsequent vesting date in accordance with the original schedule becoming free from conditions or restrictions on each subsequent vesting date. In addition, each such award shall immediately become free from all conditions or restrictions if, on or prior to the first anniversary of the date of the consummation of the Change in Control Event, the participant’s employment with us or the acquiring or succeeding corporation is terminated for Good Reason by the participant or is terminated without Cause us or the acquiring or succeeding corporation.</w:t>
      </w:r>
    </w:p>
    <w:p>
      <w:pPr>
        <w:spacing w:after="0" w:line="28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Provisions for Foreign Participants</w:t>
      </w:r>
    </w:p>
    <w:p>
      <w:pPr>
        <w:spacing w:after="0" w:line="126" w:lineRule="exact"/>
        <w:rPr>
          <w:sz w:val="20"/>
          <w:szCs w:val="20"/>
          <w:color w:val="auto"/>
        </w:rPr>
      </w:pPr>
    </w:p>
    <w:p>
      <w:pPr>
        <w:ind w:left="200" w:right="40" w:firstLine="441"/>
        <w:spacing w:after="0" w:line="238" w:lineRule="auto"/>
        <w:rPr>
          <w:sz w:val="20"/>
          <w:szCs w:val="20"/>
          <w:color w:val="auto"/>
        </w:rPr>
      </w:pPr>
      <w:r>
        <w:rPr>
          <w:rFonts w:ascii="Arial" w:cs="Arial" w:eastAsia="Arial" w:hAnsi="Arial"/>
          <w:sz w:val="18"/>
          <w:szCs w:val="18"/>
          <w:color w:val="auto"/>
        </w:rPr>
        <w:t>The Board of Directors may establish one or more sub-plans under the 2020 Plan to satisfy applicable securities, tax or other laws of various jurisdictions. The Board of Directors will establish such sub-plans by adopting supplements to the 2020 Plan containing any limitations on the Board of Director’s discretion under the 2020 Plan and any additional terms and conditions not otherwise inconsistent with the 2020 Plan as the Board of Directors deems necessary or desirable. All supplements adopted by the Board of Directors will be deemed to be part of the 2020 Plan, but each supplement will only apply to participants within the affected jurisdiction.</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Amendment or Termination</w:t>
      </w:r>
    </w:p>
    <w:p>
      <w:pPr>
        <w:spacing w:after="0" w:line="126" w:lineRule="exact"/>
        <w:rPr>
          <w:sz w:val="20"/>
          <w:szCs w:val="20"/>
          <w:color w:val="auto"/>
        </w:rPr>
      </w:pPr>
    </w:p>
    <w:p>
      <w:pPr>
        <w:ind w:left="200" w:right="160" w:firstLine="441"/>
        <w:spacing w:after="0" w:line="237" w:lineRule="auto"/>
        <w:rPr>
          <w:sz w:val="20"/>
          <w:szCs w:val="20"/>
          <w:color w:val="auto"/>
        </w:rPr>
      </w:pPr>
      <w:r>
        <w:rPr>
          <w:rFonts w:ascii="Arial" w:cs="Arial" w:eastAsia="Arial" w:hAnsi="Arial"/>
          <w:sz w:val="18"/>
          <w:szCs w:val="18"/>
          <w:color w:val="auto"/>
        </w:rPr>
        <w:t>If we receive shareholder approval of the 2020 Plan, no award may be granted under the 2020 Plan after March 11, 2030, but awards previously granted may extend beyond that date. Our Board of Directors may amend, suspend or terminate the 2020 Plan or any portion of the 2020 Plan at any time, except that (i) no amendment may be made to the plan to permit an option or SAR to be repriced without shareholder approval and (ii) no amendment that would require shareholder approval under the rules of the national securities exchange on which we then maintain our primary listing may be made effective unless and until such amendment has been approved by our shareholders. If the national securities exchange on which we then maintain our primary listing does not have rules regarding when shareholder approval of amendments</w:t>
      </w:r>
    </w:p>
    <w:p>
      <w:pPr>
        <w:spacing w:after="0" w:line="13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4"/>
          <w:szCs w:val="14"/>
          <w:b w:val="1"/>
          <w:bCs w:val="1"/>
          <w:color w:val="052B82"/>
        </w:rPr>
        <w:t>2020 Proxy Statement</w:t>
      </w:r>
      <w:r>
        <w:rPr>
          <w:sz w:val="20"/>
          <w:szCs w:val="20"/>
          <w:color w:val="auto"/>
        </w:rPr>
        <w:tab/>
      </w:r>
      <w:r>
        <w:rPr>
          <w:rFonts w:ascii="Arial" w:cs="Arial" w:eastAsia="Arial" w:hAnsi="Arial"/>
          <w:sz w:val="17"/>
          <w:szCs w:val="17"/>
          <w:color w:val="999999"/>
        </w:rPr>
        <w:t>79</w:t>
      </w:r>
    </w:p>
    <w:p>
      <w:pPr>
        <w:sectPr>
          <w:pgSz w:w="11900" w:h="16838" w:orient="portrait"/>
          <w:cols w:equalWidth="0" w:num="1">
            <w:col w:w="11220"/>
          </w:cols>
          <w:pgMar w:left="24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2641600" cy="13716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64160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0" w:right="40"/>
        <w:spacing w:after="0" w:line="234" w:lineRule="auto"/>
        <w:rPr>
          <w:sz w:val="20"/>
          <w:szCs w:val="20"/>
          <w:color w:val="auto"/>
        </w:rPr>
      </w:pPr>
      <w:r>
        <w:rPr>
          <w:rFonts w:ascii="Arial" w:cs="Arial" w:eastAsia="Arial" w:hAnsi="Arial"/>
          <w:sz w:val="18"/>
          <w:szCs w:val="18"/>
          <w:color w:val="auto"/>
        </w:rPr>
        <w:t>to equity compensation plans is required (or if our common stock is not then listed on any national securities exchange), no amendment of the 2020 Plan materially increasing the number of shares authorized under the plan, expanding the types of awards that may be granted under the plan or materially expanding the class of participants eligible to participate in the plan will be effective unless and until the our shareholders approve such amendment. If at any time the approval of our shareholders is required as to any other modification or amendment under Section 422 of the Code or any successor provision with respect to incentive stock options, our Board of Directors may not effect such modification or amendment without such approval. Unless otherwise specified in the amendment, any amendment to the 2020 Plan adopted in accordance with the procedures described above will apply to, and be binding on the holders of, all awards outstanding under the 2020 Plan at the time the amendment is adopted, provided that our Board of Directors determines that such amendment, taking into account any related action, does not materially and adversely affect the rights of participants under the 2020 Plan. No award will be made that is conditioned on shareholder approval of any amendment to the 2020 Plan unless the award provides that</w:t>
      </w:r>
    </w:p>
    <w:p>
      <w:pPr>
        <w:spacing w:after="0" w:line="8" w:lineRule="exact"/>
        <w:rPr>
          <w:sz w:val="20"/>
          <w:szCs w:val="20"/>
          <w:color w:val="auto"/>
        </w:rPr>
      </w:pPr>
    </w:p>
    <w:p>
      <w:pPr>
        <w:jc w:val="both"/>
        <w:ind w:left="200" w:firstLine="4"/>
        <w:spacing w:after="0"/>
        <w:tabs>
          <w:tab w:leader="none" w:pos="41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it will terminate or be forfeited if shareholder approval of such amendment is not obtained within 12 months from the date the award was granted and (ii) it may not be exercised or settled (or otherwise result in the issuance of shares of our common stock) prior to the receipt of such shareholder approval.</w:t>
      </w:r>
    </w:p>
    <w:p>
      <w:pPr>
        <w:spacing w:after="0" w:line="203" w:lineRule="exact"/>
        <w:rPr>
          <w:sz w:val="20"/>
          <w:szCs w:val="20"/>
          <w:color w:val="auto"/>
        </w:rPr>
      </w:pPr>
    </w:p>
    <w:p>
      <w:pPr>
        <w:ind w:left="200" w:right="140" w:firstLine="441"/>
        <w:spacing w:after="0"/>
        <w:rPr>
          <w:sz w:val="20"/>
          <w:szCs w:val="20"/>
          <w:color w:val="auto"/>
        </w:rPr>
      </w:pPr>
      <w:r>
        <w:rPr>
          <w:rFonts w:ascii="Arial" w:cs="Arial" w:eastAsia="Arial" w:hAnsi="Arial"/>
          <w:sz w:val="18"/>
          <w:szCs w:val="18"/>
          <w:color w:val="auto"/>
        </w:rPr>
        <w:t>If shareholders do not approve the adoption of the 2020 Plan, the 2020 Plan will not go into effect, and we will not grant any awards under the 2020 Plan. In this event, the Board of Directors will consider whether to adopt alternative arrangements based on its assessment of the needs of the Company.</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Federal Income Tax Consequences</w:t>
      </w:r>
    </w:p>
    <w:p>
      <w:pPr>
        <w:spacing w:after="0" w:line="126" w:lineRule="exact"/>
        <w:rPr>
          <w:sz w:val="20"/>
          <w:szCs w:val="20"/>
          <w:color w:val="auto"/>
        </w:rPr>
      </w:pPr>
    </w:p>
    <w:p>
      <w:pPr>
        <w:ind w:left="200" w:right="120" w:firstLine="441"/>
        <w:spacing w:after="0" w:line="239" w:lineRule="auto"/>
        <w:rPr>
          <w:sz w:val="20"/>
          <w:szCs w:val="20"/>
          <w:color w:val="auto"/>
        </w:rPr>
      </w:pPr>
      <w:r>
        <w:rPr>
          <w:rFonts w:ascii="Arial" w:cs="Arial" w:eastAsia="Arial" w:hAnsi="Arial"/>
          <w:sz w:val="18"/>
          <w:szCs w:val="18"/>
          <w:color w:val="auto"/>
        </w:rPr>
        <w:t>The following is a summary of the United States federal income tax consequences that generally will arise with respect to awards granted under the 2020 Plan. This summary is based on the federal tax laws in effect as of the date of this proxy statement. In addition, this summary assumes that all awards are exempt from, or comply with, the rules under Section 409A of the Code regarding nonqualified deferred compensation. Changes to these laws could alter the tax consequences described below.</w:t>
      </w:r>
    </w:p>
    <w:p>
      <w:pPr>
        <w:spacing w:after="0" w:line="184" w:lineRule="exact"/>
        <w:rPr>
          <w:sz w:val="20"/>
          <w:szCs w:val="20"/>
          <w:color w:val="auto"/>
        </w:rPr>
      </w:pPr>
    </w:p>
    <w:p>
      <w:pPr>
        <w:ind w:left="200" w:right="60" w:firstLine="441"/>
        <w:spacing w:after="0" w:line="241" w:lineRule="auto"/>
        <w:rPr>
          <w:sz w:val="20"/>
          <w:szCs w:val="20"/>
          <w:color w:val="auto"/>
        </w:rPr>
      </w:pPr>
      <w:r>
        <w:rPr>
          <w:rFonts w:ascii="Arial" w:cs="Arial" w:eastAsia="Arial" w:hAnsi="Arial"/>
          <w:sz w:val="18"/>
          <w:szCs w:val="18"/>
          <w:i w:val="1"/>
          <w:iCs w:val="1"/>
          <w:color w:val="auto"/>
        </w:rPr>
        <w:t xml:space="preserve">Incentive Stock Options. </w:t>
      </w:r>
      <w:r>
        <w:rPr>
          <w:rFonts w:ascii="Arial" w:cs="Arial" w:eastAsia="Arial" w:hAnsi="Arial"/>
          <w:sz w:val="18"/>
          <w:szCs w:val="18"/>
          <w:color w:val="auto"/>
        </w:rPr>
        <w:t>A participant will not have income upon the grant of an incentive stock option. Also, except as described</w:t>
      </w:r>
      <w:r>
        <w:rPr>
          <w:rFonts w:ascii="Arial" w:cs="Arial" w:eastAsia="Arial" w:hAnsi="Arial"/>
          <w:sz w:val="18"/>
          <w:szCs w:val="18"/>
          <w:i w:val="1"/>
          <w:iCs w:val="1"/>
          <w:color w:val="auto"/>
        </w:rPr>
        <w:t xml:space="preserve"> </w:t>
      </w:r>
      <w:r>
        <w:rPr>
          <w:rFonts w:ascii="Arial" w:cs="Arial" w:eastAsia="Arial" w:hAnsi="Arial"/>
          <w:sz w:val="18"/>
          <w:szCs w:val="18"/>
          <w:color w:val="auto"/>
        </w:rPr>
        <w:t>below, a participant will not have income upon exercise of an incentive stock option if the participant has been employed by ADI or its corporate parent or 50% or majority-owned corporate subsidiary at all times beginning with the option grant date and ending three months before the date the participant exercises the option. If the participant has not been so employed during that time, then the participant will be taxed as described below under “Nonstatutory Stock Options.” The exercise of an incentive stock option may subject the participant to the alternative minimum tax.</w:t>
      </w:r>
    </w:p>
    <w:p>
      <w:pPr>
        <w:spacing w:after="0" w:line="202" w:lineRule="exact"/>
        <w:rPr>
          <w:sz w:val="20"/>
          <w:szCs w:val="20"/>
          <w:color w:val="auto"/>
        </w:rPr>
      </w:pPr>
    </w:p>
    <w:p>
      <w:pPr>
        <w:ind w:left="200" w:right="40" w:firstLine="441"/>
        <w:spacing w:after="0" w:line="236" w:lineRule="auto"/>
        <w:rPr>
          <w:sz w:val="20"/>
          <w:szCs w:val="20"/>
          <w:color w:val="auto"/>
        </w:rPr>
      </w:pPr>
      <w:r>
        <w:rPr>
          <w:rFonts w:ascii="Arial" w:cs="Arial" w:eastAsia="Arial" w:hAnsi="Arial"/>
          <w:sz w:val="18"/>
          <w:szCs w:val="18"/>
          <w:color w:val="auto"/>
        </w:rPr>
        <w:t>A participant will have income upon the sale of the stock acquired under an incentive stock option at a profit (if sales proceeds exceed the exercise price). The type of income will depend on when the participant sells the stock. If a participant sells the stock more than two years after the option was granted and more than one year after the option was exercised, then all of the profit will be long-term capital gain. If a participant sells the stock prior to satisfying these waiting periods, then the participant will have engaged in a disqualifying disposition and a portion of the profit will be ordinary income and a portion may be capital gain. This capital gain will be long-term if the participant has held the stock for more than one year and otherwise will be short-term. If a participant sells the stock at a loss (sales proceeds are less than the exercise price), then the loss will be a capital loss. This capital loss will be long-term if the participant held the stock for more than one year and otherwise will be short-term.</w:t>
      </w:r>
    </w:p>
    <w:p>
      <w:pPr>
        <w:spacing w:after="0" w:line="190" w:lineRule="exact"/>
        <w:rPr>
          <w:sz w:val="20"/>
          <w:szCs w:val="20"/>
          <w:color w:val="auto"/>
        </w:rPr>
      </w:pPr>
    </w:p>
    <w:p>
      <w:pPr>
        <w:ind w:left="200" w:right="60" w:firstLine="441"/>
        <w:spacing w:after="0" w:line="242" w:lineRule="auto"/>
        <w:rPr>
          <w:sz w:val="20"/>
          <w:szCs w:val="20"/>
          <w:color w:val="auto"/>
        </w:rPr>
      </w:pPr>
      <w:r>
        <w:rPr>
          <w:rFonts w:ascii="Arial" w:cs="Arial" w:eastAsia="Arial" w:hAnsi="Arial"/>
          <w:sz w:val="18"/>
          <w:szCs w:val="18"/>
          <w:i w:val="1"/>
          <w:iCs w:val="1"/>
          <w:color w:val="auto"/>
        </w:rPr>
        <w:t xml:space="preserve">Nonstatutory Stock Options </w:t>
      </w:r>
      <w:r>
        <w:rPr>
          <w:rFonts w:ascii="Arial" w:cs="Arial" w:eastAsia="Arial" w:hAnsi="Arial"/>
          <w:sz w:val="18"/>
          <w:szCs w:val="18"/>
          <w:color w:val="auto"/>
        </w:rPr>
        <w:t>A participant will not have income upon the grant of a nonstatutory stock option. A participant will have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income upon the exercise of a nonstatutory stock option equal to the value of the stock on the day the participant exercised the option less the exercise price. Upon sale of the stock, the participant will have capital gain or loss equal to the difference between the sales proceeds and the value of the stock on the day the option was exercised. This capital gain or loss will be long-term if the participant has held the stock for more than one year and otherwise will be short-term.</w:t>
      </w:r>
    </w:p>
    <w:p>
      <w:pPr>
        <w:spacing w:after="0" w:line="134" w:lineRule="exact"/>
        <w:rPr>
          <w:sz w:val="20"/>
          <w:szCs w:val="20"/>
          <w:color w:val="auto"/>
        </w:rPr>
      </w:pPr>
    </w:p>
    <w:p>
      <w:pPr>
        <w:ind w:left="600" w:hanging="396"/>
        <w:spacing w:after="0"/>
        <w:tabs>
          <w:tab w:leader="none" w:pos="600" w:val="left"/>
        </w:tabs>
        <w:numPr>
          <w:ilvl w:val="0"/>
          <w:numId w:val="123"/>
        </w:numPr>
        <w:rPr>
          <w:rFonts w:ascii="Arial" w:cs="Arial" w:eastAsia="Arial" w:hAnsi="Arial"/>
          <w:sz w:val="18"/>
          <w:szCs w:val="18"/>
          <w:color w:val="999999"/>
        </w:rPr>
      </w:pPr>
      <w:r>
        <w:rPr>
          <w:rFonts w:ascii="Arial" w:cs="Arial" w:eastAsia="Arial" w:hAnsi="Arial"/>
          <w:sz w:val="14"/>
          <w:szCs w:val="14"/>
          <w:b w:val="1"/>
          <w:bCs w:val="1"/>
          <w:color w:val="052B82"/>
        </w:rPr>
        <w:t>Analog Devices, Inc.</w:t>
      </w:r>
    </w:p>
    <w:p>
      <w:pPr>
        <w:sectPr>
          <w:pgSz w:w="11900" w:h="16838" w:orient="portrait"/>
          <w:cols w:equalWidth="0" w:num="1">
            <w:col w:w="11220"/>
          </w:cols>
          <w:pgMar w:left="24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205740</wp:posOffset>
            </wp:positionV>
            <wp:extent cx="2649855" cy="13716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0" w:right="120" w:firstLine="441"/>
        <w:spacing w:after="0" w:line="242" w:lineRule="auto"/>
        <w:rPr>
          <w:sz w:val="20"/>
          <w:szCs w:val="20"/>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A participant will not have income upon the grant of a stock appreciation right. A participant generally will</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 compensation income upon the exercise of an SAR equal to the amount of the cash and the fair market value of any stock received. Upon the sale of the stock, the participant will have capital gain or loss equal to the difference between the sales proceeds and the value of the stock on the day the SAR was exercised. This capital gain or loss will be long-term if the participant held the stock for more than one year and otherwise will be short-term.</w:t>
      </w:r>
    </w:p>
    <w:p>
      <w:pPr>
        <w:spacing w:after="0" w:line="185" w:lineRule="exact"/>
        <w:rPr>
          <w:sz w:val="20"/>
          <w:szCs w:val="20"/>
          <w:color w:val="auto"/>
        </w:rPr>
      </w:pPr>
    </w:p>
    <w:p>
      <w:pPr>
        <w:ind w:left="200" w:right="60" w:firstLine="441"/>
        <w:spacing w:after="0"/>
        <w:rPr>
          <w:sz w:val="20"/>
          <w:szCs w:val="20"/>
          <w:color w:val="auto"/>
        </w:rPr>
      </w:pPr>
      <w:r>
        <w:rPr>
          <w:rFonts w:ascii="Arial" w:cs="Arial" w:eastAsia="Arial" w:hAnsi="Arial"/>
          <w:sz w:val="18"/>
          <w:szCs w:val="18"/>
          <w:i w:val="1"/>
          <w:iCs w:val="1"/>
          <w:color w:val="auto"/>
        </w:rPr>
        <w:t xml:space="preserve">Restricted Stock Awards. </w:t>
      </w:r>
      <w:r>
        <w:rPr>
          <w:rFonts w:ascii="Arial" w:cs="Arial" w:eastAsia="Arial" w:hAnsi="Arial"/>
          <w:sz w:val="18"/>
          <w:szCs w:val="18"/>
          <w:color w:val="auto"/>
        </w:rPr>
        <w:t>A participant will not have income upon the grant of restricted stock unless an election under Section 83(b)</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Code is made within 30 days of the date of grant. If a timely 83(b) election is made, then a participant will have compensation income equal to the value of the stock less the purchase price. When the stock is sold, the participant will have capital gain or loss equal to the difference between the sales proceeds and the value of the stock on the date of grant. If the participant does not make an</w:t>
      </w:r>
    </w:p>
    <w:p>
      <w:pPr>
        <w:ind w:left="200" w:right="20"/>
        <w:spacing w:after="0" w:line="239" w:lineRule="auto"/>
        <w:rPr>
          <w:sz w:val="20"/>
          <w:szCs w:val="20"/>
          <w:color w:val="auto"/>
        </w:rPr>
      </w:pPr>
      <w:r>
        <w:rPr>
          <w:rFonts w:ascii="Arial" w:cs="Arial" w:eastAsia="Arial" w:hAnsi="Arial"/>
          <w:sz w:val="18"/>
          <w:szCs w:val="18"/>
          <w:color w:val="auto"/>
        </w:rPr>
        <w:t>83(b) election, then when the stock vests the participant will have compensation income equal to the value of the stock on the vesting date less the purchase price. When the stock is sold, the participant will have capital gain or loss equal to the sales proceeds less the value of the stock on the vesting date. Any capital gain or loss will be long-term if the participant held the stock for more than one year and otherwise will be short-term.</w:t>
      </w:r>
    </w:p>
    <w:p>
      <w:pPr>
        <w:spacing w:after="0" w:line="184" w:lineRule="exact"/>
        <w:rPr>
          <w:sz w:val="20"/>
          <w:szCs w:val="20"/>
          <w:color w:val="auto"/>
        </w:rPr>
      </w:pPr>
    </w:p>
    <w:p>
      <w:pPr>
        <w:jc w:val="both"/>
        <w:ind w:left="200" w:right="220" w:firstLine="441"/>
        <w:spacing w:after="0" w:line="241" w:lineRule="auto"/>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A participant will not have income upon the grant of a restricted stock unit. A participant is not permitted to</w:t>
      </w:r>
      <w:r>
        <w:rPr>
          <w:rFonts w:ascii="Arial" w:cs="Arial" w:eastAsia="Arial" w:hAnsi="Arial"/>
          <w:sz w:val="18"/>
          <w:szCs w:val="18"/>
          <w:i w:val="1"/>
          <w:iCs w:val="1"/>
          <w:color w:val="auto"/>
        </w:rPr>
        <w:t xml:space="preserve"> </w:t>
      </w:r>
      <w:r>
        <w:rPr>
          <w:rFonts w:ascii="Arial" w:cs="Arial" w:eastAsia="Arial" w:hAnsi="Arial"/>
          <w:sz w:val="18"/>
          <w:szCs w:val="18"/>
          <w:color w:val="auto"/>
        </w:rPr>
        <w:t>make a Section 83(b) election with respect to a restricted stock unit award. When the restricted stock unit vests, the participant will have income on the vesting date in an amount equal to the fair market value of the stock on the vesting date less the purchase price, if any.</w:t>
      </w:r>
    </w:p>
    <w:p>
      <w:pPr>
        <w:spacing w:after="0" w:line="2" w:lineRule="exact"/>
        <w:rPr>
          <w:sz w:val="20"/>
          <w:szCs w:val="20"/>
          <w:color w:val="auto"/>
        </w:rPr>
      </w:pPr>
    </w:p>
    <w:p>
      <w:pPr>
        <w:ind w:left="200" w:right="160"/>
        <w:spacing w:after="0" w:line="246" w:lineRule="auto"/>
        <w:rPr>
          <w:sz w:val="20"/>
          <w:szCs w:val="20"/>
          <w:color w:val="auto"/>
        </w:rPr>
      </w:pPr>
      <w:r>
        <w:rPr>
          <w:rFonts w:ascii="Arial" w:cs="Arial" w:eastAsia="Arial" w:hAnsi="Arial"/>
          <w:sz w:val="18"/>
          <w:szCs w:val="18"/>
          <w:color w:val="auto"/>
        </w:rPr>
        <w:t>When the stock is sold, the participant will have capital gain or loss equal to the sales proceeds less the value of the stock on the vesting date. Any capital gain or loss will be long-term if the participant held the stock for more than one year and otherwise will be short-term.</w:t>
      </w:r>
    </w:p>
    <w:p>
      <w:pPr>
        <w:spacing w:after="0" w:line="179"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7"/>
          <w:szCs w:val="17"/>
          <w:i w:val="1"/>
          <w:iCs w:val="1"/>
          <w:color w:val="auto"/>
        </w:rPr>
        <w:t xml:space="preserve">Other Stock-Based Awards. </w:t>
      </w:r>
      <w:r>
        <w:rPr>
          <w:rFonts w:ascii="Arial" w:cs="Arial" w:eastAsia="Arial" w:hAnsi="Arial"/>
          <w:sz w:val="17"/>
          <w:szCs w:val="17"/>
          <w:color w:val="auto"/>
        </w:rPr>
        <w:t>The tax consequences associated with any other stock-based award granted under the 2020 Plan will</w:t>
      </w:r>
      <w:r>
        <w:rPr>
          <w:rFonts w:ascii="Arial" w:cs="Arial" w:eastAsia="Arial" w:hAnsi="Arial"/>
          <w:sz w:val="17"/>
          <w:szCs w:val="17"/>
          <w:i w:val="1"/>
          <w:iCs w:val="1"/>
          <w:color w:val="auto"/>
        </w:rPr>
        <w:t xml:space="preserve"> </w:t>
      </w:r>
      <w:r>
        <w:rPr>
          <w:rFonts w:ascii="Arial" w:cs="Arial" w:eastAsia="Arial" w:hAnsi="Arial"/>
          <w:sz w:val="17"/>
          <w:szCs w:val="17"/>
          <w:color w:val="auto"/>
        </w:rPr>
        <w:t>vary depending on the specific terms of such award. Among the relevant factors are whether or not the award has a readily ascertainable fair market value, whether or not the award is subject to forfeiture provisions or restrictions on transfer, the nature of the property to be received by the participant under the award, and the participant’s holding period and tax basis for the award or underlying common stock.</w:t>
      </w:r>
    </w:p>
    <w:p>
      <w:pPr>
        <w:spacing w:after="0" w:line="166" w:lineRule="exact"/>
        <w:rPr>
          <w:sz w:val="20"/>
          <w:szCs w:val="20"/>
          <w:color w:val="auto"/>
        </w:rPr>
      </w:pPr>
    </w:p>
    <w:p>
      <w:pPr>
        <w:ind w:left="200" w:right="100" w:firstLine="441"/>
        <w:spacing w:after="0" w:line="267" w:lineRule="auto"/>
        <w:rPr>
          <w:sz w:val="20"/>
          <w:szCs w:val="20"/>
          <w:color w:val="auto"/>
        </w:rPr>
      </w:pPr>
      <w:r>
        <w:rPr>
          <w:rFonts w:ascii="Arial" w:cs="Arial" w:eastAsia="Arial" w:hAnsi="Arial"/>
          <w:sz w:val="18"/>
          <w:szCs w:val="18"/>
          <w:i w:val="1"/>
          <w:iCs w:val="1"/>
          <w:color w:val="auto"/>
        </w:rPr>
        <w:t xml:space="preserve">Tax Consequences to the Company. </w:t>
      </w:r>
      <w:r>
        <w:rPr>
          <w:rFonts w:ascii="Arial" w:cs="Arial" w:eastAsia="Arial" w:hAnsi="Arial"/>
          <w:sz w:val="18"/>
          <w:szCs w:val="18"/>
          <w:color w:val="auto"/>
        </w:rPr>
        <w:t>There will be no tax consequences to the Company except that the Company will be entitled to</w:t>
      </w:r>
      <w:r>
        <w:rPr>
          <w:rFonts w:ascii="Arial" w:cs="Arial" w:eastAsia="Arial" w:hAnsi="Arial"/>
          <w:sz w:val="18"/>
          <w:szCs w:val="18"/>
          <w:i w:val="1"/>
          <w:iCs w:val="1"/>
          <w:color w:val="auto"/>
        </w:rPr>
        <w:t xml:space="preserve"> </w:t>
      </w:r>
      <w:r>
        <w:rPr>
          <w:rFonts w:ascii="Arial" w:cs="Arial" w:eastAsia="Arial" w:hAnsi="Arial"/>
          <w:sz w:val="18"/>
          <w:szCs w:val="18"/>
          <w:color w:val="auto"/>
        </w:rPr>
        <w:t>a deduction when a participant has compensation income, subject to the limitations of Section 162(m) of the Code.</w:t>
      </w:r>
    </w:p>
    <w:p>
      <w:pPr>
        <w:spacing w:after="0" w:line="180" w:lineRule="exact"/>
        <w:rPr>
          <w:sz w:val="20"/>
          <w:szCs w:val="20"/>
          <w:color w:val="auto"/>
        </w:rPr>
      </w:pPr>
    </w:p>
    <w:p>
      <w:pPr>
        <w:ind w:left="200" w:right="160" w:firstLine="7"/>
        <w:spacing w:after="0" w:line="261" w:lineRule="auto"/>
        <w:rPr>
          <w:sz w:val="20"/>
          <w:szCs w:val="20"/>
          <w:color w:val="auto"/>
        </w:rPr>
      </w:pPr>
      <w:r>
        <w:rPr>
          <w:sz w:val="1"/>
          <w:szCs w:val="1"/>
          <w:color w:val="auto"/>
        </w:rPr>
        <w:drawing>
          <wp:inline distT="0" distB="0" distL="0" distR="0">
            <wp:extent cx="266065" cy="274320"/>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66065" cy="274320"/>
                    </a:xfrm>
                    <a:prstGeom prst="rect">
                      <a:avLst/>
                    </a:prstGeom>
                    <a:noFill/>
                    <a:ln>
                      <a:noFill/>
                    </a:ln>
                  </pic:spPr>
                </pic:pic>
              </a:graphicData>
            </a:graphic>
          </wp:inline>
        </w:drawing>
      </w:r>
      <w:r>
        <w:rPr>
          <w:rFonts w:ascii="Arial" w:cs="Arial" w:eastAsia="Arial" w:hAnsi="Arial"/>
          <w:sz w:val="18"/>
          <w:szCs w:val="18"/>
          <w:b w:val="1"/>
          <w:bCs w:val="1"/>
          <w:i w:val="1"/>
          <w:iCs w:val="1"/>
          <w:color w:val="052B82"/>
        </w:rPr>
        <w:t xml:space="preserve"> Our Board of Directors unanimously recommends that you vote FOR the approval of the Analog Devices, Inc. 2020 Equity Incentive Plan.</w:t>
      </w:r>
    </w:p>
    <w:p>
      <w:pPr>
        <w:spacing w:after="0" w:line="109"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4"/>
          <w:szCs w:val="14"/>
          <w:b w:val="1"/>
          <w:bCs w:val="1"/>
          <w:color w:val="052B82"/>
        </w:rPr>
        <w:t>2020 Proxy Statement</w:t>
      </w:r>
      <w:r>
        <w:rPr>
          <w:sz w:val="20"/>
          <w:szCs w:val="20"/>
          <w:color w:val="auto"/>
        </w:rPr>
        <w:tab/>
      </w:r>
      <w:r>
        <w:rPr>
          <w:rFonts w:ascii="Arial" w:cs="Arial" w:eastAsia="Arial" w:hAnsi="Arial"/>
          <w:sz w:val="17"/>
          <w:szCs w:val="17"/>
          <w:color w:val="999999"/>
        </w:rPr>
        <w:t>81</w:t>
      </w:r>
    </w:p>
    <w:p>
      <w:pPr>
        <w:sectPr>
          <w:pgSz w:w="11900" w:h="16838" w:orient="portrait"/>
          <w:cols w:equalWidth="0" w:num="1">
            <w:col w:w="11220"/>
          </w:cols>
          <w:pgMar w:left="24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437515</wp:posOffset>
            </wp:positionV>
            <wp:extent cx="6997700" cy="40322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997700" cy="40322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205740</wp:posOffset>
            </wp:positionV>
            <wp:extent cx="2641600" cy="13716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64160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00"/>
        <w:spacing w:after="0"/>
        <w:rPr>
          <w:sz w:val="20"/>
          <w:szCs w:val="20"/>
          <w:color w:val="auto"/>
        </w:rPr>
      </w:pPr>
      <w:r>
        <w:rPr>
          <w:rFonts w:ascii="Arial" w:cs="Arial" w:eastAsia="Arial" w:hAnsi="Arial"/>
          <w:sz w:val="32"/>
          <w:szCs w:val="32"/>
          <w:b w:val="1"/>
          <w:bCs w:val="1"/>
          <w:color w:val="FFFFFF"/>
        </w:rPr>
        <w:t>PROPOSAL 4</w:t>
      </w:r>
    </w:p>
    <w:p>
      <w:pPr>
        <w:spacing w:after="0" w:line="200" w:lineRule="exact"/>
        <w:rPr>
          <w:sz w:val="20"/>
          <w:szCs w:val="20"/>
          <w:color w:val="auto"/>
        </w:rPr>
      </w:pPr>
    </w:p>
    <w:p>
      <w:pPr>
        <w:spacing w:after="0" w:line="309" w:lineRule="exact"/>
        <w:rPr>
          <w:sz w:val="20"/>
          <w:szCs w:val="20"/>
          <w:color w:val="auto"/>
        </w:rPr>
      </w:pPr>
    </w:p>
    <w:p>
      <w:pPr>
        <w:ind w:left="200" w:right="1140"/>
        <w:spacing w:after="0" w:line="260" w:lineRule="auto"/>
        <w:rPr>
          <w:sz w:val="20"/>
          <w:szCs w:val="20"/>
          <w:color w:val="auto"/>
        </w:rPr>
      </w:pPr>
      <w:r>
        <w:rPr>
          <w:rFonts w:ascii="Arial" w:cs="Arial" w:eastAsia="Arial" w:hAnsi="Arial"/>
          <w:sz w:val="32"/>
          <w:szCs w:val="32"/>
          <w:color w:val="052B82"/>
        </w:rPr>
        <w:t>RATIFICATION OF SELECTION OF INDEPENDENT REGISTERED PUBLIC ACCOUNTING FIRM</w:t>
      </w:r>
    </w:p>
    <w:p>
      <w:pPr>
        <w:spacing w:after="0" w:line="170" w:lineRule="exact"/>
        <w:rPr>
          <w:sz w:val="20"/>
          <w:szCs w:val="20"/>
          <w:color w:val="auto"/>
        </w:rPr>
      </w:pPr>
    </w:p>
    <w:p>
      <w:pPr>
        <w:ind w:left="200" w:right="80" w:firstLine="441"/>
        <w:spacing w:after="0" w:line="239" w:lineRule="auto"/>
        <w:rPr>
          <w:sz w:val="20"/>
          <w:szCs w:val="20"/>
          <w:color w:val="auto"/>
        </w:rPr>
      </w:pPr>
      <w:r>
        <w:rPr>
          <w:rFonts w:ascii="Arial" w:cs="Arial" w:eastAsia="Arial" w:hAnsi="Arial"/>
          <w:sz w:val="18"/>
          <w:szCs w:val="18"/>
          <w:color w:val="auto"/>
        </w:rPr>
        <w:t>Our Audit Committee is directly responsible for the appointment, compensation, retention and oversight of the Company’s independent registered public accounting firm. To execute this responsibility, the Audit Committee engages in an annual evaluation of the independent registered public accounting firm’s qualifications, performance and independence and whether the retention of the independent public accounting firm is in the best interests of the Company and our shareholders.</w:t>
      </w:r>
    </w:p>
    <w:p>
      <w:pPr>
        <w:spacing w:after="0" w:line="202"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Our Audit Committee has selected the firm of Ernst &amp; Young LLP, independent registered public accounting firm, as our auditors for fiscal 2020. We have engaged Ernst &amp; Young LLP, or its predecessor firms, to serve as our independent registered public accounting firm continuously since 1967. Through Ernst &amp; Young LLP’s years of experience with ADI, Ernst &amp; Young LLP has gained institutional knowledge of and deep expertise regarding ADI’s global operations, accounting policies and practices, and internal control over financial reporting, which enables efficiency with the annual audit and benefits the Company. In accordance with SEC rules and Ernst &amp; Young LLP policies, the firm’s lead engagement partner rotates every five years. Our Audit Committee and its Chairman are directly involved in the selection of Ernst &amp; Young LLP’s lead engagement partner. The Audit Committee also has the sole authority to approve all engagement fees paid to our independent registered public accounting firm.</w:t>
      </w:r>
    </w:p>
    <w:p>
      <w:pPr>
        <w:spacing w:after="0" w:line="208" w:lineRule="exact"/>
        <w:rPr>
          <w:sz w:val="20"/>
          <w:szCs w:val="20"/>
          <w:color w:val="auto"/>
        </w:rPr>
      </w:pPr>
    </w:p>
    <w:p>
      <w:pPr>
        <w:ind w:left="200" w:right="180" w:firstLine="441"/>
        <w:spacing w:after="0" w:line="236" w:lineRule="auto"/>
        <w:rPr>
          <w:sz w:val="20"/>
          <w:szCs w:val="20"/>
          <w:color w:val="auto"/>
        </w:rPr>
      </w:pPr>
      <w:r>
        <w:rPr>
          <w:rFonts w:ascii="Arial" w:cs="Arial" w:eastAsia="Arial" w:hAnsi="Arial"/>
          <w:sz w:val="18"/>
          <w:szCs w:val="18"/>
          <w:color w:val="auto"/>
        </w:rPr>
        <w:t>The Audit Committee and the Board of Directors believe that the continued retention of Ernst &amp; Young LLP as our independent registered public accounting firm is in the best interests of the Company and our shareholders, and we are asking our shareholders to ratify the selection of Ernst &amp; Young LLP as our independent registered public accounting firm for fiscal 2020. Although shareholder approval of the selection of Ernst &amp; Young LLP is not required by law, our Board of Directors believes that it is advisable to give shareholders an opportunity to ratify this selection. If this proposal is not approved by our shareholders at the Annual Meeting, our Audit Committee will reconsider its selection of Ernst &amp; Young LLP. Even if the selection is ratified, the Audit Committee may in its discretion select a different independent registered public accounting firm at any time during the year if it determines that such change would be in the best interests of the Company and our shareholders.</w:t>
      </w:r>
    </w:p>
    <w:p>
      <w:pPr>
        <w:spacing w:after="0" w:line="208" w:lineRule="exact"/>
        <w:rPr>
          <w:sz w:val="20"/>
          <w:szCs w:val="20"/>
          <w:color w:val="auto"/>
        </w:rPr>
      </w:pPr>
    </w:p>
    <w:p>
      <w:pPr>
        <w:ind w:left="200" w:right="140" w:firstLine="441"/>
        <w:spacing w:after="0" w:line="246" w:lineRule="auto"/>
        <w:rPr>
          <w:sz w:val="20"/>
          <w:szCs w:val="20"/>
          <w:color w:val="auto"/>
        </w:rPr>
      </w:pPr>
      <w:r>
        <w:rPr>
          <w:rFonts w:ascii="Arial" w:cs="Arial" w:eastAsia="Arial" w:hAnsi="Arial"/>
          <w:sz w:val="18"/>
          <w:szCs w:val="18"/>
          <w:color w:val="auto"/>
        </w:rPr>
        <w:t>Representatives of Ernst &amp; Young LLP are expected to be present at the Annual Meeting. They will have the opportunity to make a statement if they desire to do so and will also be available to respond to appropriate questions from shareholders.</w:t>
      </w:r>
    </w:p>
    <w:p>
      <w:pPr>
        <w:spacing w:after="0" w:line="198" w:lineRule="exact"/>
        <w:rPr>
          <w:sz w:val="20"/>
          <w:szCs w:val="20"/>
          <w:color w:val="auto"/>
        </w:rPr>
      </w:pPr>
    </w:p>
    <w:p>
      <w:pPr>
        <w:ind w:left="200" w:right="40" w:firstLine="7"/>
        <w:spacing w:after="0" w:line="261" w:lineRule="auto"/>
        <w:rPr>
          <w:sz w:val="20"/>
          <w:szCs w:val="20"/>
          <w:color w:val="auto"/>
        </w:rPr>
      </w:pPr>
      <w:r>
        <w:rPr>
          <w:sz w:val="1"/>
          <w:szCs w:val="1"/>
          <w:color w:val="auto"/>
        </w:rPr>
        <w:drawing>
          <wp:inline distT="0" distB="0" distL="0" distR="0">
            <wp:extent cx="266065" cy="274320"/>
            <wp:effectExtent l="0" t="0" r="0" b="0"/>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66065" cy="274320"/>
                    </a:xfrm>
                    <a:prstGeom prst="rect">
                      <a:avLst/>
                    </a:prstGeom>
                    <a:noFill/>
                    <a:ln>
                      <a:noFill/>
                    </a:ln>
                  </pic:spPr>
                </pic:pic>
              </a:graphicData>
            </a:graphic>
          </wp:inline>
        </w:drawing>
      </w:r>
      <w:r>
        <w:rPr>
          <w:rFonts w:ascii="Arial" w:cs="Arial" w:eastAsia="Arial" w:hAnsi="Arial"/>
          <w:sz w:val="18"/>
          <w:szCs w:val="18"/>
          <w:b w:val="1"/>
          <w:bCs w:val="1"/>
          <w:i w:val="1"/>
          <w:iCs w:val="1"/>
          <w:color w:val="052B82"/>
        </w:rPr>
        <w:t xml:space="preserve"> Our Board of Directors unanimously recommends that you vote FOR the ratification of the selection of Ernst &amp; Young LLP as our independent registered public accounting firm for fiscal 2020.</w:t>
      </w:r>
    </w:p>
    <w:p>
      <w:pPr>
        <w:spacing w:after="0" w:line="107" w:lineRule="exact"/>
        <w:rPr>
          <w:sz w:val="20"/>
          <w:szCs w:val="20"/>
          <w:color w:val="auto"/>
        </w:rPr>
      </w:pPr>
    </w:p>
    <w:p>
      <w:pPr>
        <w:ind w:left="600" w:hanging="396"/>
        <w:spacing w:after="0"/>
        <w:tabs>
          <w:tab w:leader="none" w:pos="600" w:val="left"/>
        </w:tabs>
        <w:numPr>
          <w:ilvl w:val="0"/>
          <w:numId w:val="124"/>
        </w:numPr>
        <w:rPr>
          <w:rFonts w:ascii="Arial" w:cs="Arial" w:eastAsia="Arial" w:hAnsi="Arial"/>
          <w:sz w:val="18"/>
          <w:szCs w:val="18"/>
          <w:color w:val="999999"/>
        </w:rPr>
      </w:pPr>
      <w:r>
        <w:rPr>
          <w:rFonts w:ascii="Arial" w:cs="Arial" w:eastAsia="Arial" w:hAnsi="Arial"/>
          <w:sz w:val="14"/>
          <w:szCs w:val="14"/>
          <w:b w:val="1"/>
          <w:bCs w:val="1"/>
          <w:color w:val="052B82"/>
        </w:rPr>
        <w:t>Analog Devices, Inc.</w:t>
      </w:r>
    </w:p>
    <w:p>
      <w:pPr>
        <w:sectPr>
          <w:pgSz w:w="11900" w:h="16838" w:orient="portrait"/>
          <w:cols w:equalWidth="0" w:num="1">
            <w:col w:w="11160"/>
          </w:cols>
          <w:pgMar w:left="240" w:top="459" w:right="49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205740</wp:posOffset>
            </wp:positionV>
            <wp:extent cx="2649855" cy="13716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0"/>
        <w:spacing w:after="0"/>
        <w:rPr>
          <w:sz w:val="20"/>
          <w:szCs w:val="20"/>
          <w:color w:val="auto"/>
        </w:rPr>
      </w:pPr>
      <w:r>
        <w:rPr>
          <w:rFonts w:ascii="Arial" w:cs="Arial" w:eastAsia="Arial" w:hAnsi="Arial"/>
          <w:sz w:val="32"/>
          <w:szCs w:val="32"/>
          <w:color w:val="052B82"/>
        </w:rPr>
        <w:t>OTHER MATTERS</w:t>
      </w:r>
    </w:p>
    <w:p>
      <w:pPr>
        <w:spacing w:after="0" w:line="222" w:lineRule="exact"/>
        <w:rPr>
          <w:sz w:val="20"/>
          <w:szCs w:val="20"/>
          <w:color w:val="auto"/>
        </w:rPr>
      </w:pPr>
    </w:p>
    <w:p>
      <w:pPr>
        <w:jc w:val="both"/>
        <w:ind w:left="200" w:right="80" w:firstLine="441"/>
        <w:spacing w:after="0"/>
        <w:rPr>
          <w:sz w:val="20"/>
          <w:szCs w:val="20"/>
          <w:color w:val="auto"/>
        </w:rPr>
      </w:pPr>
      <w:r>
        <w:rPr>
          <w:rFonts w:ascii="Arial" w:cs="Arial" w:eastAsia="Arial" w:hAnsi="Arial"/>
          <w:sz w:val="18"/>
          <w:szCs w:val="18"/>
          <w:color w:val="auto"/>
        </w:rPr>
        <w:t>Our Board of Directors does not know of any other matters that may come before the Annual Meeting. However, if any other matters are properly presented at the Annual Meeting, it is the intention of the persons named as proxies to vote, or otherwise act, in accordance with their judgment on such matters.</w:t>
      </w:r>
    </w:p>
    <w:p>
      <w:pPr>
        <w:spacing w:after="0" w:line="13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4"/>
          <w:szCs w:val="14"/>
          <w:b w:val="1"/>
          <w:bCs w:val="1"/>
          <w:color w:val="052B82"/>
        </w:rPr>
        <w:t>2020 Proxy Statement</w:t>
      </w:r>
      <w:r>
        <w:rPr>
          <w:sz w:val="20"/>
          <w:szCs w:val="20"/>
          <w:color w:val="auto"/>
        </w:rPr>
        <w:tab/>
      </w:r>
      <w:r>
        <w:rPr>
          <w:rFonts w:ascii="Arial" w:cs="Arial" w:eastAsia="Arial" w:hAnsi="Arial"/>
          <w:sz w:val="17"/>
          <w:szCs w:val="17"/>
          <w:color w:val="999999"/>
        </w:rPr>
        <w:t>83</w:t>
      </w:r>
    </w:p>
    <w:p>
      <w:pPr>
        <w:sectPr>
          <w:pgSz w:w="11900" w:h="16838" w:orient="portrait"/>
          <w:cols w:equalWidth="0" w:num="1">
            <w:col w:w="11220"/>
          </w:cols>
          <w:pgMar w:left="24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2649855" cy="13716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0"/>
        <w:spacing w:after="0"/>
        <w:rPr>
          <w:sz w:val="20"/>
          <w:szCs w:val="20"/>
          <w:color w:val="auto"/>
        </w:rPr>
      </w:pPr>
      <w:r>
        <w:rPr>
          <w:rFonts w:ascii="Arial" w:cs="Arial" w:eastAsia="Arial" w:hAnsi="Arial"/>
          <w:sz w:val="32"/>
          <w:szCs w:val="32"/>
          <w:color w:val="052B82"/>
        </w:rPr>
        <w:t>ELECTRONIC VOTING</w:t>
      </w:r>
    </w:p>
    <w:p>
      <w:pPr>
        <w:spacing w:after="0" w:line="222" w:lineRule="exact"/>
        <w:rPr>
          <w:sz w:val="20"/>
          <w:szCs w:val="20"/>
          <w:color w:val="auto"/>
        </w:rPr>
      </w:pPr>
    </w:p>
    <w:p>
      <w:pPr>
        <w:ind w:left="200" w:right="100" w:firstLine="441"/>
        <w:spacing w:after="0"/>
        <w:rPr>
          <w:sz w:val="20"/>
          <w:szCs w:val="20"/>
          <w:color w:val="auto"/>
        </w:rPr>
      </w:pPr>
      <w:r>
        <w:rPr>
          <w:rFonts w:ascii="Arial" w:cs="Arial" w:eastAsia="Arial" w:hAnsi="Arial"/>
          <w:sz w:val="18"/>
          <w:szCs w:val="18"/>
          <w:color w:val="auto"/>
        </w:rPr>
        <w:t>If you own your shares of common stock of record, you may vote your shares over the Internet at www.proxyvote.com or telephonically by calling 1-800-690-6903 and by following the instructions on the Notice or proxy card. Proxies submitted over the Internet or by telephone must be received by 11:59 p.m. Eastern Time on March 10, 2020.</w:t>
      </w:r>
    </w:p>
    <w:p>
      <w:pPr>
        <w:spacing w:after="0" w:line="203" w:lineRule="exact"/>
        <w:rPr>
          <w:sz w:val="20"/>
          <w:szCs w:val="20"/>
          <w:color w:val="auto"/>
        </w:rPr>
      </w:pPr>
    </w:p>
    <w:p>
      <w:pPr>
        <w:ind w:left="200" w:firstLine="441"/>
        <w:spacing w:after="0" w:line="237" w:lineRule="auto"/>
        <w:rPr>
          <w:sz w:val="20"/>
          <w:szCs w:val="20"/>
          <w:color w:val="auto"/>
        </w:rPr>
      </w:pPr>
      <w:r>
        <w:rPr>
          <w:rFonts w:ascii="Arial" w:cs="Arial" w:eastAsia="Arial" w:hAnsi="Arial"/>
          <w:sz w:val="18"/>
          <w:szCs w:val="18"/>
          <w:color w:val="auto"/>
        </w:rPr>
        <w:t xml:space="preserve">If the shares you own are held in “street name” by a bank, broker or other nominee, your bank, broker or other nominee will provide a voting instruction form to you with this proxy statement, which you may use to direct how your shares will be voted. </w:t>
      </w:r>
      <w:r>
        <w:rPr>
          <w:rFonts w:ascii="Arial" w:cs="Arial" w:eastAsia="Arial" w:hAnsi="Arial"/>
          <w:sz w:val="18"/>
          <w:szCs w:val="18"/>
          <w:b w:val="1"/>
          <w:bCs w:val="1"/>
          <w:color w:val="auto"/>
        </w:rPr>
        <w:t>You must instruct</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your bank, broker or other nominee how to vote with respect to the election of directors, the “say on pay” advisory vote and the approval of the Analog Devices, Inc. 2020 Equity Incentive Plan; your bank, broker or other nominee cannot exercise its discretion to vote on these matters on your behalf. </w:t>
      </w:r>
      <w:r>
        <w:rPr>
          <w:rFonts w:ascii="Arial" w:cs="Arial" w:eastAsia="Arial" w:hAnsi="Arial"/>
          <w:sz w:val="18"/>
          <w:szCs w:val="18"/>
          <w:color w:val="auto"/>
        </w:rPr>
        <w:t>Many banks and brokers also offer the option of voting over the Internet or by</w:t>
      </w:r>
      <w:r>
        <w:rPr>
          <w:rFonts w:ascii="Arial" w:cs="Arial" w:eastAsia="Arial" w:hAnsi="Arial"/>
          <w:sz w:val="18"/>
          <w:szCs w:val="18"/>
          <w:b w:val="1"/>
          <w:bCs w:val="1"/>
          <w:color w:val="auto"/>
        </w:rPr>
        <w:t xml:space="preserve"> </w:t>
      </w:r>
      <w:r>
        <w:rPr>
          <w:rFonts w:ascii="Arial" w:cs="Arial" w:eastAsia="Arial" w:hAnsi="Arial"/>
          <w:sz w:val="18"/>
          <w:szCs w:val="18"/>
          <w:color w:val="auto"/>
        </w:rPr>
        <w:t>telephone, instructions for which would be provided by your bank or broker on your voting instruction form.</w:t>
      </w:r>
    </w:p>
    <w:p>
      <w:pPr>
        <w:spacing w:after="0" w:line="183" w:lineRule="exact"/>
        <w:rPr>
          <w:sz w:val="20"/>
          <w:szCs w:val="20"/>
          <w:color w:val="auto"/>
        </w:rPr>
      </w:pPr>
    </w:p>
    <w:p>
      <w:pPr>
        <w:ind w:left="200" w:firstLine="441"/>
        <w:spacing w:after="0" w:line="244" w:lineRule="auto"/>
        <w:rPr>
          <w:sz w:val="20"/>
          <w:szCs w:val="20"/>
          <w:color w:val="auto"/>
        </w:rPr>
      </w:pPr>
      <w:r>
        <w:rPr>
          <w:rFonts w:ascii="Arial" w:cs="Arial" w:eastAsia="Arial" w:hAnsi="Arial"/>
          <w:sz w:val="18"/>
          <w:szCs w:val="18"/>
          <w:b w:val="1"/>
          <w:bCs w:val="1"/>
          <w:color w:val="auto"/>
        </w:rPr>
        <w:t>We hope that shareholders will attend the Annual Meeting. Whether or not you plan to attend, we urge you to vote your shares over the Internet or by telephone, or complete, date, sign and return the proxy card in the accompanying postage-prepaid envelope if you received a printed proxy card. A prompt response will greatly facilitate arrangements for the Annual Meeting and your cooperation will be appreciated. Shareholders who attend the Annual Meeting may vote their shares personally even though they have previously sent in their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144145</wp:posOffset>
            </wp:positionV>
            <wp:extent cx="5625465" cy="20237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625465" cy="2023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00" w:hanging="396"/>
        <w:spacing w:after="0"/>
        <w:tabs>
          <w:tab w:leader="none" w:pos="600" w:val="left"/>
        </w:tabs>
        <w:numPr>
          <w:ilvl w:val="0"/>
          <w:numId w:val="125"/>
        </w:numPr>
        <w:rPr>
          <w:rFonts w:ascii="Arial" w:cs="Arial" w:eastAsia="Arial" w:hAnsi="Arial"/>
          <w:sz w:val="18"/>
          <w:szCs w:val="18"/>
          <w:color w:val="999999"/>
        </w:rPr>
      </w:pPr>
      <w:r>
        <w:rPr>
          <w:rFonts w:ascii="Arial" w:cs="Arial" w:eastAsia="Arial" w:hAnsi="Arial"/>
          <w:sz w:val="14"/>
          <w:szCs w:val="14"/>
          <w:b w:val="1"/>
          <w:bCs w:val="1"/>
          <w:color w:val="052B82"/>
        </w:rPr>
        <w:t>Analog Devices, Inc.</w:t>
      </w:r>
    </w:p>
    <w:p>
      <w:pPr>
        <w:sectPr>
          <w:pgSz w:w="11900" w:h="16838" w:orient="portrait"/>
          <w:cols w:equalWidth="0" w:num="1">
            <w:col w:w="11220"/>
          </w:cols>
          <w:pgMar w:left="240" w:top="459" w:right="4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205740</wp:posOffset>
            </wp:positionV>
            <wp:extent cx="2649855" cy="13716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0"/>
        <w:spacing w:after="0"/>
        <w:rPr>
          <w:sz w:val="20"/>
          <w:szCs w:val="20"/>
          <w:color w:val="auto"/>
        </w:rPr>
      </w:pPr>
      <w:r>
        <w:rPr>
          <w:rFonts w:ascii="Arial" w:cs="Arial" w:eastAsia="Arial" w:hAnsi="Arial"/>
          <w:sz w:val="32"/>
          <w:szCs w:val="32"/>
          <w:color w:val="052B82"/>
        </w:rPr>
        <w:t>APPENDIX A</w:t>
      </w:r>
    </w:p>
    <w:p>
      <w:pPr>
        <w:spacing w:after="0" w:line="303"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9060" w:type="dxa"/>
            <w:vAlign w:val="bottom"/>
          </w:tcPr>
          <w:p>
            <w:pPr>
              <w:jc w:val="center"/>
              <w:ind w:left="1830"/>
              <w:spacing w:after="0"/>
              <w:rPr>
                <w:sz w:val="20"/>
                <w:szCs w:val="20"/>
                <w:color w:val="auto"/>
              </w:rPr>
            </w:pPr>
            <w:r>
              <w:rPr>
                <w:rFonts w:ascii="Arial" w:cs="Arial" w:eastAsia="Arial" w:hAnsi="Arial"/>
                <w:sz w:val="18"/>
                <w:szCs w:val="18"/>
                <w:b w:val="1"/>
                <w:bCs w:val="1"/>
                <w:color w:val="auto"/>
              </w:rPr>
              <w:t>Reconciliation of Non-GAAP to GAAP Revenue and Earnings Measures</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9060" w:type="dxa"/>
            <w:vAlign w:val="bottom"/>
          </w:tcPr>
          <w:p>
            <w:pPr>
              <w:jc w:val="center"/>
              <w:ind w:left="1830"/>
              <w:spacing w:after="0"/>
              <w:rPr>
                <w:sz w:val="20"/>
                <w:szCs w:val="20"/>
                <w:color w:val="auto"/>
              </w:rPr>
            </w:pPr>
            <w:r>
              <w:rPr>
                <w:rFonts w:ascii="Arial" w:cs="Arial" w:eastAsia="Arial" w:hAnsi="Arial"/>
                <w:sz w:val="18"/>
                <w:szCs w:val="18"/>
                <w:b w:val="1"/>
                <w:bCs w:val="1"/>
                <w:color w:val="auto"/>
                <w:w w:val="99"/>
              </w:rPr>
              <w:t>(In thousands, except per-share amounts)</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052B82"/>
          </w:tcPr>
          <w:p>
            <w:pPr>
              <w:spacing w:after="0"/>
              <w:rPr>
                <w:sz w:val="18"/>
                <w:szCs w:val="18"/>
                <w:color w:val="auto"/>
              </w:rPr>
            </w:pPr>
          </w:p>
        </w:tc>
        <w:tc>
          <w:tcPr>
            <w:tcW w:w="220" w:type="dxa"/>
            <w:vAlign w:val="bottom"/>
            <w:shd w:val="clear" w:color="auto" w:fill="052B82"/>
          </w:tcPr>
          <w:p>
            <w:pPr>
              <w:spacing w:after="0"/>
              <w:rPr>
                <w:sz w:val="18"/>
                <w:szCs w:val="18"/>
                <w:color w:val="auto"/>
              </w:rPr>
            </w:pPr>
          </w:p>
        </w:tc>
        <w:tc>
          <w:tcPr>
            <w:tcW w:w="1740" w:type="dxa"/>
            <w:vAlign w:val="bottom"/>
            <w:gridSpan w:val="5"/>
            <w:shd w:val="clear" w:color="auto" w:fill="052B82"/>
          </w:tcPr>
          <w:p>
            <w:pPr>
              <w:ind w:left="380"/>
              <w:spacing w:after="0"/>
              <w:rPr>
                <w:sz w:val="20"/>
                <w:szCs w:val="20"/>
                <w:color w:val="auto"/>
              </w:rPr>
            </w:pPr>
            <w:r>
              <w:rPr>
                <w:rFonts w:ascii="Arial" w:cs="Arial" w:eastAsia="Arial" w:hAnsi="Arial"/>
                <w:sz w:val="14"/>
                <w:szCs w:val="14"/>
                <w:b w:val="1"/>
                <w:bCs w:val="1"/>
                <w:color w:val="FFFFFF"/>
              </w:rPr>
              <w:t>Twelve Months</w:t>
            </w:r>
          </w:p>
        </w:tc>
        <w:tc>
          <w:tcPr>
            <w:tcW w:w="0" w:type="dxa"/>
            <w:vAlign w:val="bottom"/>
          </w:tcPr>
          <w:p>
            <w:pPr>
              <w:spacing w:after="0"/>
              <w:rPr>
                <w:sz w:val="1"/>
                <w:szCs w:val="1"/>
                <w:color w:val="auto"/>
              </w:rPr>
            </w:pPr>
          </w:p>
        </w:tc>
      </w:tr>
      <w:tr>
        <w:trPr>
          <w:trHeight w:val="190"/>
        </w:trPr>
        <w:tc>
          <w:tcPr>
            <w:tcW w:w="9060" w:type="dxa"/>
            <w:vAlign w:val="bottom"/>
            <w:shd w:val="clear" w:color="auto" w:fill="052B82"/>
          </w:tcPr>
          <w:p>
            <w:pPr>
              <w:spacing w:after="0"/>
              <w:rPr>
                <w:sz w:val="16"/>
                <w:szCs w:val="16"/>
                <w:color w:val="auto"/>
              </w:rPr>
            </w:pPr>
          </w:p>
        </w:tc>
        <w:tc>
          <w:tcPr>
            <w:tcW w:w="220" w:type="dxa"/>
            <w:vAlign w:val="bottom"/>
            <w:shd w:val="clear" w:color="auto" w:fill="052B82"/>
          </w:tcPr>
          <w:p>
            <w:pPr>
              <w:spacing w:after="0"/>
              <w:rPr>
                <w:sz w:val="16"/>
                <w:szCs w:val="16"/>
                <w:color w:val="auto"/>
              </w:rPr>
            </w:pPr>
          </w:p>
        </w:tc>
        <w:tc>
          <w:tcPr>
            <w:tcW w:w="380" w:type="dxa"/>
            <w:vAlign w:val="bottom"/>
            <w:shd w:val="clear" w:color="auto" w:fill="052B82"/>
          </w:tcPr>
          <w:p>
            <w:pPr>
              <w:spacing w:after="0"/>
              <w:rPr>
                <w:sz w:val="16"/>
                <w:szCs w:val="16"/>
                <w:color w:val="auto"/>
              </w:rPr>
            </w:pPr>
          </w:p>
        </w:tc>
        <w:tc>
          <w:tcPr>
            <w:tcW w:w="100" w:type="dxa"/>
            <w:vAlign w:val="bottom"/>
            <w:shd w:val="clear" w:color="auto" w:fill="052B82"/>
          </w:tcPr>
          <w:p>
            <w:pPr>
              <w:spacing w:after="0"/>
              <w:rPr>
                <w:sz w:val="16"/>
                <w:szCs w:val="16"/>
                <w:color w:val="auto"/>
              </w:rPr>
            </w:pPr>
          </w:p>
        </w:tc>
        <w:tc>
          <w:tcPr>
            <w:tcW w:w="1260" w:type="dxa"/>
            <w:vAlign w:val="bottom"/>
            <w:gridSpan w:val="3"/>
            <w:shd w:val="clear" w:color="auto" w:fill="052B82"/>
          </w:tcPr>
          <w:p>
            <w:pPr>
              <w:jc w:val="center"/>
              <w:ind w:right="460"/>
              <w:spacing w:after="0"/>
              <w:rPr>
                <w:sz w:val="20"/>
                <w:szCs w:val="20"/>
                <w:color w:val="auto"/>
              </w:rPr>
            </w:pPr>
            <w:r>
              <w:rPr>
                <w:rFonts w:ascii="Arial" w:cs="Arial" w:eastAsia="Arial" w:hAnsi="Arial"/>
                <w:sz w:val="14"/>
                <w:szCs w:val="14"/>
                <w:b w:val="1"/>
                <w:bCs w:val="1"/>
                <w:color w:val="FFFFFF"/>
              </w:rPr>
              <w:t>Ended</w:t>
            </w:r>
          </w:p>
        </w:tc>
        <w:tc>
          <w:tcPr>
            <w:tcW w:w="0" w:type="dxa"/>
            <w:vAlign w:val="bottom"/>
          </w:tcPr>
          <w:p>
            <w:pPr>
              <w:spacing w:after="0"/>
              <w:rPr>
                <w:sz w:val="1"/>
                <w:szCs w:val="1"/>
                <w:color w:val="auto"/>
              </w:rPr>
            </w:pPr>
          </w:p>
        </w:tc>
      </w:tr>
      <w:tr>
        <w:trPr>
          <w:trHeight w:val="215"/>
        </w:trPr>
        <w:tc>
          <w:tcPr>
            <w:tcW w:w="9060" w:type="dxa"/>
            <w:vAlign w:val="bottom"/>
            <w:shd w:val="clear" w:color="auto" w:fill="052B82"/>
          </w:tcPr>
          <w:p>
            <w:pPr>
              <w:spacing w:after="0"/>
              <w:rPr>
                <w:sz w:val="18"/>
                <w:szCs w:val="18"/>
                <w:color w:val="auto"/>
              </w:rPr>
            </w:pPr>
          </w:p>
        </w:tc>
        <w:tc>
          <w:tcPr>
            <w:tcW w:w="220" w:type="dxa"/>
            <w:vAlign w:val="bottom"/>
            <w:shd w:val="clear" w:color="auto" w:fill="052B82"/>
          </w:tcPr>
          <w:p>
            <w:pPr>
              <w:spacing w:after="0"/>
              <w:rPr>
                <w:sz w:val="18"/>
                <w:szCs w:val="18"/>
                <w:color w:val="auto"/>
              </w:rPr>
            </w:pPr>
          </w:p>
        </w:tc>
        <w:tc>
          <w:tcPr>
            <w:tcW w:w="380" w:type="dxa"/>
            <w:vAlign w:val="bottom"/>
            <w:shd w:val="clear" w:color="auto" w:fill="052B82"/>
          </w:tcPr>
          <w:p>
            <w:pPr>
              <w:spacing w:after="0"/>
              <w:rPr>
                <w:sz w:val="18"/>
                <w:szCs w:val="18"/>
                <w:color w:val="auto"/>
              </w:rPr>
            </w:pPr>
          </w:p>
        </w:tc>
        <w:tc>
          <w:tcPr>
            <w:tcW w:w="100" w:type="dxa"/>
            <w:vAlign w:val="bottom"/>
            <w:shd w:val="clear" w:color="auto" w:fill="052B82"/>
          </w:tcPr>
          <w:p>
            <w:pPr>
              <w:spacing w:after="0"/>
              <w:rPr>
                <w:sz w:val="18"/>
                <w:szCs w:val="18"/>
                <w:color w:val="auto"/>
              </w:rPr>
            </w:pPr>
          </w:p>
        </w:tc>
        <w:tc>
          <w:tcPr>
            <w:tcW w:w="1260" w:type="dxa"/>
            <w:vAlign w:val="bottom"/>
            <w:gridSpan w:val="3"/>
            <w:shd w:val="clear" w:color="auto" w:fill="052B82"/>
          </w:tcPr>
          <w:p>
            <w:pPr>
              <w:jc w:val="center"/>
              <w:ind w:right="440"/>
              <w:spacing w:after="0"/>
              <w:rPr>
                <w:sz w:val="20"/>
                <w:szCs w:val="20"/>
                <w:color w:val="auto"/>
              </w:rPr>
            </w:pPr>
            <w:r>
              <w:rPr>
                <w:rFonts w:ascii="Arial" w:cs="Arial" w:eastAsia="Arial" w:hAnsi="Arial"/>
                <w:sz w:val="14"/>
                <w:szCs w:val="14"/>
                <w:b w:val="1"/>
                <w:bCs w:val="1"/>
                <w:color w:val="FFFFFF"/>
              </w:rPr>
              <w:t>FY 19</w:t>
            </w:r>
          </w:p>
        </w:tc>
        <w:tc>
          <w:tcPr>
            <w:tcW w:w="0" w:type="dxa"/>
            <w:vAlign w:val="bottom"/>
          </w:tcPr>
          <w:p>
            <w:pPr>
              <w:spacing w:after="0"/>
              <w:rPr>
                <w:sz w:val="1"/>
                <w:szCs w:val="1"/>
                <w:color w:val="auto"/>
              </w:rPr>
            </w:pPr>
          </w:p>
        </w:tc>
      </w:tr>
      <w:tr>
        <w:trPr>
          <w:trHeight w:val="189"/>
        </w:trPr>
        <w:tc>
          <w:tcPr>
            <w:tcW w:w="9060" w:type="dxa"/>
            <w:vAlign w:val="bottom"/>
            <w:shd w:val="clear" w:color="auto" w:fill="052B82"/>
          </w:tcPr>
          <w:p>
            <w:pPr>
              <w:spacing w:after="0"/>
              <w:rPr>
                <w:sz w:val="16"/>
                <w:szCs w:val="16"/>
                <w:color w:val="auto"/>
              </w:rPr>
            </w:pPr>
          </w:p>
        </w:tc>
        <w:tc>
          <w:tcPr>
            <w:tcW w:w="220" w:type="dxa"/>
            <w:vAlign w:val="bottom"/>
            <w:shd w:val="clear" w:color="auto" w:fill="052B82"/>
          </w:tcPr>
          <w:p>
            <w:pPr>
              <w:spacing w:after="0"/>
              <w:rPr>
                <w:sz w:val="16"/>
                <w:szCs w:val="16"/>
                <w:color w:val="auto"/>
              </w:rPr>
            </w:pPr>
          </w:p>
        </w:tc>
        <w:tc>
          <w:tcPr>
            <w:tcW w:w="380" w:type="dxa"/>
            <w:vAlign w:val="bottom"/>
            <w:shd w:val="clear" w:color="auto" w:fill="052B82"/>
          </w:tcPr>
          <w:p>
            <w:pPr>
              <w:spacing w:after="0"/>
              <w:rPr>
                <w:sz w:val="16"/>
                <w:szCs w:val="16"/>
                <w:color w:val="auto"/>
              </w:rPr>
            </w:pPr>
          </w:p>
        </w:tc>
        <w:tc>
          <w:tcPr>
            <w:tcW w:w="100" w:type="dxa"/>
            <w:vAlign w:val="bottom"/>
            <w:shd w:val="clear" w:color="auto" w:fill="052B82"/>
          </w:tcPr>
          <w:p>
            <w:pPr>
              <w:spacing w:after="0"/>
              <w:rPr>
                <w:sz w:val="16"/>
                <w:szCs w:val="16"/>
                <w:color w:val="auto"/>
              </w:rPr>
            </w:pPr>
          </w:p>
        </w:tc>
        <w:tc>
          <w:tcPr>
            <w:tcW w:w="1260" w:type="dxa"/>
            <w:vAlign w:val="bottom"/>
            <w:gridSpan w:val="3"/>
            <w:shd w:val="clear" w:color="auto" w:fill="052B82"/>
          </w:tcPr>
          <w:p>
            <w:pPr>
              <w:jc w:val="center"/>
              <w:ind w:right="440"/>
              <w:spacing w:after="0"/>
              <w:rPr>
                <w:sz w:val="20"/>
                <w:szCs w:val="20"/>
                <w:color w:val="auto"/>
              </w:rPr>
            </w:pPr>
            <w:r>
              <w:rPr>
                <w:rFonts w:ascii="Arial" w:cs="Arial" w:eastAsia="Arial" w:hAnsi="Arial"/>
                <w:sz w:val="14"/>
                <w:szCs w:val="14"/>
                <w:b w:val="1"/>
                <w:bCs w:val="1"/>
                <w:color w:val="FFFFFF"/>
              </w:rPr>
              <w:t>Nov. 2, 2019</w:t>
            </w:r>
          </w:p>
        </w:tc>
        <w:tc>
          <w:tcPr>
            <w:tcW w:w="0" w:type="dxa"/>
            <w:vAlign w:val="bottom"/>
          </w:tcPr>
          <w:p>
            <w:pPr>
              <w:spacing w:after="0"/>
              <w:rPr>
                <w:sz w:val="1"/>
                <w:szCs w:val="1"/>
                <w:color w:val="auto"/>
              </w:rPr>
            </w:pPr>
          </w:p>
        </w:tc>
      </w:tr>
      <w:tr>
        <w:trPr>
          <w:trHeight w:val="203"/>
        </w:trPr>
        <w:tc>
          <w:tcPr>
            <w:tcW w:w="9060" w:type="dxa"/>
            <w:vAlign w:val="bottom"/>
          </w:tcPr>
          <w:p>
            <w:pPr>
              <w:ind w:left="80"/>
              <w:spacing w:after="0" w:line="202" w:lineRule="exact"/>
              <w:rPr>
                <w:sz w:val="20"/>
                <w:szCs w:val="20"/>
                <w:color w:val="auto"/>
              </w:rPr>
            </w:pPr>
            <w:r>
              <w:rPr>
                <w:rFonts w:ascii="Arial" w:cs="Arial" w:eastAsia="Arial" w:hAnsi="Arial"/>
                <w:sz w:val="18"/>
                <w:szCs w:val="18"/>
                <w:color w:val="auto"/>
              </w:rPr>
              <w:t>GAAP Gross Margin</w:t>
            </w:r>
          </w:p>
        </w:tc>
        <w:tc>
          <w:tcPr>
            <w:tcW w:w="220" w:type="dxa"/>
            <w:vAlign w:val="bottom"/>
          </w:tcPr>
          <w:p>
            <w:pPr>
              <w:spacing w:after="0"/>
              <w:rPr>
                <w:sz w:val="17"/>
                <w:szCs w:val="17"/>
                <w:color w:val="auto"/>
              </w:rPr>
            </w:pPr>
          </w:p>
        </w:tc>
        <w:tc>
          <w:tcPr>
            <w:tcW w:w="480" w:type="dxa"/>
            <w:vAlign w:val="bottom"/>
            <w:gridSpan w:val="2"/>
          </w:tcPr>
          <w:p>
            <w:pPr>
              <w:ind w:left="38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4,013,750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60" w:type="dxa"/>
            <w:vAlign w:val="bottom"/>
            <w:shd w:val="clear" w:color="auto" w:fill="E8EDF4"/>
          </w:tcPr>
          <w:p>
            <w:pPr>
              <w:ind w:left="340"/>
              <w:spacing w:after="0" w:line="202" w:lineRule="exact"/>
              <w:rPr>
                <w:sz w:val="20"/>
                <w:szCs w:val="20"/>
                <w:color w:val="auto"/>
              </w:rPr>
            </w:pPr>
            <w:r>
              <w:rPr>
                <w:rFonts w:ascii="Arial" w:cs="Arial" w:eastAsia="Arial" w:hAnsi="Arial"/>
                <w:sz w:val="18"/>
                <w:szCs w:val="18"/>
                <w:i w:val="1"/>
                <w:iCs w:val="1"/>
                <w:color w:val="auto"/>
              </w:rPr>
              <w:t>Gross Margin Percentage</w:t>
            </w:r>
          </w:p>
        </w:tc>
        <w:tc>
          <w:tcPr>
            <w:tcW w:w="220" w:type="dxa"/>
            <w:vAlign w:val="bottom"/>
            <w:shd w:val="clear" w:color="auto" w:fill="E8EDF4"/>
          </w:tcPr>
          <w:p>
            <w:pPr>
              <w:spacing w:after="0"/>
              <w:rPr>
                <w:sz w:val="17"/>
                <w:szCs w:val="17"/>
                <w:color w:val="auto"/>
              </w:rPr>
            </w:pPr>
          </w:p>
        </w:tc>
        <w:tc>
          <w:tcPr>
            <w:tcW w:w="380" w:type="dxa"/>
            <w:vAlign w:val="bottom"/>
            <w:shd w:val="clear" w:color="auto" w:fill="E8EDF4"/>
          </w:tcPr>
          <w:p>
            <w:pPr>
              <w:spacing w:after="0"/>
              <w:rPr>
                <w:sz w:val="17"/>
                <w:szCs w:val="17"/>
                <w:color w:val="auto"/>
              </w:rPr>
            </w:pPr>
          </w:p>
        </w:tc>
        <w:tc>
          <w:tcPr>
            <w:tcW w:w="100" w:type="dxa"/>
            <w:vAlign w:val="bottom"/>
            <w:shd w:val="clear" w:color="auto" w:fill="E8EDF4"/>
          </w:tcPr>
          <w:p>
            <w:pPr>
              <w:spacing w:after="0"/>
              <w:rPr>
                <w:sz w:val="17"/>
                <w:szCs w:val="17"/>
                <w:color w:val="auto"/>
              </w:rPr>
            </w:pPr>
          </w:p>
        </w:tc>
        <w:tc>
          <w:tcPr>
            <w:tcW w:w="1260" w:type="dxa"/>
            <w:vAlign w:val="bottom"/>
            <w:gridSpan w:val="3"/>
            <w:shd w:val="clear" w:color="auto" w:fill="E8EDF4"/>
          </w:tcPr>
          <w:p>
            <w:pPr>
              <w:jc w:val="right"/>
              <w:ind w:right="180"/>
              <w:spacing w:after="0" w:line="202" w:lineRule="exact"/>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10"/>
        </w:trPr>
        <w:tc>
          <w:tcPr>
            <w:tcW w:w="9060" w:type="dxa"/>
            <w:vAlign w:val="bottom"/>
          </w:tcPr>
          <w:p>
            <w:pPr>
              <w:ind w:left="700"/>
              <w:spacing w:after="0" w:line="202" w:lineRule="exact"/>
              <w:rPr>
                <w:sz w:val="20"/>
                <w:szCs w:val="20"/>
                <w:color w:val="auto"/>
              </w:rPr>
            </w:pPr>
            <w:r>
              <w:rPr>
                <w:rFonts w:ascii="Arial" w:cs="Arial" w:eastAsia="Arial" w:hAnsi="Arial"/>
                <w:sz w:val="18"/>
                <w:szCs w:val="18"/>
                <w:color w:val="auto"/>
              </w:rPr>
              <w:t>Acquisition Related Expenses</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175,266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060" w:type="dxa"/>
            <w:vAlign w:val="bottom"/>
            <w:shd w:val="clear" w:color="auto" w:fill="E8EDF4"/>
          </w:tcPr>
          <w:p>
            <w:pPr>
              <w:ind w:left="80"/>
              <w:spacing w:after="0" w:line="202" w:lineRule="exact"/>
              <w:rPr>
                <w:sz w:val="20"/>
                <w:szCs w:val="20"/>
                <w:color w:val="auto"/>
              </w:rPr>
            </w:pPr>
            <w:r>
              <w:rPr>
                <w:rFonts w:ascii="Arial" w:cs="Arial" w:eastAsia="Arial" w:hAnsi="Arial"/>
                <w:sz w:val="18"/>
                <w:szCs w:val="18"/>
                <w:color w:val="auto"/>
              </w:rPr>
              <w:t>Non-GAAP Gross Margin</w:t>
            </w:r>
          </w:p>
        </w:tc>
        <w:tc>
          <w:tcPr>
            <w:tcW w:w="220" w:type="dxa"/>
            <w:vAlign w:val="bottom"/>
            <w:shd w:val="clear" w:color="auto" w:fill="E8EDF4"/>
          </w:tcPr>
          <w:p>
            <w:pPr>
              <w:spacing w:after="0"/>
              <w:rPr>
                <w:sz w:val="19"/>
                <w:szCs w:val="19"/>
                <w:color w:val="auto"/>
              </w:rPr>
            </w:pPr>
          </w:p>
        </w:tc>
        <w:tc>
          <w:tcPr>
            <w:tcW w:w="480" w:type="dxa"/>
            <w:vAlign w:val="bottom"/>
            <w:gridSpan w:val="2"/>
            <w:shd w:val="clear" w:color="auto" w:fill="E8EDF4"/>
          </w:tcPr>
          <w:p>
            <w:pPr>
              <w:ind w:left="38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E8EDF4"/>
          </w:tcPr>
          <w:p>
            <w:pPr>
              <w:jc w:val="right"/>
              <w:spacing w:after="0" w:line="202" w:lineRule="exact"/>
              <w:rPr>
                <w:sz w:val="20"/>
                <w:szCs w:val="20"/>
                <w:color w:val="auto"/>
              </w:rPr>
            </w:pPr>
            <w:r>
              <w:rPr>
                <w:rFonts w:ascii="Arial" w:cs="Arial" w:eastAsia="Arial" w:hAnsi="Arial"/>
                <w:sz w:val="18"/>
                <w:szCs w:val="18"/>
                <w:color w:val="auto"/>
              </w:rPr>
              <w:t>4,189,016</w:t>
            </w:r>
          </w:p>
        </w:tc>
        <w:tc>
          <w:tcPr>
            <w:tcW w:w="120" w:type="dxa"/>
            <w:vAlign w:val="bottom"/>
            <w:shd w:val="clear" w:color="auto" w:fill="E8EDF4"/>
          </w:tcPr>
          <w:p>
            <w:pPr>
              <w:spacing w:after="0"/>
              <w:rPr>
                <w:sz w:val="19"/>
                <w:szCs w:val="19"/>
                <w:color w:val="auto"/>
              </w:rPr>
            </w:pPr>
          </w:p>
        </w:tc>
        <w:tc>
          <w:tcPr>
            <w:tcW w:w="220" w:type="dxa"/>
            <w:vAlign w:val="bottom"/>
            <w:shd w:val="clear" w:color="auto" w:fill="E8EDF4"/>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60" w:type="dxa"/>
            <w:vAlign w:val="bottom"/>
            <w:tcBorders>
              <w:top w:val="single" w:sz="8" w:color="E8EDF4"/>
            </w:tcBorders>
            <w:shd w:val="clear" w:color="auto" w:fill="E8EDF4"/>
          </w:tcPr>
          <w:p>
            <w:pPr>
              <w:spacing w:after="0" w:line="20" w:lineRule="exact"/>
              <w:rPr>
                <w:sz w:val="1"/>
                <w:szCs w:val="1"/>
                <w:color w:val="auto"/>
              </w:rPr>
            </w:pPr>
          </w:p>
        </w:tc>
        <w:tc>
          <w:tcPr>
            <w:tcW w:w="220" w:type="dxa"/>
            <w:vAlign w:val="bottom"/>
            <w:tcBorders>
              <w:top w:val="single" w:sz="8" w:color="E8EDF4"/>
            </w:tcBorders>
            <w:shd w:val="clear" w:color="auto" w:fill="E8EDF4"/>
          </w:tcPr>
          <w:p>
            <w:pPr>
              <w:spacing w:after="0" w:line="20" w:lineRule="exact"/>
              <w:rPr>
                <w:sz w:val="1"/>
                <w:szCs w:val="1"/>
                <w:color w:val="auto"/>
              </w:rPr>
            </w:pPr>
          </w:p>
        </w:tc>
        <w:tc>
          <w:tcPr>
            <w:tcW w:w="380" w:type="dxa"/>
            <w:vAlign w:val="bottom"/>
            <w:tcBorders>
              <w:top w:val="single" w:sz="8" w:color="E8EDF4"/>
            </w:tcBorders>
            <w:shd w:val="clear" w:color="auto" w:fill="E8EDF4"/>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8EDF4"/>
            </w:tcBorders>
            <w:shd w:val="clear" w:color="auto" w:fill="E8EDF4"/>
          </w:tcPr>
          <w:p>
            <w:pPr>
              <w:spacing w:after="0" w:line="20" w:lineRule="exact"/>
              <w:rPr>
                <w:sz w:val="1"/>
                <w:szCs w:val="1"/>
                <w:color w:val="auto"/>
              </w:rPr>
            </w:pPr>
          </w:p>
        </w:tc>
        <w:tc>
          <w:tcPr>
            <w:tcW w:w="220" w:type="dxa"/>
            <w:vAlign w:val="bottom"/>
            <w:tcBorders>
              <w:top w:val="single" w:sz="8" w:color="E8EDF4"/>
            </w:tcBorders>
            <w:shd w:val="clear" w:color="auto" w:fill="E8EDF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060" w:type="dxa"/>
            <w:vAlign w:val="bottom"/>
          </w:tcPr>
          <w:p>
            <w:pPr>
              <w:ind w:left="340"/>
              <w:spacing w:after="0" w:line="196" w:lineRule="exact"/>
              <w:rPr>
                <w:sz w:val="20"/>
                <w:szCs w:val="20"/>
                <w:color w:val="auto"/>
              </w:rPr>
            </w:pPr>
            <w:r>
              <w:rPr>
                <w:rFonts w:ascii="Arial" w:cs="Arial" w:eastAsia="Arial" w:hAnsi="Arial"/>
                <w:sz w:val="18"/>
                <w:szCs w:val="18"/>
                <w:i w:val="1"/>
                <w:iCs w:val="1"/>
                <w:color w:val="auto"/>
              </w:rPr>
              <w:t>Gross Margin Percentage</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3"/>
          </w:tcPr>
          <w:p>
            <w:pPr>
              <w:jc w:val="right"/>
              <w:ind w:right="180"/>
              <w:spacing w:after="0" w:line="196" w:lineRule="exact"/>
              <w:rPr>
                <w:sz w:val="20"/>
                <w:szCs w:val="20"/>
                <w:color w:val="auto"/>
              </w:rPr>
            </w:pPr>
            <w:r>
              <w:rPr>
                <w:rFonts w:ascii="Arial" w:cs="Arial" w:eastAsia="Arial" w:hAnsi="Arial"/>
                <w:sz w:val="18"/>
                <w:szCs w:val="18"/>
                <w:i w:val="1"/>
                <w:iCs w:val="1"/>
                <w:color w:val="auto"/>
              </w:rPr>
              <w:t>69.9%</w:t>
            </w:r>
          </w:p>
        </w:tc>
        <w:tc>
          <w:tcPr>
            <w:tcW w:w="0" w:type="dxa"/>
            <w:vAlign w:val="bottom"/>
          </w:tcPr>
          <w:p>
            <w:pPr>
              <w:spacing w:after="0"/>
              <w:rPr>
                <w:sz w:val="1"/>
                <w:szCs w:val="1"/>
                <w:color w:val="auto"/>
              </w:rPr>
            </w:pPr>
          </w:p>
        </w:tc>
      </w:tr>
      <w:tr>
        <w:trPr>
          <w:trHeight w:val="203"/>
        </w:trPr>
        <w:tc>
          <w:tcPr>
            <w:tcW w:w="9060" w:type="dxa"/>
            <w:vAlign w:val="bottom"/>
            <w:shd w:val="clear" w:color="auto" w:fill="E8EDF4"/>
          </w:tcPr>
          <w:p>
            <w:pPr>
              <w:ind w:left="80"/>
              <w:spacing w:after="0" w:line="202" w:lineRule="exact"/>
              <w:rPr>
                <w:sz w:val="20"/>
                <w:szCs w:val="20"/>
                <w:color w:val="auto"/>
              </w:rPr>
            </w:pPr>
            <w:r>
              <w:rPr>
                <w:rFonts w:ascii="Arial" w:cs="Arial" w:eastAsia="Arial" w:hAnsi="Arial"/>
                <w:sz w:val="18"/>
                <w:szCs w:val="18"/>
                <w:color w:val="auto"/>
              </w:rPr>
              <w:t>GAAP Operating Income/Margin</w:t>
            </w:r>
          </w:p>
        </w:tc>
        <w:tc>
          <w:tcPr>
            <w:tcW w:w="700" w:type="dxa"/>
            <w:vAlign w:val="bottom"/>
            <w:gridSpan w:val="3"/>
            <w:shd w:val="clear" w:color="auto" w:fill="E8EDF4"/>
          </w:tcPr>
          <w:p>
            <w:pPr>
              <w:ind w:left="60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E8EDF4"/>
          </w:tcPr>
          <w:p>
            <w:pPr>
              <w:jc w:val="right"/>
              <w:spacing w:after="0" w:line="202" w:lineRule="exact"/>
              <w:rPr>
                <w:sz w:val="20"/>
                <w:szCs w:val="20"/>
                <w:color w:val="auto"/>
              </w:rPr>
            </w:pPr>
            <w:r>
              <w:rPr>
                <w:rFonts w:ascii="Arial" w:cs="Arial" w:eastAsia="Arial" w:hAnsi="Arial"/>
                <w:sz w:val="18"/>
                <w:szCs w:val="18"/>
                <w:color w:val="auto"/>
              </w:rPr>
              <w:t>1,710,608</w:t>
            </w:r>
          </w:p>
        </w:tc>
        <w:tc>
          <w:tcPr>
            <w:tcW w:w="120" w:type="dxa"/>
            <w:vAlign w:val="bottom"/>
            <w:shd w:val="clear" w:color="auto" w:fill="E8EDF4"/>
          </w:tcPr>
          <w:p>
            <w:pPr>
              <w:spacing w:after="0"/>
              <w:rPr>
                <w:sz w:val="17"/>
                <w:szCs w:val="17"/>
                <w:color w:val="auto"/>
              </w:rPr>
            </w:pPr>
          </w:p>
        </w:tc>
        <w:tc>
          <w:tcPr>
            <w:tcW w:w="220" w:type="dxa"/>
            <w:vAlign w:val="bottom"/>
            <w:shd w:val="clear" w:color="auto" w:fill="E8EDF4"/>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60" w:type="dxa"/>
            <w:vAlign w:val="bottom"/>
          </w:tcPr>
          <w:p>
            <w:pPr>
              <w:ind w:left="340"/>
              <w:spacing w:after="0" w:line="202" w:lineRule="exact"/>
              <w:rPr>
                <w:sz w:val="20"/>
                <w:szCs w:val="20"/>
                <w:color w:val="auto"/>
              </w:rPr>
            </w:pPr>
            <w:r>
              <w:rPr>
                <w:rFonts w:ascii="Arial" w:cs="Arial" w:eastAsia="Arial" w:hAnsi="Arial"/>
                <w:sz w:val="18"/>
                <w:szCs w:val="18"/>
                <w:i w:val="1"/>
                <w:iCs w:val="1"/>
                <w:color w:val="auto"/>
              </w:rPr>
              <w:t>Percent of Revenue</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3"/>
          </w:tcPr>
          <w:p>
            <w:pPr>
              <w:jc w:val="right"/>
              <w:ind w:right="180"/>
              <w:spacing w:after="0" w:line="202" w:lineRule="exact"/>
              <w:rPr>
                <w:sz w:val="20"/>
                <w:szCs w:val="20"/>
                <w:color w:val="auto"/>
              </w:rPr>
            </w:pPr>
            <w:r>
              <w:rPr>
                <w:rFonts w:ascii="Arial" w:cs="Arial" w:eastAsia="Arial" w:hAnsi="Arial"/>
                <w:sz w:val="18"/>
                <w:szCs w:val="18"/>
                <w:i w:val="1"/>
                <w:iCs w:val="1"/>
                <w:color w:val="auto"/>
              </w:rPr>
              <w:t>28.6%</w:t>
            </w:r>
          </w:p>
        </w:tc>
        <w:tc>
          <w:tcPr>
            <w:tcW w:w="0" w:type="dxa"/>
            <w:vAlign w:val="bottom"/>
          </w:tcPr>
          <w:p>
            <w:pPr>
              <w:spacing w:after="0"/>
              <w:rPr>
                <w:sz w:val="1"/>
                <w:szCs w:val="1"/>
                <w:color w:val="auto"/>
              </w:rPr>
            </w:pPr>
          </w:p>
        </w:tc>
      </w:tr>
      <w:tr>
        <w:trPr>
          <w:trHeight w:val="203"/>
        </w:trPr>
        <w:tc>
          <w:tcPr>
            <w:tcW w:w="9060" w:type="dxa"/>
            <w:vAlign w:val="bottom"/>
            <w:shd w:val="clear" w:color="auto" w:fill="E8EDF4"/>
          </w:tcPr>
          <w:p>
            <w:pPr>
              <w:ind w:left="700"/>
              <w:spacing w:after="0" w:line="202" w:lineRule="exact"/>
              <w:rPr>
                <w:sz w:val="20"/>
                <w:szCs w:val="20"/>
                <w:color w:val="auto"/>
              </w:rPr>
            </w:pPr>
            <w:r>
              <w:rPr>
                <w:rFonts w:ascii="Arial" w:cs="Arial" w:eastAsia="Arial" w:hAnsi="Arial"/>
                <w:sz w:val="18"/>
                <w:szCs w:val="18"/>
                <w:color w:val="auto"/>
              </w:rPr>
              <w:t>Acquisition Related Expenses</w:t>
            </w:r>
          </w:p>
        </w:tc>
        <w:tc>
          <w:tcPr>
            <w:tcW w:w="220" w:type="dxa"/>
            <w:vAlign w:val="bottom"/>
            <w:shd w:val="clear" w:color="auto" w:fill="E8EDF4"/>
          </w:tcPr>
          <w:p>
            <w:pPr>
              <w:spacing w:after="0"/>
              <w:rPr>
                <w:sz w:val="17"/>
                <w:szCs w:val="17"/>
                <w:color w:val="auto"/>
              </w:rPr>
            </w:pPr>
          </w:p>
        </w:tc>
        <w:tc>
          <w:tcPr>
            <w:tcW w:w="380" w:type="dxa"/>
            <w:vAlign w:val="bottom"/>
            <w:shd w:val="clear" w:color="auto" w:fill="E8EDF4"/>
          </w:tcPr>
          <w:p>
            <w:pPr>
              <w:spacing w:after="0"/>
              <w:rPr>
                <w:sz w:val="17"/>
                <w:szCs w:val="17"/>
                <w:color w:val="auto"/>
              </w:rPr>
            </w:pPr>
          </w:p>
        </w:tc>
        <w:tc>
          <w:tcPr>
            <w:tcW w:w="100" w:type="dxa"/>
            <w:vAlign w:val="bottom"/>
            <w:shd w:val="clear" w:color="auto" w:fill="E8EDF4"/>
          </w:tcPr>
          <w:p>
            <w:pPr>
              <w:spacing w:after="0"/>
              <w:rPr>
                <w:sz w:val="17"/>
                <w:szCs w:val="17"/>
                <w:color w:val="auto"/>
              </w:rPr>
            </w:pPr>
          </w:p>
        </w:tc>
        <w:tc>
          <w:tcPr>
            <w:tcW w:w="920" w:type="dxa"/>
            <w:vAlign w:val="bottom"/>
            <w:shd w:val="clear" w:color="auto" w:fill="E8EDF4"/>
          </w:tcPr>
          <w:p>
            <w:pPr>
              <w:jc w:val="right"/>
              <w:spacing w:after="0" w:line="202" w:lineRule="exact"/>
              <w:rPr>
                <w:sz w:val="20"/>
                <w:szCs w:val="20"/>
                <w:color w:val="auto"/>
              </w:rPr>
            </w:pPr>
            <w:r>
              <w:rPr>
                <w:rFonts w:ascii="Arial" w:cs="Arial" w:eastAsia="Arial" w:hAnsi="Arial"/>
                <w:sz w:val="18"/>
                <w:szCs w:val="18"/>
                <w:color w:val="auto"/>
              </w:rPr>
              <w:t>626,777</w:t>
            </w:r>
          </w:p>
        </w:tc>
        <w:tc>
          <w:tcPr>
            <w:tcW w:w="120" w:type="dxa"/>
            <w:vAlign w:val="bottom"/>
            <w:shd w:val="clear" w:color="auto" w:fill="E8EDF4"/>
          </w:tcPr>
          <w:p>
            <w:pPr>
              <w:spacing w:after="0"/>
              <w:rPr>
                <w:sz w:val="17"/>
                <w:szCs w:val="17"/>
                <w:color w:val="auto"/>
              </w:rPr>
            </w:pPr>
          </w:p>
        </w:tc>
        <w:tc>
          <w:tcPr>
            <w:tcW w:w="220" w:type="dxa"/>
            <w:vAlign w:val="bottom"/>
            <w:shd w:val="clear" w:color="auto" w:fill="E8EDF4"/>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060" w:type="dxa"/>
            <w:vAlign w:val="bottom"/>
          </w:tcPr>
          <w:p>
            <w:pPr>
              <w:ind w:left="700"/>
              <w:spacing w:after="0" w:line="202" w:lineRule="exact"/>
              <w:rPr>
                <w:sz w:val="20"/>
                <w:szCs w:val="20"/>
                <w:color w:val="auto"/>
              </w:rPr>
            </w:pPr>
            <w:r>
              <w:rPr>
                <w:rFonts w:ascii="Arial" w:cs="Arial" w:eastAsia="Arial" w:hAnsi="Arial"/>
                <w:sz w:val="18"/>
                <w:szCs w:val="18"/>
                <w:color w:val="auto"/>
              </w:rPr>
              <w:t>Restructuring Related Expense</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95,659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060" w:type="dxa"/>
            <w:vAlign w:val="bottom"/>
            <w:shd w:val="clear" w:color="auto" w:fill="E8EDF4"/>
          </w:tcPr>
          <w:p>
            <w:pPr>
              <w:ind w:left="80"/>
              <w:spacing w:after="0" w:line="202" w:lineRule="exact"/>
              <w:rPr>
                <w:sz w:val="20"/>
                <w:szCs w:val="20"/>
                <w:color w:val="auto"/>
              </w:rPr>
            </w:pPr>
            <w:r>
              <w:rPr>
                <w:rFonts w:ascii="Arial" w:cs="Arial" w:eastAsia="Arial" w:hAnsi="Arial"/>
                <w:sz w:val="18"/>
                <w:szCs w:val="18"/>
                <w:color w:val="auto"/>
              </w:rPr>
              <w:t>Non-GAAP Operating Income/Margin</w:t>
            </w:r>
          </w:p>
        </w:tc>
        <w:tc>
          <w:tcPr>
            <w:tcW w:w="220" w:type="dxa"/>
            <w:vAlign w:val="bottom"/>
            <w:shd w:val="clear" w:color="auto" w:fill="E8EDF4"/>
          </w:tcPr>
          <w:p>
            <w:pPr>
              <w:spacing w:after="0"/>
              <w:rPr>
                <w:sz w:val="19"/>
                <w:szCs w:val="19"/>
                <w:color w:val="auto"/>
              </w:rPr>
            </w:pPr>
          </w:p>
        </w:tc>
        <w:tc>
          <w:tcPr>
            <w:tcW w:w="480" w:type="dxa"/>
            <w:vAlign w:val="bottom"/>
            <w:gridSpan w:val="2"/>
            <w:shd w:val="clear" w:color="auto" w:fill="E8EDF4"/>
          </w:tcPr>
          <w:p>
            <w:pPr>
              <w:ind w:left="38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E8EDF4"/>
          </w:tcPr>
          <w:p>
            <w:pPr>
              <w:jc w:val="right"/>
              <w:spacing w:after="0" w:line="202" w:lineRule="exact"/>
              <w:rPr>
                <w:sz w:val="20"/>
                <w:szCs w:val="20"/>
                <w:color w:val="auto"/>
              </w:rPr>
            </w:pPr>
            <w:r>
              <w:rPr>
                <w:rFonts w:ascii="Arial" w:cs="Arial" w:eastAsia="Arial" w:hAnsi="Arial"/>
                <w:sz w:val="18"/>
                <w:szCs w:val="18"/>
                <w:color w:val="auto"/>
              </w:rPr>
              <w:t>2,433,044</w:t>
            </w:r>
          </w:p>
        </w:tc>
        <w:tc>
          <w:tcPr>
            <w:tcW w:w="120" w:type="dxa"/>
            <w:vAlign w:val="bottom"/>
            <w:shd w:val="clear" w:color="auto" w:fill="E8EDF4"/>
          </w:tcPr>
          <w:p>
            <w:pPr>
              <w:spacing w:after="0"/>
              <w:rPr>
                <w:sz w:val="19"/>
                <w:szCs w:val="19"/>
                <w:color w:val="auto"/>
              </w:rPr>
            </w:pPr>
          </w:p>
        </w:tc>
        <w:tc>
          <w:tcPr>
            <w:tcW w:w="220" w:type="dxa"/>
            <w:vAlign w:val="bottom"/>
            <w:shd w:val="clear" w:color="auto" w:fill="E8EDF4"/>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60" w:type="dxa"/>
            <w:vAlign w:val="bottom"/>
            <w:tcBorders>
              <w:top w:val="single" w:sz="8" w:color="E8EDF4"/>
            </w:tcBorders>
            <w:shd w:val="clear" w:color="auto" w:fill="E8EDF4"/>
          </w:tcPr>
          <w:p>
            <w:pPr>
              <w:spacing w:after="0" w:line="20" w:lineRule="exact"/>
              <w:rPr>
                <w:sz w:val="1"/>
                <w:szCs w:val="1"/>
                <w:color w:val="auto"/>
              </w:rPr>
            </w:pPr>
          </w:p>
        </w:tc>
        <w:tc>
          <w:tcPr>
            <w:tcW w:w="220" w:type="dxa"/>
            <w:vAlign w:val="bottom"/>
            <w:tcBorders>
              <w:top w:val="single" w:sz="8" w:color="E8EDF4"/>
            </w:tcBorders>
            <w:shd w:val="clear" w:color="auto" w:fill="E8EDF4"/>
          </w:tcPr>
          <w:p>
            <w:pPr>
              <w:spacing w:after="0" w:line="20" w:lineRule="exact"/>
              <w:rPr>
                <w:sz w:val="1"/>
                <w:szCs w:val="1"/>
                <w:color w:val="auto"/>
              </w:rPr>
            </w:pPr>
          </w:p>
        </w:tc>
        <w:tc>
          <w:tcPr>
            <w:tcW w:w="380" w:type="dxa"/>
            <w:vAlign w:val="bottom"/>
            <w:tcBorders>
              <w:top w:val="single" w:sz="8" w:color="E8EDF4"/>
            </w:tcBorders>
            <w:shd w:val="clear" w:color="auto" w:fill="E8EDF4"/>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8EDF4"/>
            </w:tcBorders>
            <w:shd w:val="clear" w:color="auto" w:fill="E8EDF4"/>
          </w:tcPr>
          <w:p>
            <w:pPr>
              <w:spacing w:after="0" w:line="20" w:lineRule="exact"/>
              <w:rPr>
                <w:sz w:val="1"/>
                <w:szCs w:val="1"/>
                <w:color w:val="auto"/>
              </w:rPr>
            </w:pPr>
          </w:p>
        </w:tc>
        <w:tc>
          <w:tcPr>
            <w:tcW w:w="220" w:type="dxa"/>
            <w:vAlign w:val="bottom"/>
            <w:tcBorders>
              <w:top w:val="single" w:sz="8" w:color="E8EDF4"/>
            </w:tcBorders>
            <w:shd w:val="clear" w:color="auto" w:fill="E8EDF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060" w:type="dxa"/>
            <w:vAlign w:val="bottom"/>
          </w:tcPr>
          <w:p>
            <w:pPr>
              <w:ind w:left="340"/>
              <w:spacing w:after="0" w:line="196" w:lineRule="exact"/>
              <w:rPr>
                <w:sz w:val="20"/>
                <w:szCs w:val="20"/>
                <w:color w:val="auto"/>
              </w:rPr>
            </w:pPr>
            <w:r>
              <w:rPr>
                <w:rFonts w:ascii="Arial" w:cs="Arial" w:eastAsia="Arial" w:hAnsi="Arial"/>
                <w:sz w:val="18"/>
                <w:szCs w:val="18"/>
                <w:i w:val="1"/>
                <w:iCs w:val="1"/>
                <w:color w:val="auto"/>
              </w:rPr>
              <w:t>Percent of Revenue</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3"/>
          </w:tcPr>
          <w:p>
            <w:pPr>
              <w:jc w:val="right"/>
              <w:ind w:right="180"/>
              <w:spacing w:after="0" w:line="196" w:lineRule="exact"/>
              <w:rPr>
                <w:sz w:val="20"/>
                <w:szCs w:val="20"/>
                <w:color w:val="auto"/>
              </w:rPr>
            </w:pPr>
            <w:r>
              <w:rPr>
                <w:rFonts w:ascii="Arial" w:cs="Arial" w:eastAsia="Arial" w:hAnsi="Arial"/>
                <w:sz w:val="18"/>
                <w:szCs w:val="18"/>
                <w:i w:val="1"/>
                <w:iCs w:val="1"/>
                <w:color w:val="auto"/>
              </w:rPr>
              <w:t>40.6%</w:t>
            </w:r>
          </w:p>
        </w:tc>
        <w:tc>
          <w:tcPr>
            <w:tcW w:w="0" w:type="dxa"/>
            <w:vAlign w:val="bottom"/>
          </w:tcPr>
          <w:p>
            <w:pPr>
              <w:spacing w:after="0"/>
              <w:rPr>
                <w:sz w:val="1"/>
                <w:szCs w:val="1"/>
                <w:color w:val="auto"/>
              </w:rPr>
            </w:pPr>
          </w:p>
        </w:tc>
      </w:tr>
      <w:tr>
        <w:trPr>
          <w:trHeight w:val="203"/>
        </w:trPr>
        <w:tc>
          <w:tcPr>
            <w:tcW w:w="9060" w:type="dxa"/>
            <w:vAlign w:val="bottom"/>
            <w:shd w:val="clear" w:color="auto" w:fill="E8EDF4"/>
          </w:tcPr>
          <w:p>
            <w:pPr>
              <w:ind w:left="80"/>
              <w:spacing w:after="0" w:line="202" w:lineRule="exact"/>
              <w:rPr>
                <w:sz w:val="20"/>
                <w:szCs w:val="20"/>
                <w:color w:val="auto"/>
              </w:rPr>
            </w:pPr>
            <w:r>
              <w:rPr>
                <w:rFonts w:ascii="Arial" w:cs="Arial" w:eastAsia="Arial" w:hAnsi="Arial"/>
                <w:sz w:val="18"/>
                <w:szCs w:val="18"/>
                <w:b w:val="1"/>
                <w:bCs w:val="1"/>
                <w:color w:val="auto"/>
              </w:rPr>
              <w:t>GAAP Diluted EPS</w:t>
            </w:r>
          </w:p>
        </w:tc>
        <w:tc>
          <w:tcPr>
            <w:tcW w:w="700" w:type="dxa"/>
            <w:vAlign w:val="bottom"/>
            <w:gridSpan w:val="3"/>
            <w:shd w:val="clear" w:color="auto" w:fill="E8EDF4"/>
          </w:tcPr>
          <w:p>
            <w:pPr>
              <w:ind w:left="600"/>
              <w:spacing w:after="0" w:line="202" w:lineRule="exact"/>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E8EDF4"/>
          </w:tcPr>
          <w:p>
            <w:pPr>
              <w:jc w:val="right"/>
              <w:spacing w:after="0" w:line="202" w:lineRule="exact"/>
              <w:rPr>
                <w:sz w:val="20"/>
                <w:szCs w:val="20"/>
                <w:color w:val="auto"/>
              </w:rPr>
            </w:pPr>
            <w:r>
              <w:rPr>
                <w:rFonts w:ascii="Arial" w:cs="Arial" w:eastAsia="Arial" w:hAnsi="Arial"/>
                <w:sz w:val="18"/>
                <w:szCs w:val="18"/>
                <w:b w:val="1"/>
                <w:bCs w:val="1"/>
                <w:color w:val="auto"/>
              </w:rPr>
              <w:t>3.65</w:t>
            </w:r>
          </w:p>
        </w:tc>
        <w:tc>
          <w:tcPr>
            <w:tcW w:w="120" w:type="dxa"/>
            <w:vAlign w:val="bottom"/>
            <w:shd w:val="clear" w:color="auto" w:fill="E8EDF4"/>
          </w:tcPr>
          <w:p>
            <w:pPr>
              <w:spacing w:after="0"/>
              <w:rPr>
                <w:sz w:val="17"/>
                <w:szCs w:val="17"/>
                <w:color w:val="auto"/>
              </w:rPr>
            </w:pPr>
          </w:p>
        </w:tc>
        <w:tc>
          <w:tcPr>
            <w:tcW w:w="220" w:type="dxa"/>
            <w:vAlign w:val="bottom"/>
            <w:shd w:val="clear" w:color="auto" w:fill="E8EDF4"/>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60" w:type="dxa"/>
            <w:vAlign w:val="bottom"/>
          </w:tcPr>
          <w:p>
            <w:pPr>
              <w:ind w:left="700"/>
              <w:spacing w:after="0" w:line="202" w:lineRule="exact"/>
              <w:rPr>
                <w:sz w:val="20"/>
                <w:szCs w:val="20"/>
                <w:color w:val="auto"/>
              </w:rPr>
            </w:pPr>
            <w:r>
              <w:rPr>
                <w:rFonts w:ascii="Arial" w:cs="Arial" w:eastAsia="Arial" w:hAnsi="Arial"/>
                <w:sz w:val="18"/>
                <w:szCs w:val="18"/>
                <w:color w:val="auto"/>
              </w:rPr>
              <w:t>Acquisition Related Expenses</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1.68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60" w:type="dxa"/>
            <w:vAlign w:val="bottom"/>
            <w:shd w:val="clear" w:color="auto" w:fill="E8EDF4"/>
          </w:tcPr>
          <w:p>
            <w:pPr>
              <w:ind w:left="700"/>
              <w:spacing w:after="0" w:line="202" w:lineRule="exact"/>
              <w:rPr>
                <w:sz w:val="20"/>
                <w:szCs w:val="20"/>
                <w:color w:val="auto"/>
              </w:rPr>
            </w:pPr>
            <w:r>
              <w:rPr>
                <w:rFonts w:ascii="Arial" w:cs="Arial" w:eastAsia="Arial" w:hAnsi="Arial"/>
                <w:sz w:val="18"/>
                <w:szCs w:val="18"/>
                <w:color w:val="auto"/>
              </w:rPr>
              <w:t>Restructuring Related Expense</w:t>
            </w:r>
          </w:p>
        </w:tc>
        <w:tc>
          <w:tcPr>
            <w:tcW w:w="220" w:type="dxa"/>
            <w:vAlign w:val="bottom"/>
            <w:shd w:val="clear" w:color="auto" w:fill="E8EDF4"/>
          </w:tcPr>
          <w:p>
            <w:pPr>
              <w:spacing w:after="0"/>
              <w:rPr>
                <w:sz w:val="17"/>
                <w:szCs w:val="17"/>
                <w:color w:val="auto"/>
              </w:rPr>
            </w:pPr>
          </w:p>
        </w:tc>
        <w:tc>
          <w:tcPr>
            <w:tcW w:w="380" w:type="dxa"/>
            <w:vAlign w:val="bottom"/>
            <w:shd w:val="clear" w:color="auto" w:fill="E8EDF4"/>
          </w:tcPr>
          <w:p>
            <w:pPr>
              <w:spacing w:after="0"/>
              <w:rPr>
                <w:sz w:val="17"/>
                <w:szCs w:val="17"/>
                <w:color w:val="auto"/>
              </w:rPr>
            </w:pPr>
          </w:p>
        </w:tc>
        <w:tc>
          <w:tcPr>
            <w:tcW w:w="100" w:type="dxa"/>
            <w:vAlign w:val="bottom"/>
            <w:shd w:val="clear" w:color="auto" w:fill="E8EDF4"/>
          </w:tcPr>
          <w:p>
            <w:pPr>
              <w:spacing w:after="0"/>
              <w:rPr>
                <w:sz w:val="17"/>
                <w:szCs w:val="17"/>
                <w:color w:val="auto"/>
              </w:rPr>
            </w:pPr>
          </w:p>
        </w:tc>
        <w:tc>
          <w:tcPr>
            <w:tcW w:w="920" w:type="dxa"/>
            <w:vAlign w:val="bottom"/>
            <w:shd w:val="clear" w:color="auto" w:fill="E8EDF4"/>
          </w:tcPr>
          <w:p>
            <w:pPr>
              <w:jc w:val="right"/>
              <w:spacing w:after="0" w:line="202" w:lineRule="exact"/>
              <w:rPr>
                <w:sz w:val="20"/>
                <w:szCs w:val="20"/>
                <w:color w:val="auto"/>
              </w:rPr>
            </w:pPr>
            <w:r>
              <w:rPr>
                <w:rFonts w:ascii="Arial" w:cs="Arial" w:eastAsia="Arial" w:hAnsi="Arial"/>
                <w:sz w:val="18"/>
                <w:szCs w:val="18"/>
                <w:color w:val="auto"/>
              </w:rPr>
              <w:t>0.26</w:t>
            </w:r>
          </w:p>
        </w:tc>
        <w:tc>
          <w:tcPr>
            <w:tcW w:w="120" w:type="dxa"/>
            <w:vAlign w:val="bottom"/>
            <w:shd w:val="clear" w:color="auto" w:fill="E8EDF4"/>
          </w:tcPr>
          <w:p>
            <w:pPr>
              <w:spacing w:after="0"/>
              <w:rPr>
                <w:sz w:val="17"/>
                <w:szCs w:val="17"/>
                <w:color w:val="auto"/>
              </w:rPr>
            </w:pPr>
          </w:p>
        </w:tc>
        <w:tc>
          <w:tcPr>
            <w:tcW w:w="220" w:type="dxa"/>
            <w:vAlign w:val="bottom"/>
            <w:shd w:val="clear" w:color="auto" w:fill="E8EDF4"/>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60" w:type="dxa"/>
            <w:vAlign w:val="bottom"/>
          </w:tcPr>
          <w:p>
            <w:pPr>
              <w:ind w:left="700"/>
              <w:spacing w:after="0" w:line="202" w:lineRule="exact"/>
              <w:rPr>
                <w:sz w:val="20"/>
                <w:szCs w:val="20"/>
                <w:color w:val="auto"/>
              </w:rPr>
            </w:pPr>
            <w:r>
              <w:rPr>
                <w:rFonts w:ascii="Arial" w:cs="Arial" w:eastAsia="Arial" w:hAnsi="Arial"/>
                <w:sz w:val="18"/>
                <w:szCs w:val="18"/>
                <w:color w:val="auto"/>
              </w:rPr>
              <w:t>Income Tax on Non Discrete Tax Items Above</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(0.28)</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60" w:type="dxa"/>
            <w:vAlign w:val="bottom"/>
            <w:shd w:val="clear" w:color="auto" w:fill="E8EDF4"/>
          </w:tcPr>
          <w:p>
            <w:pPr>
              <w:ind w:left="700"/>
              <w:spacing w:after="0" w:line="202" w:lineRule="exact"/>
              <w:rPr>
                <w:sz w:val="20"/>
                <w:szCs w:val="20"/>
                <w:color w:val="auto"/>
              </w:rPr>
            </w:pPr>
            <w:r>
              <w:rPr>
                <w:rFonts w:ascii="Arial" w:cs="Arial" w:eastAsia="Arial" w:hAnsi="Arial"/>
                <w:sz w:val="18"/>
                <w:szCs w:val="18"/>
                <w:color w:val="auto"/>
              </w:rPr>
              <w:t>Income Tax from State Tax Valuation Allowance Adjustment</w:t>
            </w:r>
          </w:p>
        </w:tc>
        <w:tc>
          <w:tcPr>
            <w:tcW w:w="220" w:type="dxa"/>
            <w:vAlign w:val="bottom"/>
            <w:shd w:val="clear" w:color="auto" w:fill="E8EDF4"/>
          </w:tcPr>
          <w:p>
            <w:pPr>
              <w:spacing w:after="0"/>
              <w:rPr>
                <w:sz w:val="17"/>
                <w:szCs w:val="17"/>
                <w:color w:val="auto"/>
              </w:rPr>
            </w:pPr>
          </w:p>
        </w:tc>
        <w:tc>
          <w:tcPr>
            <w:tcW w:w="380" w:type="dxa"/>
            <w:vAlign w:val="bottom"/>
            <w:shd w:val="clear" w:color="auto" w:fill="E8EDF4"/>
          </w:tcPr>
          <w:p>
            <w:pPr>
              <w:spacing w:after="0"/>
              <w:rPr>
                <w:sz w:val="17"/>
                <w:szCs w:val="17"/>
                <w:color w:val="auto"/>
              </w:rPr>
            </w:pPr>
          </w:p>
        </w:tc>
        <w:tc>
          <w:tcPr>
            <w:tcW w:w="100" w:type="dxa"/>
            <w:vAlign w:val="bottom"/>
            <w:shd w:val="clear" w:color="auto" w:fill="E8EDF4"/>
          </w:tcPr>
          <w:p>
            <w:pPr>
              <w:spacing w:after="0"/>
              <w:rPr>
                <w:sz w:val="17"/>
                <w:szCs w:val="17"/>
                <w:color w:val="auto"/>
              </w:rPr>
            </w:pPr>
          </w:p>
        </w:tc>
        <w:tc>
          <w:tcPr>
            <w:tcW w:w="920" w:type="dxa"/>
            <w:vAlign w:val="bottom"/>
            <w:shd w:val="clear" w:color="auto" w:fill="E8EDF4"/>
          </w:tcPr>
          <w:p>
            <w:pPr>
              <w:jc w:val="right"/>
              <w:spacing w:after="0" w:line="202" w:lineRule="exact"/>
              <w:rPr>
                <w:sz w:val="20"/>
                <w:szCs w:val="20"/>
                <w:color w:val="auto"/>
              </w:rPr>
            </w:pPr>
            <w:r>
              <w:rPr>
                <w:rFonts w:ascii="Arial" w:cs="Arial" w:eastAsia="Arial" w:hAnsi="Arial"/>
                <w:sz w:val="18"/>
                <w:szCs w:val="18"/>
                <w:color w:val="auto"/>
              </w:rPr>
              <w:t>0.04</w:t>
            </w:r>
          </w:p>
        </w:tc>
        <w:tc>
          <w:tcPr>
            <w:tcW w:w="120" w:type="dxa"/>
            <w:vAlign w:val="bottom"/>
            <w:shd w:val="clear" w:color="auto" w:fill="E8EDF4"/>
          </w:tcPr>
          <w:p>
            <w:pPr>
              <w:spacing w:after="0"/>
              <w:rPr>
                <w:sz w:val="17"/>
                <w:szCs w:val="17"/>
                <w:color w:val="auto"/>
              </w:rPr>
            </w:pPr>
          </w:p>
        </w:tc>
        <w:tc>
          <w:tcPr>
            <w:tcW w:w="220" w:type="dxa"/>
            <w:vAlign w:val="bottom"/>
            <w:shd w:val="clear" w:color="auto" w:fill="E8EDF4"/>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60" w:type="dxa"/>
            <w:vAlign w:val="bottom"/>
          </w:tcPr>
          <w:p>
            <w:pPr>
              <w:ind w:left="700"/>
              <w:spacing w:after="0" w:line="202" w:lineRule="exact"/>
              <w:rPr>
                <w:sz w:val="20"/>
                <w:szCs w:val="20"/>
                <w:color w:val="auto"/>
              </w:rPr>
            </w:pPr>
            <w:r>
              <w:rPr>
                <w:rFonts w:ascii="Arial" w:cs="Arial" w:eastAsia="Arial" w:hAnsi="Arial"/>
                <w:sz w:val="18"/>
                <w:szCs w:val="18"/>
                <w:color w:val="auto"/>
              </w:rPr>
              <w:t>Income from Prior Period Tax Liabilities</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(0.02)</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60" w:type="dxa"/>
            <w:vAlign w:val="bottom"/>
            <w:shd w:val="clear" w:color="auto" w:fill="E8EDF4"/>
          </w:tcPr>
          <w:p>
            <w:pPr>
              <w:ind w:left="700"/>
              <w:spacing w:after="0" w:line="202" w:lineRule="exact"/>
              <w:rPr>
                <w:sz w:val="20"/>
                <w:szCs w:val="20"/>
                <w:color w:val="auto"/>
              </w:rPr>
            </w:pPr>
            <w:r>
              <w:rPr>
                <w:rFonts w:ascii="Arial" w:cs="Arial" w:eastAsia="Arial" w:hAnsi="Arial"/>
                <w:sz w:val="18"/>
                <w:szCs w:val="18"/>
                <w:color w:val="auto"/>
              </w:rPr>
              <w:t>Income Tax on Certain Inventory Intra-Entity Transfers</w:t>
            </w:r>
          </w:p>
        </w:tc>
        <w:tc>
          <w:tcPr>
            <w:tcW w:w="220" w:type="dxa"/>
            <w:vAlign w:val="bottom"/>
            <w:shd w:val="clear" w:color="auto" w:fill="E8EDF4"/>
          </w:tcPr>
          <w:p>
            <w:pPr>
              <w:spacing w:after="0"/>
              <w:rPr>
                <w:sz w:val="17"/>
                <w:szCs w:val="17"/>
                <w:color w:val="auto"/>
              </w:rPr>
            </w:pPr>
          </w:p>
        </w:tc>
        <w:tc>
          <w:tcPr>
            <w:tcW w:w="380" w:type="dxa"/>
            <w:vAlign w:val="bottom"/>
            <w:shd w:val="clear" w:color="auto" w:fill="E8EDF4"/>
          </w:tcPr>
          <w:p>
            <w:pPr>
              <w:spacing w:after="0"/>
              <w:rPr>
                <w:sz w:val="17"/>
                <w:szCs w:val="17"/>
                <w:color w:val="auto"/>
              </w:rPr>
            </w:pPr>
          </w:p>
        </w:tc>
        <w:tc>
          <w:tcPr>
            <w:tcW w:w="100" w:type="dxa"/>
            <w:vAlign w:val="bottom"/>
            <w:shd w:val="clear" w:color="auto" w:fill="E8EDF4"/>
          </w:tcPr>
          <w:p>
            <w:pPr>
              <w:spacing w:after="0"/>
              <w:rPr>
                <w:sz w:val="17"/>
                <w:szCs w:val="17"/>
                <w:color w:val="auto"/>
              </w:rPr>
            </w:pPr>
          </w:p>
        </w:tc>
        <w:tc>
          <w:tcPr>
            <w:tcW w:w="1040" w:type="dxa"/>
            <w:vAlign w:val="bottom"/>
            <w:gridSpan w:val="2"/>
            <w:shd w:val="clear" w:color="auto" w:fill="E8EDF4"/>
          </w:tcPr>
          <w:p>
            <w:pPr>
              <w:jc w:val="right"/>
              <w:ind w:right="60"/>
              <w:spacing w:after="0" w:line="202" w:lineRule="exact"/>
              <w:rPr>
                <w:sz w:val="20"/>
                <w:szCs w:val="20"/>
                <w:color w:val="auto"/>
              </w:rPr>
            </w:pPr>
            <w:r>
              <w:rPr>
                <w:rFonts w:ascii="Arial" w:cs="Arial" w:eastAsia="Arial" w:hAnsi="Arial"/>
                <w:sz w:val="18"/>
                <w:szCs w:val="18"/>
                <w:color w:val="auto"/>
              </w:rPr>
              <w:t>(0.04)</w:t>
            </w:r>
          </w:p>
        </w:tc>
        <w:tc>
          <w:tcPr>
            <w:tcW w:w="220" w:type="dxa"/>
            <w:vAlign w:val="bottom"/>
            <w:shd w:val="clear" w:color="auto" w:fill="E8EDF4"/>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60" w:type="dxa"/>
            <w:vAlign w:val="bottom"/>
          </w:tcPr>
          <w:p>
            <w:pPr>
              <w:ind w:left="700"/>
              <w:spacing w:after="0" w:line="202" w:lineRule="exact"/>
              <w:rPr>
                <w:sz w:val="20"/>
                <w:szCs w:val="20"/>
                <w:color w:val="auto"/>
              </w:rPr>
            </w:pPr>
            <w:r>
              <w:rPr>
                <w:rFonts w:ascii="Arial" w:cs="Arial" w:eastAsia="Arial" w:hAnsi="Arial"/>
                <w:sz w:val="18"/>
                <w:szCs w:val="18"/>
                <w:color w:val="auto"/>
              </w:rPr>
              <w:t>Income Tax from Prior Period Tax Credits</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(0.03)</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60" w:type="dxa"/>
            <w:vAlign w:val="bottom"/>
            <w:shd w:val="clear" w:color="auto" w:fill="E8EDF4"/>
          </w:tcPr>
          <w:p>
            <w:pPr>
              <w:ind w:left="700"/>
              <w:spacing w:after="0" w:line="202" w:lineRule="exact"/>
              <w:rPr>
                <w:sz w:val="20"/>
                <w:szCs w:val="20"/>
                <w:color w:val="auto"/>
              </w:rPr>
            </w:pPr>
            <w:r>
              <w:rPr>
                <w:rFonts w:ascii="Arial" w:cs="Arial" w:eastAsia="Arial" w:hAnsi="Arial"/>
                <w:sz w:val="18"/>
                <w:szCs w:val="18"/>
                <w:color w:val="auto"/>
              </w:rPr>
              <w:t>Income Tax on Voluntary Accounting Policy Change</w:t>
            </w:r>
          </w:p>
        </w:tc>
        <w:tc>
          <w:tcPr>
            <w:tcW w:w="220" w:type="dxa"/>
            <w:vAlign w:val="bottom"/>
            <w:shd w:val="clear" w:color="auto" w:fill="E8EDF4"/>
          </w:tcPr>
          <w:p>
            <w:pPr>
              <w:spacing w:after="0"/>
              <w:rPr>
                <w:sz w:val="17"/>
                <w:szCs w:val="17"/>
                <w:color w:val="auto"/>
              </w:rPr>
            </w:pPr>
          </w:p>
        </w:tc>
        <w:tc>
          <w:tcPr>
            <w:tcW w:w="380" w:type="dxa"/>
            <w:vAlign w:val="bottom"/>
            <w:shd w:val="clear" w:color="auto" w:fill="E8EDF4"/>
          </w:tcPr>
          <w:p>
            <w:pPr>
              <w:spacing w:after="0"/>
              <w:rPr>
                <w:sz w:val="17"/>
                <w:szCs w:val="17"/>
                <w:color w:val="auto"/>
              </w:rPr>
            </w:pPr>
          </w:p>
        </w:tc>
        <w:tc>
          <w:tcPr>
            <w:tcW w:w="100" w:type="dxa"/>
            <w:vAlign w:val="bottom"/>
            <w:shd w:val="clear" w:color="auto" w:fill="E8EDF4"/>
          </w:tcPr>
          <w:p>
            <w:pPr>
              <w:spacing w:after="0"/>
              <w:rPr>
                <w:sz w:val="17"/>
                <w:szCs w:val="17"/>
                <w:color w:val="auto"/>
              </w:rPr>
            </w:pPr>
          </w:p>
        </w:tc>
        <w:tc>
          <w:tcPr>
            <w:tcW w:w="1040" w:type="dxa"/>
            <w:vAlign w:val="bottom"/>
            <w:gridSpan w:val="2"/>
            <w:shd w:val="clear" w:color="auto" w:fill="E8EDF4"/>
          </w:tcPr>
          <w:p>
            <w:pPr>
              <w:jc w:val="right"/>
              <w:ind w:right="60"/>
              <w:spacing w:after="0" w:line="202" w:lineRule="exact"/>
              <w:rPr>
                <w:sz w:val="20"/>
                <w:szCs w:val="20"/>
                <w:color w:val="auto"/>
              </w:rPr>
            </w:pPr>
            <w:r>
              <w:rPr>
                <w:rFonts w:ascii="Arial" w:cs="Arial" w:eastAsia="Arial" w:hAnsi="Arial"/>
                <w:sz w:val="18"/>
                <w:szCs w:val="18"/>
                <w:color w:val="auto"/>
              </w:rPr>
              <w:t>(0.05)</w:t>
            </w:r>
          </w:p>
        </w:tc>
        <w:tc>
          <w:tcPr>
            <w:tcW w:w="220" w:type="dxa"/>
            <w:vAlign w:val="bottom"/>
            <w:shd w:val="clear" w:color="auto" w:fill="E8EDF4"/>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60" w:type="dxa"/>
            <w:vAlign w:val="bottom"/>
          </w:tcPr>
          <w:p>
            <w:pPr>
              <w:ind w:left="700"/>
              <w:spacing w:after="0" w:line="202" w:lineRule="exact"/>
              <w:rPr>
                <w:sz w:val="20"/>
                <w:szCs w:val="20"/>
                <w:color w:val="auto"/>
              </w:rPr>
            </w:pPr>
            <w:r>
              <w:rPr>
                <w:rFonts w:ascii="Arial" w:cs="Arial" w:eastAsia="Arial" w:hAnsi="Arial"/>
                <w:sz w:val="18"/>
                <w:szCs w:val="18"/>
                <w:color w:val="auto"/>
              </w:rPr>
              <w:t>Income Tax from OneTime Transitional Tax</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(0.02)</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60" w:type="dxa"/>
            <w:vAlign w:val="bottom"/>
            <w:shd w:val="clear" w:color="auto" w:fill="E8EDF4"/>
          </w:tcPr>
          <w:p>
            <w:pPr>
              <w:ind w:left="700"/>
              <w:spacing w:after="0" w:line="202" w:lineRule="exact"/>
              <w:rPr>
                <w:sz w:val="20"/>
                <w:szCs w:val="20"/>
                <w:color w:val="auto"/>
              </w:rPr>
            </w:pPr>
            <w:r>
              <w:rPr>
                <w:rFonts w:ascii="Arial" w:cs="Arial" w:eastAsia="Arial" w:hAnsi="Arial"/>
                <w:sz w:val="18"/>
                <w:szCs w:val="18"/>
                <w:color w:val="auto"/>
              </w:rPr>
              <w:t>Income tax from Deferred Tax Recalibration</w:t>
            </w:r>
          </w:p>
        </w:tc>
        <w:tc>
          <w:tcPr>
            <w:tcW w:w="220" w:type="dxa"/>
            <w:vAlign w:val="bottom"/>
            <w:shd w:val="clear" w:color="auto" w:fill="E8EDF4"/>
          </w:tcPr>
          <w:p>
            <w:pPr>
              <w:spacing w:after="0"/>
              <w:rPr>
                <w:sz w:val="17"/>
                <w:szCs w:val="17"/>
                <w:color w:val="auto"/>
              </w:rPr>
            </w:pPr>
          </w:p>
        </w:tc>
        <w:tc>
          <w:tcPr>
            <w:tcW w:w="380" w:type="dxa"/>
            <w:vAlign w:val="bottom"/>
            <w:shd w:val="clear" w:color="auto" w:fill="E8EDF4"/>
          </w:tcPr>
          <w:p>
            <w:pPr>
              <w:spacing w:after="0"/>
              <w:rPr>
                <w:sz w:val="17"/>
                <w:szCs w:val="17"/>
                <w:color w:val="auto"/>
              </w:rPr>
            </w:pPr>
          </w:p>
        </w:tc>
        <w:tc>
          <w:tcPr>
            <w:tcW w:w="100" w:type="dxa"/>
            <w:vAlign w:val="bottom"/>
            <w:shd w:val="clear" w:color="auto" w:fill="E8EDF4"/>
          </w:tcPr>
          <w:p>
            <w:pPr>
              <w:spacing w:after="0"/>
              <w:rPr>
                <w:sz w:val="17"/>
                <w:szCs w:val="17"/>
                <w:color w:val="auto"/>
              </w:rPr>
            </w:pPr>
          </w:p>
        </w:tc>
        <w:tc>
          <w:tcPr>
            <w:tcW w:w="1040" w:type="dxa"/>
            <w:vAlign w:val="bottom"/>
            <w:gridSpan w:val="2"/>
            <w:shd w:val="clear" w:color="auto" w:fill="E8EDF4"/>
          </w:tcPr>
          <w:p>
            <w:pPr>
              <w:jc w:val="right"/>
              <w:ind w:right="60"/>
              <w:spacing w:after="0" w:line="202" w:lineRule="exact"/>
              <w:rPr>
                <w:sz w:val="20"/>
                <w:szCs w:val="20"/>
                <w:color w:val="auto"/>
              </w:rPr>
            </w:pPr>
            <w:r>
              <w:rPr>
                <w:rFonts w:ascii="Arial" w:cs="Arial" w:eastAsia="Arial" w:hAnsi="Arial"/>
                <w:sz w:val="18"/>
                <w:szCs w:val="18"/>
                <w:color w:val="auto"/>
              </w:rPr>
              <w:t>(0.04)</w:t>
            </w:r>
          </w:p>
        </w:tc>
        <w:tc>
          <w:tcPr>
            <w:tcW w:w="220" w:type="dxa"/>
            <w:vAlign w:val="bottom"/>
            <w:shd w:val="clear" w:color="auto" w:fill="E8EDF4"/>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9060" w:type="dxa"/>
            <w:vAlign w:val="bottom"/>
            <w:shd w:val="clear" w:color="auto" w:fill="E8EDF4"/>
          </w:tcPr>
          <w:p>
            <w:pPr>
              <w:spacing w:after="0"/>
              <w:rPr>
                <w:sz w:val="2"/>
                <w:szCs w:val="2"/>
                <w:color w:val="auto"/>
              </w:rPr>
            </w:pPr>
          </w:p>
        </w:tc>
        <w:tc>
          <w:tcPr>
            <w:tcW w:w="220" w:type="dxa"/>
            <w:vAlign w:val="bottom"/>
            <w:shd w:val="clear" w:color="auto" w:fill="E8EDF4"/>
          </w:tcPr>
          <w:p>
            <w:pPr>
              <w:spacing w:after="0"/>
              <w:rPr>
                <w:sz w:val="2"/>
                <w:szCs w:val="2"/>
                <w:color w:val="auto"/>
              </w:rPr>
            </w:pPr>
          </w:p>
        </w:tc>
        <w:tc>
          <w:tcPr>
            <w:tcW w:w="380" w:type="dxa"/>
            <w:vAlign w:val="bottom"/>
            <w:shd w:val="clear" w:color="auto" w:fill="E8EDF4"/>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E8EDF4"/>
          </w:tcPr>
          <w:p>
            <w:pPr>
              <w:spacing w:after="0"/>
              <w:rPr>
                <w:sz w:val="2"/>
                <w:szCs w:val="2"/>
                <w:color w:val="auto"/>
              </w:rPr>
            </w:pPr>
          </w:p>
        </w:tc>
        <w:tc>
          <w:tcPr>
            <w:tcW w:w="220" w:type="dxa"/>
            <w:vAlign w:val="bottom"/>
            <w:shd w:val="clear" w:color="auto" w:fill="E8EDF4"/>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060" w:type="dxa"/>
            <w:vAlign w:val="bottom"/>
          </w:tcPr>
          <w:p>
            <w:pPr>
              <w:ind w:left="80"/>
              <w:spacing w:after="0" w:line="202" w:lineRule="exact"/>
              <w:rPr>
                <w:sz w:val="20"/>
                <w:szCs w:val="20"/>
                <w:color w:val="auto"/>
              </w:rPr>
            </w:pPr>
            <w:r>
              <w:rPr>
                <w:rFonts w:ascii="Arial" w:cs="Arial" w:eastAsia="Arial" w:hAnsi="Arial"/>
                <w:sz w:val="18"/>
                <w:szCs w:val="18"/>
                <w:b w:val="1"/>
                <w:bCs w:val="1"/>
                <w:color w:val="auto"/>
              </w:rPr>
              <w:t>Non-GAAP Diluted EPS</w:t>
            </w:r>
          </w:p>
        </w:tc>
        <w:tc>
          <w:tcPr>
            <w:tcW w:w="220" w:type="dxa"/>
            <w:vAlign w:val="bottom"/>
          </w:tcPr>
          <w:p>
            <w:pPr>
              <w:spacing w:after="0"/>
              <w:rPr>
                <w:sz w:val="17"/>
                <w:szCs w:val="17"/>
                <w:color w:val="auto"/>
              </w:rPr>
            </w:pPr>
          </w:p>
        </w:tc>
        <w:tc>
          <w:tcPr>
            <w:tcW w:w="480" w:type="dxa"/>
            <w:vAlign w:val="bottom"/>
            <w:gridSpan w:val="2"/>
          </w:tcPr>
          <w:p>
            <w:pPr>
              <w:ind w:left="380"/>
              <w:spacing w:after="0" w:line="202" w:lineRule="exact"/>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5.15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60" w:type="dxa"/>
            <w:vAlign w:val="bottom"/>
            <w:vMerge w:val="restart"/>
          </w:tcPr>
          <w:p>
            <w:pPr>
              <w:jc w:val="center"/>
              <w:ind w:left="1830"/>
              <w:spacing w:after="0"/>
              <w:rPr>
                <w:sz w:val="20"/>
                <w:szCs w:val="20"/>
                <w:color w:val="auto"/>
              </w:rPr>
            </w:pPr>
            <w:r>
              <w:rPr>
                <w:rFonts w:ascii="Arial" w:cs="Arial" w:eastAsia="Arial" w:hAnsi="Arial"/>
                <w:sz w:val="18"/>
                <w:szCs w:val="18"/>
                <w:b w:val="1"/>
                <w:bCs w:val="1"/>
                <w:color w:val="auto"/>
                <w:w w:val="99"/>
              </w:rPr>
              <w:t>Reconciliation of Net Cash Provided by Operating Activities to Free Cash Flow</w:t>
            </w: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90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9060" w:type="dxa"/>
            <w:vAlign w:val="bottom"/>
          </w:tcPr>
          <w:p>
            <w:pPr>
              <w:jc w:val="center"/>
              <w:ind w:left="1850"/>
              <w:spacing w:after="0"/>
              <w:rPr>
                <w:sz w:val="20"/>
                <w:szCs w:val="20"/>
                <w:color w:val="auto"/>
              </w:rPr>
            </w:pPr>
            <w:r>
              <w:rPr>
                <w:rFonts w:ascii="Arial" w:cs="Arial" w:eastAsia="Arial" w:hAnsi="Arial"/>
                <w:sz w:val="18"/>
                <w:szCs w:val="18"/>
                <w:b w:val="1"/>
                <w:bCs w:val="1"/>
                <w:color w:val="auto"/>
                <w:w w:val="99"/>
              </w:rPr>
              <w:t>(In thousands)</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gridSpan w:val="4"/>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9060" w:type="dxa"/>
            <w:vAlign w:val="bottom"/>
            <w:shd w:val="clear" w:color="auto" w:fill="052B82"/>
          </w:tcPr>
          <w:p>
            <w:pPr>
              <w:spacing w:after="0"/>
              <w:rPr>
                <w:sz w:val="12"/>
                <w:szCs w:val="12"/>
                <w:color w:val="auto"/>
              </w:rPr>
            </w:pPr>
          </w:p>
        </w:tc>
        <w:tc>
          <w:tcPr>
            <w:tcW w:w="1960" w:type="dxa"/>
            <w:vAlign w:val="bottom"/>
            <w:gridSpan w:val="6"/>
            <w:shd w:val="clear" w:color="auto" w:fill="052B82"/>
          </w:tcPr>
          <w:p>
            <w:pPr>
              <w:ind w:left="220"/>
              <w:spacing w:after="0" w:line="149" w:lineRule="exact"/>
              <w:rPr>
                <w:sz w:val="20"/>
                <w:szCs w:val="20"/>
                <w:color w:val="auto"/>
              </w:rPr>
            </w:pPr>
            <w:r>
              <w:rPr>
                <w:rFonts w:ascii="Arial" w:cs="Arial" w:eastAsia="Arial" w:hAnsi="Arial"/>
                <w:sz w:val="14"/>
                <w:szCs w:val="14"/>
                <w:b w:val="1"/>
                <w:bCs w:val="1"/>
                <w:color w:val="FFFFFF"/>
              </w:rPr>
              <w:t>Twelve Months Ended</w:t>
            </w:r>
          </w:p>
        </w:tc>
        <w:tc>
          <w:tcPr>
            <w:tcW w:w="0" w:type="dxa"/>
            <w:vAlign w:val="bottom"/>
          </w:tcPr>
          <w:p>
            <w:pPr>
              <w:spacing w:after="0"/>
              <w:rPr>
                <w:sz w:val="1"/>
                <w:szCs w:val="1"/>
                <w:color w:val="auto"/>
              </w:rPr>
            </w:pPr>
          </w:p>
        </w:tc>
      </w:tr>
      <w:tr>
        <w:trPr>
          <w:trHeight w:val="175"/>
        </w:trPr>
        <w:tc>
          <w:tcPr>
            <w:tcW w:w="9060" w:type="dxa"/>
            <w:vAlign w:val="bottom"/>
            <w:shd w:val="clear" w:color="auto" w:fill="052B82"/>
          </w:tcPr>
          <w:p>
            <w:pPr>
              <w:spacing w:after="0"/>
              <w:rPr>
                <w:sz w:val="15"/>
                <w:szCs w:val="15"/>
                <w:color w:val="auto"/>
              </w:rPr>
            </w:pPr>
          </w:p>
        </w:tc>
        <w:tc>
          <w:tcPr>
            <w:tcW w:w="220" w:type="dxa"/>
            <w:vAlign w:val="bottom"/>
            <w:shd w:val="clear" w:color="auto" w:fill="052B82"/>
          </w:tcPr>
          <w:p>
            <w:pPr>
              <w:spacing w:after="0"/>
              <w:rPr>
                <w:sz w:val="15"/>
                <w:szCs w:val="15"/>
                <w:color w:val="auto"/>
              </w:rPr>
            </w:pPr>
          </w:p>
        </w:tc>
        <w:tc>
          <w:tcPr>
            <w:tcW w:w="1740" w:type="dxa"/>
            <w:vAlign w:val="bottom"/>
            <w:gridSpan w:val="5"/>
            <w:shd w:val="clear" w:color="auto" w:fill="052B82"/>
          </w:tcPr>
          <w:p>
            <w:pPr>
              <w:jc w:val="right"/>
              <w:ind w:right="380"/>
              <w:spacing w:after="0"/>
              <w:rPr>
                <w:sz w:val="20"/>
                <w:szCs w:val="20"/>
                <w:color w:val="auto"/>
              </w:rPr>
            </w:pPr>
            <w:r>
              <w:rPr>
                <w:rFonts w:ascii="Arial" w:cs="Arial" w:eastAsia="Arial" w:hAnsi="Arial"/>
                <w:sz w:val="14"/>
                <w:szCs w:val="14"/>
                <w:b w:val="1"/>
                <w:bCs w:val="1"/>
                <w:color w:val="FFFFFF"/>
              </w:rPr>
              <w:t>November 2, 2019</w:t>
            </w:r>
          </w:p>
        </w:tc>
        <w:tc>
          <w:tcPr>
            <w:tcW w:w="0" w:type="dxa"/>
            <w:vAlign w:val="bottom"/>
          </w:tcPr>
          <w:p>
            <w:pPr>
              <w:spacing w:after="0"/>
              <w:rPr>
                <w:sz w:val="1"/>
                <w:szCs w:val="1"/>
                <w:color w:val="auto"/>
              </w:rPr>
            </w:pPr>
          </w:p>
        </w:tc>
      </w:tr>
      <w:tr>
        <w:trPr>
          <w:trHeight w:val="203"/>
        </w:trPr>
        <w:tc>
          <w:tcPr>
            <w:tcW w:w="9060" w:type="dxa"/>
            <w:vAlign w:val="bottom"/>
            <w:shd w:val="clear" w:color="auto" w:fill="E8EDF4"/>
          </w:tcPr>
          <w:p>
            <w:pPr>
              <w:ind w:left="40"/>
              <w:spacing w:after="0" w:line="202" w:lineRule="exact"/>
              <w:rPr>
                <w:sz w:val="20"/>
                <w:szCs w:val="20"/>
                <w:color w:val="auto"/>
              </w:rPr>
            </w:pPr>
            <w:r>
              <w:rPr>
                <w:rFonts w:ascii="Arial" w:cs="Arial" w:eastAsia="Arial" w:hAnsi="Arial"/>
                <w:sz w:val="18"/>
                <w:szCs w:val="18"/>
                <w:color w:val="auto"/>
              </w:rPr>
              <w:t>Revenue</w:t>
            </w:r>
          </w:p>
        </w:tc>
        <w:tc>
          <w:tcPr>
            <w:tcW w:w="600" w:type="dxa"/>
            <w:vAlign w:val="bottom"/>
            <w:gridSpan w:val="2"/>
            <w:shd w:val="clear" w:color="auto" w:fill="E8EDF4"/>
          </w:tcPr>
          <w:p>
            <w:pPr>
              <w:ind w:left="2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E8EDF4"/>
          </w:tcPr>
          <w:p>
            <w:pPr>
              <w:spacing w:after="0"/>
              <w:rPr>
                <w:sz w:val="17"/>
                <w:szCs w:val="17"/>
                <w:color w:val="auto"/>
              </w:rPr>
            </w:pPr>
          </w:p>
        </w:tc>
        <w:tc>
          <w:tcPr>
            <w:tcW w:w="1040" w:type="dxa"/>
            <w:vAlign w:val="bottom"/>
            <w:gridSpan w:val="2"/>
            <w:shd w:val="clear" w:color="auto" w:fill="E8EDF4"/>
          </w:tcPr>
          <w:p>
            <w:pPr>
              <w:jc w:val="right"/>
              <w:ind w:right="20"/>
              <w:spacing w:after="0" w:line="202" w:lineRule="exact"/>
              <w:rPr>
                <w:sz w:val="20"/>
                <w:szCs w:val="20"/>
                <w:color w:val="auto"/>
              </w:rPr>
            </w:pPr>
            <w:r>
              <w:rPr>
                <w:rFonts w:ascii="Arial" w:cs="Arial" w:eastAsia="Arial" w:hAnsi="Arial"/>
                <w:sz w:val="18"/>
                <w:szCs w:val="18"/>
                <w:color w:val="auto"/>
              </w:rPr>
              <w:t>5,991,065</w:t>
            </w:r>
          </w:p>
        </w:tc>
        <w:tc>
          <w:tcPr>
            <w:tcW w:w="220" w:type="dxa"/>
            <w:vAlign w:val="bottom"/>
            <w:shd w:val="clear" w:color="auto" w:fill="E8EDF4"/>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60" w:type="dxa"/>
            <w:vAlign w:val="bottom"/>
          </w:tcPr>
          <w:p>
            <w:pPr>
              <w:ind w:left="40"/>
              <w:spacing w:after="0" w:line="202" w:lineRule="exact"/>
              <w:rPr>
                <w:sz w:val="20"/>
                <w:szCs w:val="20"/>
                <w:color w:val="auto"/>
              </w:rPr>
            </w:pPr>
            <w:r>
              <w:rPr>
                <w:rFonts w:ascii="Arial" w:cs="Arial" w:eastAsia="Arial" w:hAnsi="Arial"/>
                <w:sz w:val="18"/>
                <w:szCs w:val="18"/>
                <w:color w:val="auto"/>
              </w:rPr>
              <w:t>Net cash provided by operating activities</w:t>
            </w:r>
          </w:p>
        </w:tc>
        <w:tc>
          <w:tcPr>
            <w:tcW w:w="6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2,253,100</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60" w:type="dxa"/>
            <w:vAlign w:val="bottom"/>
            <w:shd w:val="clear" w:color="auto" w:fill="E8EDF4"/>
          </w:tcPr>
          <w:p>
            <w:pPr>
              <w:ind w:left="40"/>
              <w:spacing w:after="0" w:line="202" w:lineRule="exact"/>
              <w:rPr>
                <w:sz w:val="20"/>
                <w:szCs w:val="20"/>
                <w:color w:val="auto"/>
              </w:rPr>
            </w:pPr>
            <w:r>
              <w:rPr>
                <w:rFonts w:ascii="Arial" w:cs="Arial" w:eastAsia="Arial" w:hAnsi="Arial"/>
                <w:sz w:val="18"/>
                <w:szCs w:val="18"/>
                <w:color w:val="auto"/>
              </w:rPr>
              <w:t>% of revenue</w:t>
            </w:r>
          </w:p>
        </w:tc>
        <w:tc>
          <w:tcPr>
            <w:tcW w:w="220" w:type="dxa"/>
            <w:vAlign w:val="bottom"/>
            <w:shd w:val="clear" w:color="auto" w:fill="E8EDF4"/>
          </w:tcPr>
          <w:p>
            <w:pPr>
              <w:spacing w:after="0"/>
              <w:rPr>
                <w:sz w:val="17"/>
                <w:szCs w:val="17"/>
                <w:color w:val="auto"/>
              </w:rPr>
            </w:pPr>
          </w:p>
        </w:tc>
        <w:tc>
          <w:tcPr>
            <w:tcW w:w="380" w:type="dxa"/>
            <w:vAlign w:val="bottom"/>
            <w:shd w:val="clear" w:color="auto" w:fill="E8EDF4"/>
          </w:tcPr>
          <w:p>
            <w:pPr>
              <w:spacing w:after="0"/>
              <w:rPr>
                <w:sz w:val="17"/>
                <w:szCs w:val="17"/>
                <w:color w:val="auto"/>
              </w:rPr>
            </w:pPr>
          </w:p>
        </w:tc>
        <w:tc>
          <w:tcPr>
            <w:tcW w:w="100" w:type="dxa"/>
            <w:vAlign w:val="bottom"/>
            <w:shd w:val="clear" w:color="auto" w:fill="E8EDF4"/>
          </w:tcPr>
          <w:p>
            <w:pPr>
              <w:spacing w:after="0"/>
              <w:rPr>
                <w:sz w:val="17"/>
                <w:szCs w:val="17"/>
                <w:color w:val="auto"/>
              </w:rPr>
            </w:pPr>
          </w:p>
        </w:tc>
        <w:tc>
          <w:tcPr>
            <w:tcW w:w="1260" w:type="dxa"/>
            <w:vAlign w:val="bottom"/>
            <w:gridSpan w:val="3"/>
            <w:shd w:val="clear" w:color="auto" w:fill="E8EDF4"/>
          </w:tcPr>
          <w:p>
            <w:pPr>
              <w:jc w:val="right"/>
              <w:ind w:right="80"/>
              <w:spacing w:after="0" w:line="20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3"/>
        </w:trPr>
        <w:tc>
          <w:tcPr>
            <w:tcW w:w="9060" w:type="dxa"/>
            <w:vAlign w:val="bottom"/>
          </w:tcPr>
          <w:p>
            <w:pPr>
              <w:ind w:left="40"/>
              <w:spacing w:after="0" w:line="202" w:lineRule="exact"/>
              <w:rPr>
                <w:sz w:val="20"/>
                <w:szCs w:val="20"/>
                <w:color w:val="auto"/>
              </w:rPr>
            </w:pPr>
            <w:r>
              <w:rPr>
                <w:rFonts w:ascii="Arial" w:cs="Arial" w:eastAsia="Arial" w:hAnsi="Arial"/>
                <w:sz w:val="18"/>
                <w:szCs w:val="18"/>
                <w:color w:val="auto"/>
              </w:rPr>
              <w:t>Capital expenditures</w:t>
            </w:r>
          </w:p>
        </w:tc>
        <w:tc>
          <w:tcPr>
            <w:tcW w:w="6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6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(275,372)</w:t>
            </w:r>
          </w:p>
        </w:tc>
        <w:tc>
          <w:tcPr>
            <w:tcW w:w="0" w:type="dxa"/>
            <w:vAlign w:val="bottom"/>
          </w:tcPr>
          <w:p>
            <w:pPr>
              <w:spacing w:after="0"/>
              <w:rPr>
                <w:sz w:val="1"/>
                <w:szCs w:val="1"/>
                <w:color w:val="auto"/>
              </w:rPr>
            </w:pPr>
          </w:p>
        </w:tc>
      </w:tr>
      <w:tr>
        <w:trPr>
          <w:trHeight w:val="27"/>
        </w:trPr>
        <w:tc>
          <w:tcPr>
            <w:tcW w:w="9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9060" w:type="dxa"/>
            <w:vAlign w:val="bottom"/>
            <w:shd w:val="clear" w:color="auto" w:fill="E8EDF4"/>
          </w:tcPr>
          <w:p>
            <w:pPr>
              <w:ind w:left="40"/>
              <w:spacing w:after="0" w:line="202" w:lineRule="exact"/>
              <w:rPr>
                <w:sz w:val="20"/>
                <w:szCs w:val="20"/>
                <w:color w:val="auto"/>
              </w:rPr>
            </w:pPr>
            <w:r>
              <w:rPr>
                <w:rFonts w:ascii="Arial" w:cs="Arial" w:eastAsia="Arial" w:hAnsi="Arial"/>
                <w:sz w:val="18"/>
                <w:szCs w:val="18"/>
                <w:color w:val="auto"/>
              </w:rPr>
              <w:t>Free cash flow (1)</w:t>
            </w:r>
          </w:p>
        </w:tc>
        <w:tc>
          <w:tcPr>
            <w:tcW w:w="600" w:type="dxa"/>
            <w:vAlign w:val="bottom"/>
            <w:gridSpan w:val="2"/>
            <w:shd w:val="clear" w:color="auto" w:fill="E8EDF4"/>
          </w:tcPr>
          <w:p>
            <w:pPr>
              <w:ind w:left="2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E8EDF4"/>
          </w:tcPr>
          <w:p>
            <w:pPr>
              <w:spacing w:after="0"/>
              <w:rPr>
                <w:sz w:val="19"/>
                <w:szCs w:val="19"/>
                <w:color w:val="auto"/>
              </w:rPr>
            </w:pPr>
          </w:p>
        </w:tc>
        <w:tc>
          <w:tcPr>
            <w:tcW w:w="1040" w:type="dxa"/>
            <w:vAlign w:val="bottom"/>
            <w:gridSpan w:val="2"/>
            <w:shd w:val="clear" w:color="auto" w:fill="E8EDF4"/>
          </w:tcPr>
          <w:p>
            <w:pPr>
              <w:jc w:val="right"/>
              <w:ind w:right="20"/>
              <w:spacing w:after="0" w:line="202" w:lineRule="exact"/>
              <w:rPr>
                <w:sz w:val="20"/>
                <w:szCs w:val="20"/>
                <w:color w:val="auto"/>
              </w:rPr>
            </w:pPr>
            <w:r>
              <w:rPr>
                <w:rFonts w:ascii="Arial" w:cs="Arial" w:eastAsia="Arial" w:hAnsi="Arial"/>
                <w:sz w:val="18"/>
                <w:szCs w:val="18"/>
                <w:color w:val="auto"/>
              </w:rPr>
              <w:t>1,977,728</w:t>
            </w:r>
          </w:p>
        </w:tc>
        <w:tc>
          <w:tcPr>
            <w:tcW w:w="220" w:type="dxa"/>
            <w:vAlign w:val="bottom"/>
            <w:shd w:val="clear" w:color="auto" w:fill="E8EDF4"/>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60" w:type="dxa"/>
            <w:vAlign w:val="bottom"/>
            <w:tcBorders>
              <w:top w:val="single" w:sz="8" w:color="E8EDF4"/>
            </w:tcBorders>
            <w:shd w:val="clear" w:color="auto" w:fill="E8EDF4"/>
          </w:tcPr>
          <w:p>
            <w:pPr>
              <w:spacing w:after="0" w:line="20" w:lineRule="exact"/>
              <w:rPr>
                <w:sz w:val="1"/>
                <w:szCs w:val="1"/>
                <w:color w:val="auto"/>
              </w:rPr>
            </w:pPr>
          </w:p>
        </w:tc>
        <w:tc>
          <w:tcPr>
            <w:tcW w:w="220" w:type="dxa"/>
            <w:vAlign w:val="bottom"/>
            <w:tcBorders>
              <w:top w:val="single" w:sz="8" w:color="E8EDF4"/>
            </w:tcBorders>
            <w:shd w:val="clear" w:color="auto" w:fill="E8EDF4"/>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8EDF4"/>
            </w:tcBorders>
            <w:shd w:val="clear" w:color="auto" w:fill="E8EDF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060" w:type="dxa"/>
            <w:vAlign w:val="bottom"/>
          </w:tcPr>
          <w:p>
            <w:pPr>
              <w:ind w:left="40"/>
              <w:spacing w:after="0"/>
              <w:rPr>
                <w:sz w:val="20"/>
                <w:szCs w:val="20"/>
                <w:color w:val="auto"/>
              </w:rPr>
            </w:pPr>
            <w:r>
              <w:rPr>
                <w:rFonts w:ascii="Arial" w:cs="Arial" w:eastAsia="Arial" w:hAnsi="Arial"/>
                <w:sz w:val="18"/>
                <w:szCs w:val="18"/>
                <w:color w:val="auto"/>
              </w:rPr>
              <w:t>% of revenue</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8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6068060</wp:posOffset>
            </wp:positionH>
            <wp:positionV relativeFrom="paragraph">
              <wp:posOffset>-4956810</wp:posOffset>
            </wp:positionV>
            <wp:extent cx="106362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063625"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76835</wp:posOffset>
            </wp:positionV>
            <wp:extent cx="76327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4" w:lineRule="exact"/>
        <w:rPr>
          <w:sz w:val="20"/>
          <w:szCs w:val="20"/>
          <w:color w:val="auto"/>
        </w:rPr>
      </w:pPr>
    </w:p>
    <w:p>
      <w:pPr>
        <w:ind w:left="640" w:hanging="436"/>
        <w:spacing w:after="0"/>
        <w:tabs>
          <w:tab w:leader="none" w:pos="6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Free cash flow is defined as net cash provided by (used in) operating activities, less capital expenditures.</w:t>
      </w:r>
    </w:p>
    <w:p>
      <w:pPr>
        <w:spacing w:after="0" w:line="144" w:lineRule="exact"/>
        <w:rPr>
          <w:sz w:val="20"/>
          <w:szCs w:val="20"/>
          <w:color w:val="auto"/>
        </w:rPr>
      </w:pPr>
    </w:p>
    <w:p>
      <w:pPr>
        <w:ind w:left="9260"/>
        <w:spacing w:after="0"/>
        <w:tabs>
          <w:tab w:leader="none" w:pos="10920" w:val="left"/>
        </w:tabs>
        <w:rPr>
          <w:sz w:val="20"/>
          <w:szCs w:val="20"/>
          <w:color w:val="auto"/>
        </w:rPr>
      </w:pPr>
      <w:r>
        <w:rPr>
          <w:rFonts w:ascii="Arial" w:cs="Arial" w:eastAsia="Arial" w:hAnsi="Arial"/>
          <w:sz w:val="14"/>
          <w:szCs w:val="14"/>
          <w:b w:val="1"/>
          <w:bCs w:val="1"/>
          <w:color w:val="052B82"/>
        </w:rPr>
        <w:t>2020 Proxy Statement</w:t>
      </w:r>
      <w:r>
        <w:rPr>
          <w:sz w:val="20"/>
          <w:szCs w:val="20"/>
          <w:color w:val="auto"/>
        </w:rPr>
        <w:tab/>
      </w:r>
      <w:r>
        <w:rPr>
          <w:rFonts w:ascii="Arial" w:cs="Arial" w:eastAsia="Arial" w:hAnsi="Arial"/>
          <w:sz w:val="17"/>
          <w:szCs w:val="17"/>
          <w:color w:val="999999"/>
        </w:rPr>
        <w:t>A-1</w:t>
      </w:r>
    </w:p>
    <w:p>
      <w:pPr>
        <w:sectPr>
          <w:pgSz w:w="11900" w:h="16838" w:orient="portrait"/>
          <w:cols w:equalWidth="0" w:num="1">
            <w:col w:w="11240"/>
          </w:cols>
          <w:pgMar w:left="240" w:top="459" w:right="41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2649855" cy="13716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left="200" w:right="460" w:firstLine="441"/>
        <w:spacing w:after="0"/>
        <w:rPr>
          <w:sz w:val="20"/>
          <w:szCs w:val="20"/>
          <w:color w:val="auto"/>
        </w:rPr>
      </w:pPr>
      <w:r>
        <w:rPr>
          <w:rFonts w:ascii="Arial" w:cs="Arial" w:eastAsia="Arial" w:hAnsi="Arial"/>
          <w:sz w:val="18"/>
          <w:szCs w:val="18"/>
          <w:color w:val="auto"/>
        </w:rPr>
        <w:t>Non-GAAP financial measures included in this Proxy Statement are financial measures that are not in accordance with, nor an alternative to, generally accepted accounting principles and may be different from non-GAAP measures used by other companies. In addition, these non-GAAP measures are not based on any comprehensive set of accounting rules or principles.</w:t>
      </w:r>
    </w:p>
    <w:p>
      <w:pPr>
        <w:spacing w:after="0" w:line="203" w:lineRule="exact"/>
        <w:rPr>
          <w:sz w:val="20"/>
          <w:szCs w:val="20"/>
          <w:color w:val="auto"/>
        </w:rPr>
      </w:pPr>
    </w:p>
    <w:p>
      <w:pPr>
        <w:ind w:left="200" w:firstLine="441"/>
        <w:spacing w:after="0" w:line="237" w:lineRule="auto"/>
        <w:rPr>
          <w:sz w:val="20"/>
          <w:szCs w:val="20"/>
          <w:color w:val="auto"/>
        </w:rPr>
      </w:pPr>
      <w:r>
        <w:rPr>
          <w:rFonts w:ascii="Arial" w:cs="Arial" w:eastAsia="Arial" w:hAnsi="Arial"/>
          <w:sz w:val="18"/>
          <w:szCs w:val="18"/>
          <w:color w:val="auto"/>
        </w:rPr>
        <w:t>Management uses non-GAAP measures internally to evaluate the Company’s operating performance from continuing operations against past periods and to budget and allocate resources in future periods. These non-GAAP measures also assist management in evaluating the Company’s core business and trends across different reporting periods on a consistent basis. Management also uses these non-GAAP measures as the primary performance measurement when communicating with analysts and investors regarding the Company’s earnings results and believes that the presentation of these non-GAAP measures is useful to investors because it provides investors with the operating results that management uses to manage the Company and enables investors and analysts to evaluate the Company’s core business.</w:t>
      </w:r>
    </w:p>
    <w:p>
      <w:pPr>
        <w:spacing w:after="0" w:line="203" w:lineRule="exact"/>
        <w:rPr>
          <w:sz w:val="20"/>
          <w:szCs w:val="20"/>
          <w:color w:val="auto"/>
        </w:rPr>
      </w:pPr>
    </w:p>
    <w:p>
      <w:pPr>
        <w:ind w:left="200" w:firstLine="441"/>
        <w:spacing w:after="0" w:line="237" w:lineRule="auto"/>
        <w:rPr>
          <w:sz w:val="20"/>
          <w:szCs w:val="20"/>
          <w:color w:val="auto"/>
        </w:rPr>
      </w:pPr>
      <w:r>
        <w:rPr>
          <w:rFonts w:ascii="Arial" w:cs="Arial" w:eastAsia="Arial" w:hAnsi="Arial"/>
          <w:sz w:val="18"/>
          <w:szCs w:val="18"/>
          <w:color w:val="auto"/>
        </w:rPr>
        <w:t>Analog Devices believes that non-GAAP measures have material limitations in that they do not reflect all of the amounts associated with our results of operations as determined in accordance with GAAP and that these measures should only be used to evaluate our results of operations in conjunction with the corresponding GAAP measures. In addition, our non-GAAP measures may not be comparable to the non-GAAP measures reported by other companies. The Company’s use of non-GAAP measures, and the underlying methodology when excluding certain items, is not necessarily an indication of the results of operations that may be expected in the future, or that the Company will not, in fact, record such items in future periods. Investors should consider our non-GAAP financial measures in conjunction with the corresponding GAAP measures.</w:t>
      </w:r>
    </w:p>
    <w:p>
      <w:pPr>
        <w:spacing w:after="0" w:line="289" w:lineRule="exact"/>
        <w:rPr>
          <w:sz w:val="20"/>
          <w:szCs w:val="20"/>
          <w:color w:val="auto"/>
        </w:rPr>
      </w:pPr>
    </w:p>
    <w:p>
      <w:pPr>
        <w:ind w:left="200" w:right="300"/>
        <w:spacing w:after="0" w:line="271" w:lineRule="auto"/>
        <w:rPr>
          <w:sz w:val="20"/>
          <w:szCs w:val="20"/>
          <w:color w:val="auto"/>
        </w:rPr>
      </w:pPr>
      <w:r>
        <w:rPr>
          <w:rFonts w:ascii="Arial" w:cs="Arial" w:eastAsia="Arial" w:hAnsi="Arial"/>
          <w:sz w:val="18"/>
          <w:szCs w:val="18"/>
          <w:b w:val="1"/>
          <w:bCs w:val="1"/>
          <w:color w:val="auto"/>
        </w:rPr>
        <w:t>The following item is excluded from our non-GAAP gross margin, non-GAAP operating income, non-GAAP operating margin, and non-GAAP diluted earnings per share:</w:t>
      </w:r>
    </w:p>
    <w:p>
      <w:pPr>
        <w:spacing w:after="0" w:line="50" w:lineRule="exact"/>
        <w:rPr>
          <w:sz w:val="20"/>
          <w:szCs w:val="20"/>
          <w:color w:val="auto"/>
        </w:rPr>
      </w:pPr>
    </w:p>
    <w:p>
      <w:pPr>
        <w:ind w:left="200" w:right="20" w:firstLine="441"/>
        <w:spacing w:after="0" w:line="241" w:lineRule="auto"/>
        <w:rPr>
          <w:sz w:val="20"/>
          <w:szCs w:val="20"/>
          <w:color w:val="auto"/>
        </w:rPr>
      </w:pPr>
      <w:r>
        <w:rPr>
          <w:rFonts w:ascii="Arial" w:cs="Arial" w:eastAsia="Arial" w:hAnsi="Arial"/>
          <w:sz w:val="18"/>
          <w:szCs w:val="18"/>
          <w:i w:val="1"/>
          <w:iCs w:val="1"/>
          <w:color w:val="auto"/>
        </w:rPr>
        <w:t>Acquisition-Related Expenses</w:t>
      </w:r>
      <w:r>
        <w:rPr>
          <w:rFonts w:ascii="Arial" w:cs="Arial" w:eastAsia="Arial" w:hAnsi="Arial"/>
          <w:sz w:val="18"/>
          <w:szCs w:val="18"/>
          <w:color w:val="auto"/>
        </w:rPr>
        <w:t>: Expenses incurred as a result of current and prior period acquisitions and primarily include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the fair value adjustments to inventory, property, plant and equipment and amortization of acquisition related intangibles, which include acquired intangibles such as purchased technology and customer relationships. Expenses also include severance payments, equity award accelerations and the fair value adjustment associated with the replacement of share-based awards related to the Linear Technology acquisition. We excluded these costs from our non-GAAP measures because they relate to specific transactions and are not reflective of our ongoing financial performance.</w:t>
      </w:r>
    </w:p>
    <w:p>
      <w:pPr>
        <w:spacing w:after="0" w:line="289" w:lineRule="exact"/>
        <w:rPr>
          <w:sz w:val="20"/>
          <w:szCs w:val="20"/>
          <w:color w:val="auto"/>
        </w:rPr>
      </w:pPr>
    </w:p>
    <w:p>
      <w:pPr>
        <w:ind w:left="200" w:right="320"/>
        <w:spacing w:after="0" w:line="271" w:lineRule="auto"/>
        <w:rPr>
          <w:sz w:val="20"/>
          <w:szCs w:val="20"/>
          <w:color w:val="auto"/>
        </w:rPr>
      </w:pPr>
      <w:r>
        <w:rPr>
          <w:rFonts w:ascii="Arial" w:cs="Arial" w:eastAsia="Arial" w:hAnsi="Arial"/>
          <w:sz w:val="18"/>
          <w:szCs w:val="18"/>
          <w:b w:val="1"/>
          <w:bCs w:val="1"/>
          <w:color w:val="auto"/>
        </w:rPr>
        <w:t>The following items are excluded from our non-GAAP operating income, non-GAAP operating margin, and non-GAAP diluted earnings per share:</w:t>
      </w:r>
    </w:p>
    <w:p>
      <w:pPr>
        <w:spacing w:after="0" w:line="50" w:lineRule="exact"/>
        <w:rPr>
          <w:sz w:val="20"/>
          <w:szCs w:val="20"/>
          <w:color w:val="auto"/>
        </w:rPr>
      </w:pPr>
    </w:p>
    <w:p>
      <w:pPr>
        <w:ind w:left="200" w:firstLine="441"/>
        <w:spacing w:after="0" w:line="245" w:lineRule="auto"/>
        <w:rPr>
          <w:sz w:val="20"/>
          <w:szCs w:val="20"/>
          <w:color w:val="auto"/>
        </w:rPr>
      </w:pPr>
      <w:r>
        <w:rPr>
          <w:rFonts w:ascii="Arial" w:cs="Arial" w:eastAsia="Arial" w:hAnsi="Arial"/>
          <w:sz w:val="18"/>
          <w:szCs w:val="18"/>
          <w:i w:val="1"/>
          <w:iCs w:val="1"/>
          <w:color w:val="auto"/>
        </w:rPr>
        <w:t xml:space="preserve">Restructuring-Related Expense: </w:t>
      </w:r>
      <w:r>
        <w:rPr>
          <w:rFonts w:ascii="Arial" w:cs="Arial" w:eastAsia="Arial" w:hAnsi="Arial"/>
          <w:sz w:val="18"/>
          <w:szCs w:val="18"/>
          <w:color w:val="auto"/>
        </w:rPr>
        <w:t>Expenses incurred in connection with facility closures, consolidation of manufacturing facilities,</w:t>
      </w:r>
      <w:r>
        <w:rPr>
          <w:rFonts w:ascii="Arial" w:cs="Arial" w:eastAsia="Arial" w:hAnsi="Arial"/>
          <w:sz w:val="18"/>
          <w:szCs w:val="18"/>
          <w:i w:val="1"/>
          <w:iCs w:val="1"/>
          <w:color w:val="auto"/>
        </w:rPr>
        <w:t xml:space="preserve"> </w:t>
      </w:r>
      <w:r>
        <w:rPr>
          <w:rFonts w:ascii="Arial" w:cs="Arial" w:eastAsia="Arial" w:hAnsi="Arial"/>
          <w:sz w:val="18"/>
          <w:szCs w:val="18"/>
          <w:color w:val="auto"/>
        </w:rPr>
        <w:t>severance, other accelerated stock-based compensation expense and other cost reduction efforts. We excluded these expenses from our non-GAAP measures because apart from ongoing expense savings as a result of such items, these expenses have no direct correlation to the operation of our business in the future.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following item is excluded from our non-GAAP diluted earnings per share:</w:t>
      </w:r>
    </w:p>
    <w:p>
      <w:pPr>
        <w:spacing w:after="0" w:line="108" w:lineRule="exact"/>
        <w:rPr>
          <w:sz w:val="20"/>
          <w:szCs w:val="20"/>
          <w:color w:val="auto"/>
        </w:rPr>
      </w:pPr>
    </w:p>
    <w:p>
      <w:pPr>
        <w:ind w:left="200" w:firstLine="441"/>
        <w:spacing w:after="0" w:line="242" w:lineRule="auto"/>
        <w:rPr>
          <w:sz w:val="20"/>
          <w:szCs w:val="20"/>
          <w:color w:val="auto"/>
        </w:rPr>
      </w:pPr>
      <w:r>
        <w:rPr>
          <w:rFonts w:ascii="Arial" w:cs="Arial" w:eastAsia="Arial" w:hAnsi="Arial"/>
          <w:sz w:val="18"/>
          <w:szCs w:val="18"/>
          <w:i w:val="1"/>
          <w:iCs w:val="1"/>
          <w:color w:val="auto"/>
        </w:rPr>
        <w:t xml:space="preserve">Tax-Related Items: </w:t>
      </w:r>
      <w:r>
        <w:rPr>
          <w:rFonts w:ascii="Arial" w:cs="Arial" w:eastAsia="Arial" w:hAnsi="Arial"/>
          <w:sz w:val="18"/>
          <w:szCs w:val="18"/>
          <w:color w:val="auto"/>
        </w:rPr>
        <w:t>Tax adjustments associated with the non-GAAP items discussed above, discrete tax items including tax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or benefit related to prior periods, income tax from prior period tax credits, income tax on certain inventory intra-entity transfers, tax expense or benefit related to the impact of the Tax Cuts and Jobs Act of 2017 and other deferred tax recalibration adjustments, income tax from state valuation allowance adjustments, and the impact of a voluntary accounting policy change. We excluded these tax-related items from our non-GAAP measures because they are not associated with the tax expense on our current operating results.</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Investors should consider our non-GAAP financial measures in conjunction with the corresponding GAAP measures.</w:t>
      </w:r>
    </w:p>
    <w:p>
      <w:pPr>
        <w:spacing w:after="0" w:line="144" w:lineRule="exact"/>
        <w:rPr>
          <w:sz w:val="20"/>
          <w:szCs w:val="20"/>
          <w:color w:val="auto"/>
        </w:rPr>
      </w:pPr>
    </w:p>
    <w:p>
      <w:pPr>
        <w:ind w:left="200"/>
        <w:spacing w:after="0"/>
        <w:tabs>
          <w:tab w:leader="none" w:pos="660" w:val="left"/>
        </w:tabs>
        <w:rPr>
          <w:sz w:val="20"/>
          <w:szCs w:val="20"/>
          <w:color w:val="auto"/>
        </w:rPr>
      </w:pPr>
      <w:r>
        <w:rPr>
          <w:rFonts w:ascii="Arial" w:cs="Arial" w:eastAsia="Arial" w:hAnsi="Arial"/>
          <w:sz w:val="18"/>
          <w:szCs w:val="18"/>
          <w:color w:val="999999"/>
        </w:rPr>
        <w:t>A-2</w:t>
      </w:r>
      <w:r>
        <w:rPr>
          <w:sz w:val="20"/>
          <w:szCs w:val="20"/>
          <w:color w:val="auto"/>
        </w:rPr>
        <w:tab/>
      </w:r>
      <w:r>
        <w:rPr>
          <w:rFonts w:ascii="Arial" w:cs="Arial" w:eastAsia="Arial" w:hAnsi="Arial"/>
          <w:sz w:val="14"/>
          <w:szCs w:val="14"/>
          <w:b w:val="1"/>
          <w:bCs w:val="1"/>
          <w:color w:val="052B82"/>
        </w:rPr>
        <w:t>Analog Devices, Inc.</w:t>
      </w:r>
    </w:p>
    <w:p>
      <w:pPr>
        <w:sectPr>
          <w:pgSz w:w="11900" w:h="16838" w:orient="portrait"/>
          <w:cols w:equalWidth="0" w:num="1">
            <w:col w:w="11200"/>
          </w:cols>
          <w:pgMar w:left="24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205740</wp:posOffset>
            </wp:positionV>
            <wp:extent cx="2649855" cy="13716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0"/>
        <w:spacing w:after="0"/>
        <w:rPr>
          <w:sz w:val="20"/>
          <w:szCs w:val="20"/>
          <w:color w:val="auto"/>
        </w:rPr>
      </w:pPr>
      <w:r>
        <w:rPr>
          <w:rFonts w:ascii="Arial" w:cs="Arial" w:eastAsia="Arial" w:hAnsi="Arial"/>
          <w:sz w:val="32"/>
          <w:szCs w:val="32"/>
          <w:color w:val="052B82"/>
        </w:rPr>
        <w:t>APPENDIX B</w:t>
      </w:r>
    </w:p>
    <w:p>
      <w:pPr>
        <w:spacing w:after="0" w:line="192"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u w:val="single" w:color="auto"/>
          <w:color w:val="auto"/>
        </w:rPr>
        <w:t>ANALOG DEVICES, INC.</w:t>
      </w:r>
    </w:p>
    <w:p>
      <w:pPr>
        <w:spacing w:after="0" w:line="226"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u w:val="single" w:color="auto"/>
          <w:color w:val="auto"/>
        </w:rPr>
        <w:t>2020 EQUITY INCENTIVE PLAN</w:t>
      </w:r>
    </w:p>
    <w:p>
      <w:pPr>
        <w:spacing w:after="0" w:line="200" w:lineRule="exact"/>
        <w:rPr>
          <w:sz w:val="20"/>
          <w:szCs w:val="20"/>
          <w:color w:val="auto"/>
        </w:rPr>
      </w:pPr>
    </w:p>
    <w:p>
      <w:pPr>
        <w:spacing w:after="0" w:line="204" w:lineRule="exact"/>
        <w:rPr>
          <w:sz w:val="20"/>
          <w:szCs w:val="20"/>
          <w:color w:val="auto"/>
        </w:rPr>
      </w:pPr>
    </w:p>
    <w:p>
      <w:pPr>
        <w:ind w:left="640" w:hanging="436"/>
        <w:spacing w:after="0"/>
        <w:tabs>
          <w:tab w:leader="none" w:pos="640"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Purpose</w:t>
      </w:r>
    </w:p>
    <w:p>
      <w:pPr>
        <w:spacing w:after="0" w:line="82" w:lineRule="exact"/>
        <w:rPr>
          <w:sz w:val="20"/>
          <w:szCs w:val="20"/>
          <w:color w:val="auto"/>
        </w:rPr>
      </w:pPr>
    </w:p>
    <w:p>
      <w:pPr>
        <w:ind w:left="200" w:right="80" w:firstLine="441"/>
        <w:spacing w:after="0" w:line="239" w:lineRule="auto"/>
        <w:rPr>
          <w:sz w:val="20"/>
          <w:szCs w:val="20"/>
          <w:color w:val="auto"/>
        </w:rPr>
      </w:pPr>
      <w:r>
        <w:rPr>
          <w:rFonts w:ascii="Arial" w:cs="Arial" w:eastAsia="Arial" w:hAnsi="Arial"/>
          <w:sz w:val="18"/>
          <w:szCs w:val="18"/>
          <w:color w:val="auto"/>
        </w:rPr>
        <w:t>The purpose of this 2020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of Analog Devices, Inc., a Massachusetts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is to advance the interests of the Company’s stockholders by enhancing the Company’s ability to attract, retain and motivate persons who are expected to make important contributions to the Company and by providing such persons with equity ownership opportunities and equity performance-based incentives that are intended to better align the interests of such persons with those of the Company’s stockholders. Except where the context otherwise requires, the term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shall include any of the Company’s present or future parent or subsidiary corporations as defined in Sections 424(e) or (f) of the Internal Revenue Code of 1986, as amended, and any regulations thereunder (the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and any other business venture (including, without limitation, joint venture or limited liability company) in which the Company has a controlling interest, as determined by the Board of Directors of the Company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other business ventures shall be limited to entities that, where required by Section 409A of the Code, are eligible</w:t>
      </w:r>
      <w:r>
        <w:rPr>
          <w:rFonts w:ascii="Arial" w:cs="Arial" w:eastAsia="Arial" w:hAnsi="Arial"/>
          <w:sz w:val="18"/>
          <w:szCs w:val="18"/>
          <w:i w:val="1"/>
          <w:iCs w:val="1"/>
          <w:color w:val="auto"/>
        </w:rPr>
        <w:t xml:space="preserve"> </w:t>
      </w:r>
      <w:r>
        <w:rPr>
          <w:rFonts w:ascii="Arial" w:cs="Arial" w:eastAsia="Arial" w:hAnsi="Arial"/>
          <w:sz w:val="18"/>
          <w:szCs w:val="18"/>
          <w:color w:val="auto"/>
        </w:rPr>
        <w:t>issuers of service recipient stock (as defined in Treas. Reg. Section 1.409A-1(b)(5)(iii)(E), or applicable successor regulation).</w:t>
      </w:r>
    </w:p>
    <w:p>
      <w:pPr>
        <w:spacing w:after="0" w:line="351" w:lineRule="exact"/>
        <w:rPr>
          <w:sz w:val="20"/>
          <w:szCs w:val="20"/>
          <w:color w:val="auto"/>
        </w:rPr>
      </w:pPr>
    </w:p>
    <w:p>
      <w:pPr>
        <w:ind w:left="640" w:hanging="436"/>
        <w:spacing w:after="0"/>
        <w:tabs>
          <w:tab w:leader="none" w:pos="640"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Eligibility</w:t>
      </w:r>
    </w:p>
    <w:p>
      <w:pPr>
        <w:spacing w:after="0" w:line="104" w:lineRule="exact"/>
        <w:rPr>
          <w:sz w:val="20"/>
          <w:szCs w:val="20"/>
          <w:color w:val="auto"/>
        </w:rPr>
      </w:pPr>
    </w:p>
    <w:p>
      <w:pPr>
        <w:ind w:left="200" w:right="20" w:firstLine="441"/>
        <w:spacing w:after="0" w:line="236" w:lineRule="auto"/>
        <w:rPr>
          <w:sz w:val="20"/>
          <w:szCs w:val="20"/>
          <w:color w:val="auto"/>
        </w:rPr>
      </w:pPr>
      <w:r>
        <w:rPr>
          <w:rFonts w:ascii="Arial" w:cs="Arial" w:eastAsia="Arial" w:hAnsi="Arial"/>
          <w:sz w:val="18"/>
          <w:szCs w:val="18"/>
          <w:color w:val="auto"/>
        </w:rPr>
        <w:t>All of the Company’s employees, officers and directors, as well as consultants and advisors to the Company (as the terms consultants and advisors are defined and interpreted for purposes of Form S-8 under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or any successor form) are eligible to be granted Awards (as defined below) under the Plan. Each person who is granted an Award under the Plan is deemed a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The Plan provides for the following types of awards, each of which is referred to as an “</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Options (as defined in Section 5), SARs (as defined in Section 6), Restricted Stock (as defined in Section 7), RSUs (also as defined in Section 7) and Other Stock-Based Awards (as defined in Section 8). Except as otherwise provided by the Plan, each Award may be made alone or in addition or in relation to any other Award. The terms of each Award need not be identical, and the Board need not treat Participants uniformly.</w:t>
      </w:r>
    </w:p>
    <w:p>
      <w:pPr>
        <w:spacing w:after="0" w:line="357" w:lineRule="exact"/>
        <w:rPr>
          <w:sz w:val="20"/>
          <w:szCs w:val="20"/>
          <w:color w:val="auto"/>
        </w:rPr>
      </w:pPr>
    </w:p>
    <w:p>
      <w:pPr>
        <w:ind w:left="640" w:hanging="436"/>
        <w:spacing w:after="0"/>
        <w:tabs>
          <w:tab w:leader="none" w:pos="640"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Administration and Delegation</w:t>
      </w:r>
    </w:p>
    <w:p>
      <w:pPr>
        <w:spacing w:after="0" w:line="103" w:lineRule="exact"/>
        <w:rPr>
          <w:rFonts w:ascii="Arial" w:cs="Arial" w:eastAsia="Arial" w:hAnsi="Arial"/>
          <w:sz w:val="18"/>
          <w:szCs w:val="18"/>
          <w:color w:val="auto"/>
        </w:rPr>
      </w:pPr>
    </w:p>
    <w:p>
      <w:pPr>
        <w:ind w:left="200" w:right="40" w:firstLine="444"/>
        <w:spacing w:after="0" w:line="237" w:lineRule="auto"/>
        <w:tabs>
          <w:tab w:leader="none" w:pos="1161" w:val="left"/>
        </w:tabs>
        <w:numPr>
          <w:ilvl w:val="1"/>
          <w:numId w:val="129"/>
        </w:numPr>
        <w:rPr>
          <w:rFonts w:ascii="Arial" w:cs="Arial" w:eastAsia="Arial" w:hAnsi="Arial"/>
          <w:sz w:val="18"/>
          <w:szCs w:val="18"/>
          <w:color w:val="auto"/>
        </w:rPr>
      </w:pPr>
      <w:r>
        <w:rPr>
          <w:rFonts w:ascii="Arial" w:cs="Arial" w:eastAsia="Arial" w:hAnsi="Arial"/>
          <w:sz w:val="18"/>
          <w:szCs w:val="18"/>
          <w:u w:val="single" w:color="auto"/>
          <w:color w:val="auto"/>
        </w:rPr>
        <w:t>Administration by Board of Directors</w:t>
      </w:r>
      <w:r>
        <w:rPr>
          <w:rFonts w:ascii="Arial" w:cs="Arial" w:eastAsia="Arial" w:hAnsi="Arial"/>
          <w:sz w:val="18"/>
          <w:szCs w:val="18"/>
          <w:color w:val="auto"/>
        </w:rPr>
        <w:t>. The Plan will be administered by the Board. The Board shall have authority to grant Awards and to adopt, amend and repeal such administrative rules, guidelines and practices relating to the Plan as it shall deem advisable. The Board may construe and interpret the terms of the Plan and any Award agreements entered into under the Plan. The Board may correct any defect, supply any omission or reconcile any inconsistency in the Plan or any Award. All actions and decisions by the Board with respect to the Plan and any Awards shall be made in the Board’s discretion and shall be final and binding on all persons having or claiming any interest in the Plan or in any Award.</w:t>
      </w:r>
    </w:p>
    <w:p>
      <w:pPr>
        <w:spacing w:after="0" w:line="205" w:lineRule="exact"/>
        <w:rPr>
          <w:rFonts w:ascii="Arial" w:cs="Arial" w:eastAsia="Arial" w:hAnsi="Arial"/>
          <w:sz w:val="18"/>
          <w:szCs w:val="18"/>
          <w:color w:val="auto"/>
        </w:rPr>
      </w:pPr>
    </w:p>
    <w:p>
      <w:pPr>
        <w:jc w:val="both"/>
        <w:ind w:left="200" w:right="80" w:firstLine="444"/>
        <w:spacing w:after="0" w:line="239" w:lineRule="auto"/>
        <w:tabs>
          <w:tab w:leader="none" w:pos="1161" w:val="left"/>
        </w:tabs>
        <w:numPr>
          <w:ilvl w:val="1"/>
          <w:numId w:val="129"/>
        </w:numPr>
        <w:rPr>
          <w:rFonts w:ascii="Arial" w:cs="Arial" w:eastAsia="Arial" w:hAnsi="Arial"/>
          <w:sz w:val="18"/>
          <w:szCs w:val="18"/>
          <w:color w:val="auto"/>
        </w:rPr>
      </w:pPr>
      <w:r>
        <w:rPr>
          <w:rFonts w:ascii="Arial" w:cs="Arial" w:eastAsia="Arial" w:hAnsi="Arial"/>
          <w:sz w:val="18"/>
          <w:szCs w:val="18"/>
          <w:u w:val="single" w:color="auto"/>
          <w:color w:val="auto"/>
        </w:rPr>
        <w:t>Appointment of Committees</w:t>
      </w:r>
      <w:r>
        <w:rPr>
          <w:rFonts w:ascii="Arial" w:cs="Arial" w:eastAsia="Arial" w:hAnsi="Arial"/>
          <w:sz w:val="18"/>
          <w:szCs w:val="18"/>
          <w:color w:val="auto"/>
        </w:rPr>
        <w:t>. To the extent permitted by applicable law, the Board may delegate any or all of its powers under the Plan to one or more committees or subcommittees of the Board (a “</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All references in the Plan to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shall mean the Board or a Committee of the Board or the officers referred to in Section 3(c) to the extent that the Board’s powers or authority under the Plan have been delegated to such Committee or officers.</w:t>
      </w:r>
    </w:p>
    <w:p>
      <w:pPr>
        <w:spacing w:after="0" w:line="201" w:lineRule="exact"/>
        <w:rPr>
          <w:rFonts w:ascii="Arial" w:cs="Arial" w:eastAsia="Arial" w:hAnsi="Arial"/>
          <w:sz w:val="18"/>
          <w:szCs w:val="18"/>
          <w:color w:val="auto"/>
        </w:rPr>
      </w:pPr>
    </w:p>
    <w:p>
      <w:pPr>
        <w:ind w:left="200" w:right="100" w:firstLine="444"/>
        <w:spacing w:after="0" w:line="239" w:lineRule="auto"/>
        <w:tabs>
          <w:tab w:leader="none" w:pos="1150" w:val="left"/>
        </w:tabs>
        <w:numPr>
          <w:ilvl w:val="1"/>
          <w:numId w:val="129"/>
        </w:numPr>
        <w:rPr>
          <w:rFonts w:ascii="Arial" w:cs="Arial" w:eastAsia="Arial" w:hAnsi="Arial"/>
          <w:sz w:val="18"/>
          <w:szCs w:val="18"/>
          <w:color w:val="auto"/>
        </w:rPr>
      </w:pPr>
      <w:r>
        <w:rPr>
          <w:rFonts w:ascii="Arial" w:cs="Arial" w:eastAsia="Arial" w:hAnsi="Arial"/>
          <w:sz w:val="18"/>
          <w:szCs w:val="18"/>
          <w:u w:val="single" w:color="auto"/>
          <w:color w:val="auto"/>
        </w:rPr>
        <w:t>Delegation to Officers</w:t>
      </w:r>
      <w:r>
        <w:rPr>
          <w:rFonts w:ascii="Arial" w:cs="Arial" w:eastAsia="Arial" w:hAnsi="Arial"/>
          <w:sz w:val="18"/>
          <w:szCs w:val="18"/>
          <w:color w:val="auto"/>
        </w:rPr>
        <w:t>. To the extent permitted by applicable law, the Board may delegate to one or more officers of the Company the power to grant Awards (subject to any limitations under the Plan) to employees or officers of the Company and to exercise such other powers under the Plan as the Board may determine, provided that the Board shall fix the terms of the Awards to be granted by such officers (including</w:t>
      </w:r>
    </w:p>
    <w:p>
      <w:pPr>
        <w:spacing w:after="0" w:line="134" w:lineRule="exact"/>
        <w:rPr>
          <w:sz w:val="20"/>
          <w:szCs w:val="20"/>
          <w:color w:val="auto"/>
        </w:rPr>
      </w:pPr>
    </w:p>
    <w:p>
      <w:pPr>
        <w:jc w:val="right"/>
        <w:spacing w:after="0"/>
        <w:tabs>
          <w:tab w:leader="none" w:pos="260" w:val="left"/>
        </w:tabs>
        <w:rPr>
          <w:sz w:val="20"/>
          <w:szCs w:val="20"/>
          <w:color w:val="auto"/>
        </w:rPr>
      </w:pPr>
      <w:r>
        <w:rPr>
          <w:rFonts w:ascii="Arial" w:cs="Arial" w:eastAsia="Arial" w:hAnsi="Arial"/>
          <w:sz w:val="14"/>
          <w:szCs w:val="14"/>
          <w:b w:val="1"/>
          <w:bCs w:val="1"/>
          <w:color w:val="052B82"/>
        </w:rPr>
        <w:t>2020 Proxy Statement</w:t>
      </w:r>
      <w:r>
        <w:rPr>
          <w:sz w:val="20"/>
          <w:szCs w:val="20"/>
          <w:color w:val="auto"/>
        </w:rPr>
        <w:tab/>
      </w:r>
      <w:r>
        <w:rPr>
          <w:rFonts w:ascii="Arial" w:cs="Arial" w:eastAsia="Arial" w:hAnsi="Arial"/>
          <w:sz w:val="17"/>
          <w:szCs w:val="17"/>
          <w:color w:val="999999"/>
        </w:rPr>
        <w:t>B-1</w:t>
      </w:r>
    </w:p>
    <w:p>
      <w:pPr>
        <w:sectPr>
          <w:pgSz w:w="11900" w:h="16838" w:orient="portrait"/>
          <w:cols w:equalWidth="0" w:num="1">
            <w:col w:w="11220"/>
          </w:cols>
          <w:pgMar w:left="240" w:top="459"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2649855" cy="13716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0" w:right="40"/>
        <w:spacing w:after="0" w:line="239" w:lineRule="auto"/>
        <w:rPr>
          <w:sz w:val="20"/>
          <w:szCs w:val="20"/>
          <w:color w:val="auto"/>
        </w:rPr>
      </w:pPr>
      <w:r>
        <w:rPr>
          <w:rFonts w:ascii="Arial" w:cs="Arial" w:eastAsia="Arial" w:hAnsi="Arial"/>
          <w:sz w:val="18"/>
          <w:szCs w:val="18"/>
          <w:color w:val="auto"/>
        </w:rPr>
        <w:t>the exercise price of such Awards, which may include a formula by which the exercise price will be determined) and the maximum number of shares subject to Awards that the officers may grant; provided further, however, that no officer shall be authorized to grant Awards to any “executive officer” of the Company (as defined by Rule 3b-7 under the Securities Exchange Act of 1934, as amended (the “</w:t>
      </w:r>
      <w:r>
        <w:rPr>
          <w:rFonts w:ascii="Arial" w:cs="Arial" w:eastAsia="Arial" w:hAnsi="Arial"/>
          <w:sz w:val="18"/>
          <w:szCs w:val="18"/>
          <w:b w:val="1"/>
          <w:bCs w:val="1"/>
          <w:i w:val="1"/>
          <w:iCs w:val="1"/>
          <w:color w:val="auto"/>
        </w:rPr>
        <w:t>Exchange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Act</w:t>
      </w:r>
      <w:r>
        <w:rPr>
          <w:rFonts w:ascii="Arial" w:cs="Arial" w:eastAsia="Arial" w:hAnsi="Arial"/>
          <w:sz w:val="18"/>
          <w:szCs w:val="18"/>
          <w:color w:val="auto"/>
        </w:rPr>
        <w:t>”)) or to any “officer” of the Company (as defined by Rule 16a-1 under the Exchange Act).</w:t>
      </w:r>
    </w:p>
    <w:p>
      <w:pPr>
        <w:spacing w:after="0" w:line="202" w:lineRule="exact"/>
        <w:rPr>
          <w:sz w:val="20"/>
          <w:szCs w:val="20"/>
          <w:color w:val="auto"/>
        </w:rPr>
      </w:pPr>
    </w:p>
    <w:p>
      <w:pPr>
        <w:ind w:left="200" w:right="300" w:firstLine="444"/>
        <w:spacing w:after="0"/>
        <w:tabs>
          <w:tab w:leader="none" w:pos="1161" w:val="left"/>
        </w:tabs>
        <w:numPr>
          <w:ilvl w:val="1"/>
          <w:numId w:val="130"/>
        </w:numPr>
        <w:rPr>
          <w:rFonts w:ascii="Arial" w:cs="Arial" w:eastAsia="Arial" w:hAnsi="Arial"/>
          <w:sz w:val="18"/>
          <w:szCs w:val="18"/>
          <w:color w:val="auto"/>
        </w:rPr>
      </w:pPr>
      <w:r>
        <w:rPr>
          <w:rFonts w:ascii="Arial" w:cs="Arial" w:eastAsia="Arial" w:hAnsi="Arial"/>
          <w:sz w:val="18"/>
          <w:szCs w:val="18"/>
          <w:u w:val="single" w:color="auto"/>
          <w:color w:val="auto"/>
        </w:rPr>
        <w:t>Awards to Non-Employee Directors</w:t>
      </w:r>
      <w:r>
        <w:rPr>
          <w:rFonts w:ascii="Arial" w:cs="Arial" w:eastAsia="Arial" w:hAnsi="Arial"/>
          <w:sz w:val="18"/>
          <w:szCs w:val="18"/>
          <w:color w:val="auto"/>
        </w:rPr>
        <w:t>. Awards to non-employee directors will be administered by a Committee, all of the members of which are independent directors as defined by Section 5605(a)(2) of the NASDAQ Stock Market (“</w:t>
      </w:r>
      <w:r>
        <w:rPr>
          <w:rFonts w:ascii="Arial" w:cs="Arial" w:eastAsia="Arial" w:hAnsi="Arial"/>
          <w:sz w:val="18"/>
          <w:szCs w:val="18"/>
          <w:b w:val="1"/>
          <w:bCs w:val="1"/>
          <w:i w:val="1"/>
          <w:iCs w:val="1"/>
          <w:color w:val="auto"/>
        </w:rPr>
        <w:t>NASDAQ</w:t>
      </w:r>
      <w:r>
        <w:rPr>
          <w:rFonts w:ascii="Arial" w:cs="Arial" w:eastAsia="Arial" w:hAnsi="Arial"/>
          <w:sz w:val="18"/>
          <w:szCs w:val="18"/>
          <w:color w:val="auto"/>
        </w:rPr>
        <w:t>”) Marketplace Rules.</w:t>
      </w:r>
    </w:p>
    <w:p>
      <w:pPr>
        <w:spacing w:after="0" w:line="351" w:lineRule="exact"/>
        <w:rPr>
          <w:rFonts w:ascii="Arial" w:cs="Arial" w:eastAsia="Arial" w:hAnsi="Arial"/>
          <w:sz w:val="18"/>
          <w:szCs w:val="18"/>
          <w:color w:val="auto"/>
        </w:rPr>
      </w:pPr>
    </w:p>
    <w:p>
      <w:pPr>
        <w:ind w:left="640" w:hanging="436"/>
        <w:spacing w:after="0"/>
        <w:tabs>
          <w:tab w:leader="none" w:pos="640"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Stock Available for Awards</w:t>
      </w:r>
    </w:p>
    <w:p>
      <w:pPr>
        <w:spacing w:after="0" w:line="103" w:lineRule="exact"/>
        <w:rPr>
          <w:rFonts w:ascii="Arial" w:cs="Arial" w:eastAsia="Arial" w:hAnsi="Arial"/>
          <w:sz w:val="18"/>
          <w:szCs w:val="18"/>
          <w:color w:val="auto"/>
        </w:rPr>
      </w:pPr>
    </w:p>
    <w:p>
      <w:pPr>
        <w:ind w:left="1160" w:hanging="516"/>
        <w:spacing w:after="0"/>
        <w:tabs>
          <w:tab w:leader="none" w:pos="1160" w:val="left"/>
        </w:tabs>
        <w:numPr>
          <w:ilvl w:val="1"/>
          <w:numId w:val="131"/>
        </w:numPr>
        <w:rPr>
          <w:rFonts w:ascii="Arial" w:cs="Arial" w:eastAsia="Arial" w:hAnsi="Arial"/>
          <w:sz w:val="18"/>
          <w:szCs w:val="18"/>
          <w:color w:val="auto"/>
        </w:rPr>
      </w:pPr>
      <w:r>
        <w:rPr>
          <w:rFonts w:ascii="Arial" w:cs="Arial" w:eastAsia="Arial" w:hAnsi="Arial"/>
          <w:sz w:val="18"/>
          <w:szCs w:val="18"/>
          <w:u w:val="single" w:color="auto"/>
          <w:color w:val="auto"/>
        </w:rPr>
        <w:t>Number of Shares; Share Counting</w:t>
      </w:r>
      <w:r>
        <w:rPr>
          <w:rFonts w:ascii="Arial" w:cs="Arial" w:eastAsia="Arial" w:hAnsi="Arial"/>
          <w:sz w:val="18"/>
          <w:szCs w:val="18"/>
          <w:color w:val="auto"/>
        </w:rPr>
        <w:t>.</w:t>
      </w:r>
    </w:p>
    <w:p>
      <w:pPr>
        <w:spacing w:after="0" w:line="103" w:lineRule="exact"/>
        <w:rPr>
          <w:rFonts w:ascii="Arial" w:cs="Arial" w:eastAsia="Arial" w:hAnsi="Arial"/>
          <w:sz w:val="18"/>
          <w:szCs w:val="18"/>
          <w:color w:val="auto"/>
        </w:rPr>
      </w:pPr>
    </w:p>
    <w:p>
      <w:pPr>
        <w:ind w:left="200" w:right="120" w:firstLine="996"/>
        <w:spacing w:after="0" w:line="246" w:lineRule="auto"/>
        <w:tabs>
          <w:tab w:leader="none" w:pos="1712" w:val="left"/>
        </w:tabs>
        <w:numPr>
          <w:ilvl w:val="2"/>
          <w:numId w:val="131"/>
        </w:numPr>
        <w:rPr>
          <w:rFonts w:ascii="Arial" w:cs="Arial" w:eastAsia="Arial" w:hAnsi="Arial"/>
          <w:sz w:val="18"/>
          <w:szCs w:val="18"/>
          <w:color w:val="auto"/>
        </w:rPr>
      </w:pPr>
      <w:r>
        <w:rPr>
          <w:rFonts w:ascii="Arial" w:cs="Arial" w:eastAsia="Arial" w:hAnsi="Arial"/>
          <w:sz w:val="18"/>
          <w:szCs w:val="18"/>
          <w:u w:val="single" w:color="auto"/>
          <w:color w:val="auto"/>
        </w:rPr>
        <w:t>Authorized Number of Shares</w:t>
      </w:r>
      <w:r>
        <w:rPr>
          <w:rFonts w:ascii="Arial" w:cs="Arial" w:eastAsia="Arial" w:hAnsi="Arial"/>
          <w:sz w:val="18"/>
          <w:szCs w:val="18"/>
          <w:color w:val="auto"/>
        </w:rPr>
        <w:t>. Subject to adjustment under Section 10, Awards may be made under the Plan for up to a number of shares of common stock, $.16 2/3 par value per share, of the Company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as is equal to the sum of:</w:t>
      </w:r>
    </w:p>
    <w:p>
      <w:pPr>
        <w:spacing w:after="0" w:line="196" w:lineRule="exact"/>
        <w:rPr>
          <w:rFonts w:ascii="Arial" w:cs="Arial" w:eastAsia="Arial" w:hAnsi="Arial"/>
          <w:sz w:val="18"/>
          <w:szCs w:val="18"/>
          <w:color w:val="auto"/>
        </w:rPr>
      </w:pPr>
    </w:p>
    <w:p>
      <w:pPr>
        <w:ind w:left="2280" w:hanging="533"/>
        <w:spacing w:after="0"/>
        <w:tabs>
          <w:tab w:leader="none" w:pos="2280" w:val="left"/>
        </w:tabs>
        <w:numPr>
          <w:ilvl w:val="3"/>
          <w:numId w:val="131"/>
        </w:numPr>
        <w:rPr>
          <w:rFonts w:ascii="Arial" w:cs="Arial" w:eastAsia="Arial" w:hAnsi="Arial"/>
          <w:sz w:val="18"/>
          <w:szCs w:val="18"/>
          <w:color w:val="auto"/>
        </w:rPr>
      </w:pPr>
      <w:r>
        <w:rPr>
          <w:rFonts w:ascii="Arial" w:cs="Arial" w:eastAsia="Arial" w:hAnsi="Arial"/>
          <w:sz w:val="18"/>
          <w:szCs w:val="18"/>
          <w:color w:val="auto"/>
        </w:rPr>
        <w:t>9,585,500 shares of Common Stock; and</w:t>
      </w:r>
    </w:p>
    <w:p>
      <w:pPr>
        <w:spacing w:after="0" w:line="211" w:lineRule="exact"/>
        <w:rPr>
          <w:rFonts w:ascii="Arial" w:cs="Arial" w:eastAsia="Arial" w:hAnsi="Arial"/>
          <w:sz w:val="18"/>
          <w:szCs w:val="18"/>
          <w:color w:val="auto"/>
        </w:rPr>
      </w:pPr>
    </w:p>
    <w:p>
      <w:pPr>
        <w:ind w:left="200" w:firstLine="1547"/>
        <w:spacing w:after="0" w:line="236" w:lineRule="auto"/>
        <w:tabs>
          <w:tab w:leader="none" w:pos="2283" w:val="left"/>
        </w:tabs>
        <w:numPr>
          <w:ilvl w:val="3"/>
          <w:numId w:val="131"/>
        </w:numPr>
        <w:rPr>
          <w:rFonts w:ascii="Arial" w:cs="Arial" w:eastAsia="Arial" w:hAnsi="Arial"/>
          <w:sz w:val="18"/>
          <w:szCs w:val="18"/>
          <w:color w:val="auto"/>
        </w:rPr>
      </w:pPr>
      <w:r>
        <w:rPr>
          <w:rFonts w:ascii="Arial" w:cs="Arial" w:eastAsia="Arial" w:hAnsi="Arial"/>
          <w:sz w:val="18"/>
          <w:szCs w:val="18"/>
          <w:color w:val="auto"/>
        </w:rPr>
        <w:t>such additional number of shares of Common Stock (up to 20,857,992) as is equal to the sum of (x) the number of shares of Common Stock reserved for issuance under the Company’s Amended and Restated 2006 Stock Incentive Plan and the Company’s 2010 Amended and Restated Equity Incentive Plan (together, the “</w:t>
      </w:r>
      <w:r>
        <w:rPr>
          <w:rFonts w:ascii="Arial" w:cs="Arial" w:eastAsia="Arial" w:hAnsi="Arial"/>
          <w:sz w:val="18"/>
          <w:szCs w:val="18"/>
          <w:b w:val="1"/>
          <w:bCs w:val="1"/>
          <w:i w:val="1"/>
          <w:iCs w:val="1"/>
          <w:color w:val="auto"/>
        </w:rPr>
        <w:t>Existing Plans</w:t>
      </w:r>
      <w:r>
        <w:rPr>
          <w:rFonts w:ascii="Arial" w:cs="Arial" w:eastAsia="Arial" w:hAnsi="Arial"/>
          <w:sz w:val="18"/>
          <w:szCs w:val="18"/>
          <w:color w:val="auto"/>
        </w:rPr>
        <w:t>”) that remain available for grant under the Existing Plan immediately prior to the date that the Plan is approved by the Company’s stockholders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and (y) the number of shares of Common Stock subject to awards granted under the Existing Plans and under the Company’s Linear Technology Corporation 2005 Equity Incentive Plan which awards expire, terminate or are otherwise surrendered, cancelled, forfeited or repurchased by the Company at their original issuance price pursuant to a contractual repurchase right (subject, however, in the case of Incentive Stock Options to any limitations under the Code). For the avoidance of doubt, each share that was subject to an award granted under the Company’s Amended and Restated 2006 Stock Incentive Plan that is returned to the Plan pursuant to this Section 4(a)(1)(B) shall cause each applicable share reserve to be credited with one share.</w:t>
      </w:r>
    </w:p>
    <w:p>
      <w:pPr>
        <w:spacing w:after="0" w:line="207" w:lineRule="exact"/>
        <w:rPr>
          <w:sz w:val="20"/>
          <w:szCs w:val="20"/>
          <w:color w:val="auto"/>
        </w:rPr>
      </w:pPr>
    </w:p>
    <w:p>
      <w:pPr>
        <w:jc w:val="both"/>
        <w:ind w:left="200" w:right="280"/>
        <w:spacing w:after="0"/>
        <w:rPr>
          <w:sz w:val="20"/>
          <w:szCs w:val="20"/>
          <w:color w:val="auto"/>
        </w:rPr>
      </w:pPr>
      <w:r>
        <w:rPr>
          <w:rFonts w:ascii="Arial" w:cs="Arial" w:eastAsia="Arial" w:hAnsi="Arial"/>
          <w:sz w:val="18"/>
          <w:szCs w:val="18"/>
          <w:color w:val="auto"/>
        </w:rPr>
        <w:t>Any or all of the shares of Common Stock available for issuance under the Plan may be awarded in the form of Incentive Stock Options (as defined in Section 5(b)). Shares of Common Stock issued under the Plan may consist in whole or in part of authorized but unissued shares or treasury shares.</w:t>
      </w:r>
    </w:p>
    <w:p>
      <w:pPr>
        <w:spacing w:after="0" w:line="203" w:lineRule="exact"/>
        <w:rPr>
          <w:sz w:val="20"/>
          <w:szCs w:val="20"/>
          <w:color w:val="auto"/>
        </w:rPr>
      </w:pPr>
    </w:p>
    <w:p>
      <w:pPr>
        <w:ind w:left="200" w:right="60" w:firstLine="996"/>
        <w:spacing w:after="0" w:line="246" w:lineRule="auto"/>
        <w:tabs>
          <w:tab w:leader="none" w:pos="1712"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Share Counting</w:t>
      </w:r>
      <w:r>
        <w:rPr>
          <w:rFonts w:ascii="Arial" w:cs="Arial" w:eastAsia="Arial" w:hAnsi="Arial"/>
          <w:sz w:val="18"/>
          <w:szCs w:val="18"/>
          <w:color w:val="auto"/>
        </w:rPr>
        <w:t>. For purposes of counting the number of shares available for the grant of Awards under the Plan under this Section 4(a) and under the sublimits contained in Section 4(b):</w:t>
      </w:r>
    </w:p>
    <w:p>
      <w:pPr>
        <w:spacing w:after="0" w:line="196" w:lineRule="exact"/>
        <w:rPr>
          <w:rFonts w:ascii="Arial" w:cs="Arial" w:eastAsia="Arial" w:hAnsi="Arial"/>
          <w:sz w:val="18"/>
          <w:szCs w:val="18"/>
          <w:color w:val="auto"/>
        </w:rPr>
      </w:pPr>
    </w:p>
    <w:p>
      <w:pPr>
        <w:ind w:left="200" w:right="100" w:firstLine="1547"/>
        <w:spacing w:after="0" w:line="237" w:lineRule="auto"/>
        <w:tabs>
          <w:tab w:leader="none" w:pos="2283" w:val="left"/>
        </w:tabs>
        <w:numPr>
          <w:ilvl w:val="1"/>
          <w:numId w:val="132"/>
        </w:numPr>
        <w:rPr>
          <w:rFonts w:ascii="Arial" w:cs="Arial" w:eastAsia="Arial" w:hAnsi="Arial"/>
          <w:sz w:val="18"/>
          <w:szCs w:val="18"/>
          <w:color w:val="auto"/>
        </w:rPr>
      </w:pPr>
      <w:r>
        <w:rPr>
          <w:rFonts w:ascii="Arial" w:cs="Arial" w:eastAsia="Arial" w:hAnsi="Arial"/>
          <w:sz w:val="18"/>
          <w:szCs w:val="18"/>
          <w:color w:val="auto"/>
        </w:rPr>
        <w:t xml:space="preserve">all shares of Common Stock covered by SARs shall be counted against the number of shares available for the grant of Awards under the Plan and against the sublimits contained in Section 4(b); </w:t>
      </w:r>
      <w:r>
        <w:rPr>
          <w:rFonts w:ascii="Arial" w:cs="Arial" w:eastAsia="Arial" w:hAnsi="Arial"/>
          <w:sz w:val="18"/>
          <w:szCs w:val="18"/>
          <w:i w:val="1"/>
          <w:iCs w:val="1"/>
          <w:color w:val="auto"/>
        </w:rPr>
        <w:t>provided, however</w:t>
      </w:r>
      <w:r>
        <w:rPr>
          <w:rFonts w:ascii="Arial" w:cs="Arial" w:eastAsia="Arial" w:hAnsi="Arial"/>
          <w:sz w:val="18"/>
          <w:szCs w:val="18"/>
          <w:color w:val="auto"/>
        </w:rPr>
        <w:t>, that (i) SARs that may be settled only in cash shall not be so counted and (ii) if the Company grants an SAR in tandem with an Option for the same number of shares of Common Stock and provides that only one such Award may be exercised (a “</w:t>
      </w:r>
      <w:r>
        <w:rPr>
          <w:rFonts w:ascii="Arial" w:cs="Arial" w:eastAsia="Arial" w:hAnsi="Arial"/>
          <w:sz w:val="18"/>
          <w:szCs w:val="18"/>
          <w:b w:val="1"/>
          <w:bCs w:val="1"/>
          <w:i w:val="1"/>
          <w:iCs w:val="1"/>
          <w:color w:val="auto"/>
        </w:rPr>
        <w:t>Tandem SAR</w:t>
      </w:r>
      <w:r>
        <w:rPr>
          <w:rFonts w:ascii="Arial" w:cs="Arial" w:eastAsia="Arial" w:hAnsi="Arial"/>
          <w:sz w:val="18"/>
          <w:szCs w:val="18"/>
          <w:color w:val="auto"/>
        </w:rPr>
        <w:t>”), only the shares covered by the Option, and not the shares covered by the Tandem SAR, shall be so counted, and the expiration of one in connection with the other’s exercise will not restore shares to the Plan;</w:t>
      </w:r>
    </w:p>
    <w:p>
      <w:pPr>
        <w:spacing w:after="0" w:line="205" w:lineRule="exact"/>
        <w:rPr>
          <w:rFonts w:ascii="Arial" w:cs="Arial" w:eastAsia="Arial" w:hAnsi="Arial"/>
          <w:sz w:val="18"/>
          <w:szCs w:val="18"/>
          <w:color w:val="auto"/>
        </w:rPr>
      </w:pPr>
    </w:p>
    <w:p>
      <w:pPr>
        <w:ind w:left="200" w:right="160" w:firstLine="1547"/>
        <w:spacing w:after="0" w:line="246" w:lineRule="auto"/>
        <w:tabs>
          <w:tab w:leader="none" w:pos="2283"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to the extent that an RSU may be settled only in cash, no shares shall be counted against the shares available for the grant of Awards under the Plan;</w:t>
      </w:r>
    </w:p>
    <w:p>
      <w:pPr>
        <w:spacing w:after="0" w:line="196" w:lineRule="exact"/>
        <w:rPr>
          <w:rFonts w:ascii="Arial" w:cs="Arial" w:eastAsia="Arial" w:hAnsi="Arial"/>
          <w:sz w:val="18"/>
          <w:szCs w:val="18"/>
          <w:color w:val="auto"/>
        </w:rPr>
      </w:pPr>
    </w:p>
    <w:p>
      <w:pPr>
        <w:ind w:left="200" w:right="20" w:firstLine="1547"/>
        <w:spacing w:after="0" w:line="239" w:lineRule="auto"/>
        <w:tabs>
          <w:tab w:leader="none" w:pos="2293" w:val="left"/>
        </w:tabs>
        <w:numPr>
          <w:ilvl w:val="1"/>
          <w:numId w:val="132"/>
        </w:numPr>
        <w:rPr>
          <w:rFonts w:ascii="Arial" w:cs="Arial" w:eastAsia="Arial" w:hAnsi="Arial"/>
          <w:sz w:val="18"/>
          <w:szCs w:val="18"/>
          <w:color w:val="auto"/>
        </w:rPr>
      </w:pPr>
      <w:r>
        <w:rPr>
          <w:rFonts w:ascii="Arial" w:cs="Arial" w:eastAsia="Arial" w:hAnsi="Arial"/>
          <w:sz w:val="18"/>
          <w:szCs w:val="18"/>
          <w:color w:val="auto"/>
        </w:rPr>
        <w:t>if any Award (i) expires or is terminated, surrendered or cancelled without having been fully exercised or is forfeited in whole or in part (including as the result of shares of Common Stock subject to such Award being repurchased by the Company at the original issuance price pursuant to a contractual repurchase right) or (ii) results in any Common Stock not being issued (including as a result of an SAR that</w:t>
      </w:r>
    </w:p>
    <w:p>
      <w:pPr>
        <w:spacing w:after="0" w:line="134" w:lineRule="exact"/>
        <w:rPr>
          <w:sz w:val="20"/>
          <w:szCs w:val="20"/>
          <w:color w:val="auto"/>
        </w:rPr>
      </w:pPr>
    </w:p>
    <w:p>
      <w:pPr>
        <w:ind w:left="200"/>
        <w:spacing w:after="0"/>
        <w:tabs>
          <w:tab w:leader="none" w:pos="660" w:val="left"/>
        </w:tabs>
        <w:rPr>
          <w:sz w:val="20"/>
          <w:szCs w:val="20"/>
          <w:color w:val="auto"/>
        </w:rPr>
      </w:pPr>
      <w:r>
        <w:rPr>
          <w:rFonts w:ascii="Arial" w:cs="Arial" w:eastAsia="Arial" w:hAnsi="Arial"/>
          <w:sz w:val="18"/>
          <w:szCs w:val="18"/>
          <w:color w:val="999999"/>
        </w:rPr>
        <w:t>B-2</w:t>
      </w:r>
      <w:r>
        <w:rPr>
          <w:sz w:val="20"/>
          <w:szCs w:val="20"/>
          <w:color w:val="auto"/>
        </w:rPr>
        <w:tab/>
      </w:r>
      <w:r>
        <w:rPr>
          <w:rFonts w:ascii="Arial" w:cs="Arial" w:eastAsia="Arial" w:hAnsi="Arial"/>
          <w:sz w:val="14"/>
          <w:szCs w:val="14"/>
          <w:b w:val="1"/>
          <w:bCs w:val="1"/>
          <w:color w:val="052B82"/>
        </w:rPr>
        <w:t>Analog Devices, Inc.</w:t>
      </w:r>
    </w:p>
    <w:p>
      <w:pPr>
        <w:sectPr>
          <w:pgSz w:w="11900" w:h="16838" w:orient="portrait"/>
          <w:cols w:equalWidth="0" w:num="1">
            <w:col w:w="11220"/>
          </w:cols>
          <w:pgMar w:left="24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205740</wp:posOffset>
            </wp:positionV>
            <wp:extent cx="2649855" cy="13716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 xml:space="preserve">was settleable either in cash or in stock actually being settled in cash), the unused Common Stock covered by such Award shall again be available for the grant of Awards; </w:t>
      </w:r>
      <w:r>
        <w:rPr>
          <w:rFonts w:ascii="Arial" w:cs="Arial" w:eastAsia="Arial" w:hAnsi="Arial"/>
          <w:sz w:val="18"/>
          <w:szCs w:val="18"/>
          <w:i w:val="1"/>
          <w:iCs w:val="1"/>
          <w:color w:val="auto"/>
        </w:rPr>
        <w:t>provided, however</w:t>
      </w:r>
      <w:r>
        <w:rPr>
          <w:rFonts w:ascii="Arial" w:cs="Arial" w:eastAsia="Arial" w:hAnsi="Arial"/>
          <w:sz w:val="18"/>
          <w:szCs w:val="18"/>
          <w:color w:val="auto"/>
        </w:rPr>
        <w:t>, that (1) in the case of Incentive Stock Options, the foregoing shall be subject to any limitations under the Code, (2) in the case of the exercise of an SAR, the number of shares counted against the shares available under the Plan and against the sublimits contained in Section 4(b) shall be the full number of shares subject to the SAR multiplied by the percentage of the SAR actually exercised, regardless of the number of shares actually used to settle such SAR upon exercise and (3) the shares covered by a Tandem SAR shall not again become available for grant upon the expiration or termination of such Tandem SAR;</w:t>
      </w:r>
    </w:p>
    <w:p>
      <w:pPr>
        <w:spacing w:after="0" w:line="205" w:lineRule="exact"/>
        <w:rPr>
          <w:sz w:val="20"/>
          <w:szCs w:val="20"/>
          <w:color w:val="auto"/>
        </w:rPr>
      </w:pPr>
    </w:p>
    <w:p>
      <w:pPr>
        <w:ind w:left="200" w:right="40" w:firstLine="1547"/>
        <w:spacing w:after="0" w:line="239" w:lineRule="auto"/>
        <w:tabs>
          <w:tab w:leader="none" w:pos="2293" w:val="left"/>
        </w:tabs>
        <w:numPr>
          <w:ilvl w:val="3"/>
          <w:numId w:val="133"/>
        </w:numPr>
        <w:rPr>
          <w:rFonts w:ascii="Arial" w:cs="Arial" w:eastAsia="Arial" w:hAnsi="Arial"/>
          <w:sz w:val="18"/>
          <w:szCs w:val="18"/>
          <w:color w:val="auto"/>
        </w:rPr>
      </w:pPr>
      <w:r>
        <w:rPr>
          <w:rFonts w:ascii="Arial" w:cs="Arial" w:eastAsia="Arial" w:hAnsi="Arial"/>
          <w:sz w:val="18"/>
          <w:szCs w:val="18"/>
          <w:color w:val="auto"/>
        </w:rPr>
        <w:t>shares of Common Stock delivered (either by actual delivery, attestation, or net exercise) to the Company by a Participant to (i) purchase shares of Common Stock upon the exercise of an Award or (ii) satisfy tax withholding obligations with respect to Awards (including shares retained from the Award creating the tax obligation) shall not be added back to the number of shares available for the future grant of Awards; and</w:t>
      </w:r>
    </w:p>
    <w:p>
      <w:pPr>
        <w:spacing w:after="0" w:line="201" w:lineRule="exact"/>
        <w:rPr>
          <w:rFonts w:ascii="Arial" w:cs="Arial" w:eastAsia="Arial" w:hAnsi="Arial"/>
          <w:sz w:val="18"/>
          <w:szCs w:val="18"/>
          <w:color w:val="auto"/>
        </w:rPr>
      </w:pPr>
    </w:p>
    <w:p>
      <w:pPr>
        <w:ind w:left="200" w:right="620" w:firstLine="1547"/>
        <w:spacing w:after="0" w:line="246" w:lineRule="auto"/>
        <w:tabs>
          <w:tab w:leader="none" w:pos="2283" w:val="left"/>
        </w:tabs>
        <w:numPr>
          <w:ilvl w:val="3"/>
          <w:numId w:val="133"/>
        </w:numPr>
        <w:rPr>
          <w:rFonts w:ascii="Arial" w:cs="Arial" w:eastAsia="Arial" w:hAnsi="Arial"/>
          <w:sz w:val="18"/>
          <w:szCs w:val="18"/>
          <w:color w:val="auto"/>
        </w:rPr>
      </w:pPr>
      <w:r>
        <w:rPr>
          <w:rFonts w:ascii="Arial" w:cs="Arial" w:eastAsia="Arial" w:hAnsi="Arial"/>
          <w:sz w:val="18"/>
          <w:szCs w:val="18"/>
          <w:color w:val="auto"/>
        </w:rPr>
        <w:t>shares of Common Stock repurchased by the Company on the open market using the proceeds from the exercise of an Award shall not increase the number of shares available for future grant of Awards.</w:t>
      </w:r>
    </w:p>
    <w:p>
      <w:pPr>
        <w:spacing w:after="0" w:line="192" w:lineRule="exact"/>
        <w:rPr>
          <w:rFonts w:ascii="Arial" w:cs="Arial" w:eastAsia="Arial" w:hAnsi="Arial"/>
          <w:sz w:val="18"/>
          <w:szCs w:val="18"/>
          <w:color w:val="auto"/>
        </w:rPr>
      </w:pPr>
    </w:p>
    <w:p>
      <w:pPr>
        <w:ind w:left="1160" w:hanging="516"/>
        <w:spacing w:after="0"/>
        <w:tabs>
          <w:tab w:leader="none" w:pos="1160" w:val="left"/>
        </w:tabs>
        <w:numPr>
          <w:ilvl w:val="1"/>
          <w:numId w:val="134"/>
        </w:numPr>
        <w:rPr>
          <w:rFonts w:ascii="Arial" w:cs="Arial" w:eastAsia="Arial" w:hAnsi="Arial"/>
          <w:sz w:val="18"/>
          <w:szCs w:val="18"/>
          <w:color w:val="auto"/>
        </w:rPr>
      </w:pPr>
      <w:r>
        <w:rPr>
          <w:rFonts w:ascii="Arial" w:cs="Arial" w:eastAsia="Arial" w:hAnsi="Arial"/>
          <w:sz w:val="18"/>
          <w:szCs w:val="18"/>
          <w:u w:val="single" w:color="auto"/>
          <w:color w:val="auto"/>
        </w:rPr>
        <w:t>Sublimits</w:t>
      </w:r>
      <w:r>
        <w:rPr>
          <w:rFonts w:ascii="Arial" w:cs="Arial" w:eastAsia="Arial" w:hAnsi="Arial"/>
          <w:sz w:val="18"/>
          <w:szCs w:val="18"/>
          <w:color w:val="auto"/>
        </w:rPr>
        <w:t>. Subject to adjustment under Section 10, the following sublimits on the number of shares subject to Awards shall</w:t>
      </w:r>
    </w:p>
    <w:p>
      <w:pPr>
        <w:ind w:left="200"/>
        <w:spacing w:after="0"/>
        <w:rPr>
          <w:rFonts w:ascii="Arial" w:cs="Arial" w:eastAsia="Arial" w:hAnsi="Arial"/>
          <w:sz w:val="18"/>
          <w:szCs w:val="18"/>
          <w:color w:val="auto"/>
        </w:rPr>
      </w:pPr>
      <w:r>
        <w:rPr>
          <w:rFonts w:ascii="Arial" w:cs="Arial" w:eastAsia="Arial" w:hAnsi="Arial"/>
          <w:sz w:val="18"/>
          <w:szCs w:val="18"/>
          <w:color w:val="auto"/>
        </w:rPr>
        <w:t>apply:</w:t>
      </w:r>
    </w:p>
    <w:p>
      <w:pPr>
        <w:spacing w:after="0" w:line="211" w:lineRule="exact"/>
        <w:rPr>
          <w:rFonts w:ascii="Arial" w:cs="Arial" w:eastAsia="Arial" w:hAnsi="Arial"/>
          <w:sz w:val="18"/>
          <w:szCs w:val="18"/>
          <w:color w:val="auto"/>
        </w:rPr>
      </w:pPr>
    </w:p>
    <w:p>
      <w:pPr>
        <w:ind w:left="200" w:right="360" w:firstLine="996"/>
        <w:spacing w:after="0" w:line="238" w:lineRule="auto"/>
        <w:tabs>
          <w:tab w:leader="none" w:pos="1712" w:val="left"/>
        </w:tabs>
        <w:numPr>
          <w:ilvl w:val="2"/>
          <w:numId w:val="134"/>
        </w:numPr>
        <w:rPr>
          <w:rFonts w:ascii="Arial" w:cs="Arial" w:eastAsia="Arial" w:hAnsi="Arial"/>
          <w:sz w:val="18"/>
          <w:szCs w:val="18"/>
          <w:color w:val="auto"/>
        </w:rPr>
      </w:pPr>
      <w:r>
        <w:rPr>
          <w:rFonts w:ascii="Arial" w:cs="Arial" w:eastAsia="Arial" w:hAnsi="Arial"/>
          <w:sz w:val="18"/>
          <w:szCs w:val="18"/>
          <w:u w:val="single" w:color="auto"/>
          <w:color w:val="auto"/>
        </w:rPr>
        <w:t>Per-Participant Limits</w:t>
      </w:r>
      <w:r>
        <w:rPr>
          <w:rFonts w:ascii="Arial" w:cs="Arial" w:eastAsia="Arial" w:hAnsi="Arial"/>
          <w:sz w:val="18"/>
          <w:szCs w:val="18"/>
          <w:color w:val="auto"/>
        </w:rPr>
        <w:t>. The maximum number of shares of Common Stock with respect to which Options and Stock Appreciation Rights may be granted to any Participant under the Plan shall be 2,000,000 per fiscal year of the Company, and the maximum number of shares of Common Stock with respect to which Restricted Stock Awards, Restricted Stock Units and Other Stock Unit Awards may be granted to any Participant under the Plan shall be 1,000,000 per fiscal year of the Company. For purposes of the foregoing limit, the combination of an Option in tandem with a Stock Appreciation Right shall be treated as a single Award.</w:t>
      </w:r>
    </w:p>
    <w:p>
      <w:pPr>
        <w:spacing w:after="0" w:line="202" w:lineRule="exact"/>
        <w:rPr>
          <w:rFonts w:ascii="Arial" w:cs="Arial" w:eastAsia="Arial" w:hAnsi="Arial"/>
          <w:sz w:val="18"/>
          <w:szCs w:val="18"/>
          <w:color w:val="auto"/>
        </w:rPr>
      </w:pPr>
    </w:p>
    <w:p>
      <w:pPr>
        <w:ind w:left="200" w:right="40" w:firstLine="996"/>
        <w:spacing w:after="0" w:line="237" w:lineRule="auto"/>
        <w:tabs>
          <w:tab w:leader="none" w:pos="1712" w:val="left"/>
        </w:tabs>
        <w:numPr>
          <w:ilvl w:val="2"/>
          <w:numId w:val="134"/>
        </w:numPr>
        <w:rPr>
          <w:rFonts w:ascii="Arial" w:cs="Arial" w:eastAsia="Arial" w:hAnsi="Arial"/>
          <w:sz w:val="18"/>
          <w:szCs w:val="18"/>
          <w:color w:val="auto"/>
        </w:rPr>
      </w:pPr>
      <w:r>
        <w:rPr>
          <w:rFonts w:ascii="Arial" w:cs="Arial" w:eastAsia="Arial" w:hAnsi="Arial"/>
          <w:sz w:val="18"/>
          <w:szCs w:val="18"/>
          <w:u w:val="single" w:color="auto"/>
          <w:color w:val="auto"/>
        </w:rPr>
        <w:t>Limit on Awards to Non-Employee Directors</w:t>
      </w:r>
      <w:r>
        <w:rPr>
          <w:rFonts w:ascii="Arial" w:cs="Arial" w:eastAsia="Arial" w:hAnsi="Arial"/>
          <w:sz w:val="18"/>
          <w:szCs w:val="18"/>
          <w:color w:val="auto"/>
        </w:rPr>
        <w:t xml:space="preserve">. The maximum aggregate amount of cash and value (calculated based on grant date fair value for financial reporting purposes) of Awards granted in any fiscal year to any individual non-employee director shall not exceed $750,000;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fees paid by the Corporation on behalf of any non-employee director in connection with regulatory compliance and any amounts paid to a non-employee director as reimbursement of an expense shall not count against the foregoing limitation. The Compensation Committee may make additional exceptions to this limit for individual non-employee directors in extraordinary circumstances or in the case of regulatory filing fees, as the Committee may determine in its discretion, provided that the non-employee director receiving such additional compensation may not participate in the decision to award such compensation.</w:t>
      </w:r>
    </w:p>
    <w:p>
      <w:pPr>
        <w:spacing w:after="0" w:line="203" w:lineRule="exact"/>
        <w:rPr>
          <w:rFonts w:ascii="Arial" w:cs="Arial" w:eastAsia="Arial" w:hAnsi="Arial"/>
          <w:sz w:val="18"/>
          <w:szCs w:val="18"/>
          <w:color w:val="auto"/>
        </w:rPr>
      </w:pPr>
    </w:p>
    <w:p>
      <w:pPr>
        <w:ind w:left="200" w:right="100" w:firstLine="444"/>
        <w:spacing w:after="0" w:line="237" w:lineRule="auto"/>
        <w:tabs>
          <w:tab w:leader="none" w:pos="1150" w:val="left"/>
        </w:tabs>
        <w:numPr>
          <w:ilvl w:val="1"/>
          <w:numId w:val="134"/>
        </w:numPr>
        <w:rPr>
          <w:rFonts w:ascii="Arial" w:cs="Arial" w:eastAsia="Arial" w:hAnsi="Arial"/>
          <w:sz w:val="18"/>
          <w:szCs w:val="18"/>
          <w:color w:val="auto"/>
        </w:rPr>
      </w:pPr>
      <w:r>
        <w:rPr>
          <w:rFonts w:ascii="Arial" w:cs="Arial" w:eastAsia="Arial" w:hAnsi="Arial"/>
          <w:sz w:val="18"/>
          <w:szCs w:val="18"/>
          <w:u w:val="single" w:color="auto"/>
          <w:color w:val="auto"/>
        </w:rPr>
        <w:t>Substitute Awards</w:t>
      </w:r>
      <w:r>
        <w:rPr>
          <w:rFonts w:ascii="Arial" w:cs="Arial" w:eastAsia="Arial" w:hAnsi="Arial"/>
          <w:sz w:val="18"/>
          <w:szCs w:val="18"/>
          <w:color w:val="auto"/>
        </w:rPr>
        <w:t>. In connection with a merger or consolidation of an entity with the Company or the acquisition by the Company of property or stock of an entity, the Board may grant Awards in substitution for any options or other stock or stock-based awards granted by such entity or an affiliate thereof. Substitute Awards may be granted on such terms as the Board deems appropriate in the circumstances, notwithstanding any limitations on Awards contained in the Plan. Substitute Awards shall not count against the overall share limit set forth in Section 4(a)(1) or any sublimits contained in the Plan, except as may be required by reason of Section 422 and related provisions of the Code.</w:t>
      </w:r>
    </w:p>
    <w:p>
      <w:pPr>
        <w:spacing w:after="0" w:line="353" w:lineRule="exact"/>
        <w:rPr>
          <w:rFonts w:ascii="Arial" w:cs="Arial" w:eastAsia="Arial" w:hAnsi="Arial"/>
          <w:sz w:val="18"/>
          <w:szCs w:val="18"/>
          <w:color w:val="auto"/>
        </w:rPr>
      </w:pPr>
    </w:p>
    <w:p>
      <w:pPr>
        <w:ind w:left="640" w:hanging="436"/>
        <w:spacing w:after="0"/>
        <w:tabs>
          <w:tab w:leader="none" w:pos="640"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Stock Options</w:t>
      </w:r>
      <w:r>
        <w:rPr>
          <w:rFonts w:ascii="Arial" w:cs="Arial" w:eastAsia="Arial" w:hAnsi="Arial"/>
          <w:sz w:val="18"/>
          <w:szCs w:val="18"/>
          <w:color w:val="auto"/>
        </w:rPr>
        <w:t>.</w:t>
      </w:r>
    </w:p>
    <w:p>
      <w:pPr>
        <w:spacing w:after="0" w:line="81" w:lineRule="exact"/>
        <w:rPr>
          <w:rFonts w:ascii="Arial" w:cs="Arial" w:eastAsia="Arial" w:hAnsi="Arial"/>
          <w:sz w:val="18"/>
          <w:szCs w:val="18"/>
          <w:color w:val="auto"/>
        </w:rPr>
      </w:pPr>
    </w:p>
    <w:p>
      <w:pPr>
        <w:ind w:left="200" w:right="160" w:firstLine="444"/>
        <w:spacing w:after="0" w:line="247" w:lineRule="auto"/>
        <w:tabs>
          <w:tab w:leader="none" w:pos="1161" w:val="left"/>
        </w:tabs>
        <w:numPr>
          <w:ilvl w:val="1"/>
          <w:numId w:val="135"/>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Board may grant options to purchase Common Stock (each, an “</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and determine the number of shares of Common Stock to be covered by each Option, the exercise price of each Option and the conditions and limitations applicable to the exercise of each Option, including conditions relating to applicable federal or state securities laws, as the Board considers necessary or advisable.</w:t>
      </w:r>
    </w:p>
    <w:p>
      <w:pPr>
        <w:spacing w:after="0" w:line="196" w:lineRule="exact"/>
        <w:rPr>
          <w:rFonts w:ascii="Arial" w:cs="Arial" w:eastAsia="Arial" w:hAnsi="Arial"/>
          <w:sz w:val="18"/>
          <w:szCs w:val="18"/>
          <w:color w:val="auto"/>
        </w:rPr>
      </w:pPr>
    </w:p>
    <w:p>
      <w:pPr>
        <w:ind w:left="200" w:right="280" w:firstLine="444"/>
        <w:spacing w:after="0" w:line="246" w:lineRule="auto"/>
        <w:tabs>
          <w:tab w:leader="none" w:pos="1161" w:val="left"/>
        </w:tabs>
        <w:numPr>
          <w:ilvl w:val="1"/>
          <w:numId w:val="135"/>
        </w:numPr>
        <w:rPr>
          <w:rFonts w:ascii="Arial" w:cs="Arial" w:eastAsia="Arial" w:hAnsi="Arial"/>
          <w:sz w:val="18"/>
          <w:szCs w:val="18"/>
          <w:color w:val="auto"/>
        </w:rPr>
      </w:pPr>
      <w:r>
        <w:rPr>
          <w:rFonts w:ascii="Arial" w:cs="Arial" w:eastAsia="Arial" w:hAnsi="Arial"/>
          <w:sz w:val="18"/>
          <w:szCs w:val="18"/>
          <w:u w:val="single" w:color="auto"/>
          <w:color w:val="auto"/>
        </w:rPr>
        <w:t>Incentive Stock Options</w:t>
      </w:r>
      <w:r>
        <w:rPr>
          <w:rFonts w:ascii="Arial" w:cs="Arial" w:eastAsia="Arial" w:hAnsi="Arial"/>
          <w:sz w:val="18"/>
          <w:szCs w:val="18"/>
          <w:color w:val="auto"/>
        </w:rPr>
        <w:t>. An Option that the Board intends to be an “incentive stock option” as defined in Section 422 of the Code (an “</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shall only be granted to employees of</w:t>
      </w:r>
    </w:p>
    <w:p>
      <w:pPr>
        <w:spacing w:after="0" w:line="129" w:lineRule="exact"/>
        <w:rPr>
          <w:sz w:val="20"/>
          <w:szCs w:val="20"/>
          <w:color w:val="auto"/>
        </w:rPr>
      </w:pPr>
    </w:p>
    <w:p>
      <w:pPr>
        <w:jc w:val="right"/>
        <w:spacing w:after="0"/>
        <w:tabs>
          <w:tab w:leader="none" w:pos="260" w:val="left"/>
        </w:tabs>
        <w:rPr>
          <w:sz w:val="20"/>
          <w:szCs w:val="20"/>
          <w:color w:val="auto"/>
        </w:rPr>
      </w:pPr>
      <w:r>
        <w:rPr>
          <w:rFonts w:ascii="Arial" w:cs="Arial" w:eastAsia="Arial" w:hAnsi="Arial"/>
          <w:sz w:val="14"/>
          <w:szCs w:val="14"/>
          <w:b w:val="1"/>
          <w:bCs w:val="1"/>
          <w:color w:val="052B82"/>
        </w:rPr>
        <w:t>2020 Proxy Statement</w:t>
      </w:r>
      <w:r>
        <w:rPr>
          <w:sz w:val="20"/>
          <w:szCs w:val="20"/>
          <w:color w:val="auto"/>
        </w:rPr>
        <w:tab/>
      </w:r>
      <w:r>
        <w:rPr>
          <w:rFonts w:ascii="Arial" w:cs="Arial" w:eastAsia="Arial" w:hAnsi="Arial"/>
          <w:sz w:val="17"/>
          <w:szCs w:val="17"/>
          <w:color w:val="999999"/>
        </w:rPr>
        <w:t>B-3</w:t>
      </w:r>
    </w:p>
    <w:p>
      <w:pPr>
        <w:sectPr>
          <w:pgSz w:w="11900" w:h="16838" w:orient="portrait"/>
          <w:cols w:equalWidth="0" w:num="1">
            <w:col w:w="11220"/>
          </w:cols>
          <w:pgMar w:left="24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2649855" cy="13716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Analog Devices, Inc., any of Analog Devices, Inc.’s present or future parent or subsidiary corporations as defined in Sections 424(e) or</w:t>
      </w:r>
    </w:p>
    <w:p>
      <w:pPr>
        <w:ind w:left="200" w:right="40" w:firstLine="4"/>
        <w:spacing w:after="0" w:line="238" w:lineRule="auto"/>
        <w:tabs>
          <w:tab w:leader="none" w:pos="4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of the Code, and any other entities the employees of which are eligible to receive Incentive Stock Options under the Code, and shall be subject to and shall be construed consistently with the requirements of Section 422 of the Code. An Option that is not intended to be an Incentive Stock Option shall be designated a “</w:t>
      </w:r>
      <w:r>
        <w:rPr>
          <w:rFonts w:ascii="Arial" w:cs="Arial" w:eastAsia="Arial" w:hAnsi="Arial"/>
          <w:sz w:val="18"/>
          <w:szCs w:val="18"/>
          <w:b w:val="1"/>
          <w:bCs w:val="1"/>
          <w:i w:val="1"/>
          <w:iCs w:val="1"/>
          <w:color w:val="auto"/>
        </w:rPr>
        <w:t>Nonstatutory Stock Option</w:t>
      </w:r>
      <w:r>
        <w:rPr>
          <w:rFonts w:ascii="Arial" w:cs="Arial" w:eastAsia="Arial" w:hAnsi="Arial"/>
          <w:sz w:val="18"/>
          <w:szCs w:val="18"/>
          <w:color w:val="auto"/>
        </w:rPr>
        <w:t>.” The Company shall have no liability to a Participant, or any other person, if an Option (or any part thereof) that is intended to be an Incentive Stock Option is not an Incentive Stock Option or if the Company converts an Incentive Stock Option to a Nonstatutory Stock Option.</w:t>
      </w:r>
    </w:p>
    <w:p>
      <w:pPr>
        <w:spacing w:after="0" w:line="202" w:lineRule="exact"/>
        <w:rPr>
          <w:rFonts w:ascii="Arial" w:cs="Arial" w:eastAsia="Arial" w:hAnsi="Arial"/>
          <w:sz w:val="18"/>
          <w:szCs w:val="18"/>
          <w:color w:val="auto"/>
        </w:rPr>
      </w:pPr>
    </w:p>
    <w:p>
      <w:pPr>
        <w:ind w:left="200" w:firstLine="444"/>
        <w:spacing w:after="0" w:line="237" w:lineRule="auto"/>
        <w:tabs>
          <w:tab w:leader="none" w:pos="1150" w:val="left"/>
        </w:tabs>
        <w:numPr>
          <w:ilvl w:val="1"/>
          <w:numId w:val="136"/>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xml:space="preserve">. The Board shall establish the exercise price of each Option or the formula by which such exercise price will be determined. The exercise price shall be specified in the applicable Option agreement. The exercise price shall be not less than 100% of the Grant Date Fair Market Value (as defined below) of the Common Stock on the date the Option is approved;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Board approves the grant of an Option with an exercise price to be determined on a future date, the exercise price shall be not less than 100% of the Grant Date Fair Market Value on such future date. “</w:t>
      </w:r>
      <w:r>
        <w:rPr>
          <w:rFonts w:ascii="Arial" w:cs="Arial" w:eastAsia="Arial" w:hAnsi="Arial"/>
          <w:sz w:val="18"/>
          <w:szCs w:val="18"/>
          <w:b w:val="1"/>
          <w:bCs w:val="1"/>
          <w:i w:val="1"/>
          <w:iCs w:val="1"/>
          <w:color w:val="auto"/>
        </w:rPr>
        <w:t>Grant Date Fair Market Value</w:t>
      </w:r>
      <w:r>
        <w:rPr>
          <w:rFonts w:ascii="Arial" w:cs="Arial" w:eastAsia="Arial" w:hAnsi="Arial"/>
          <w:sz w:val="18"/>
          <w:szCs w:val="18"/>
          <w:color w:val="auto"/>
        </w:rPr>
        <w:t>” of a share of Common Stock for purposes of the Plan will be determined as follows:</w:t>
      </w:r>
    </w:p>
    <w:p>
      <w:pPr>
        <w:spacing w:after="0" w:line="205" w:lineRule="exact"/>
        <w:rPr>
          <w:rFonts w:ascii="Arial" w:cs="Arial" w:eastAsia="Arial" w:hAnsi="Arial"/>
          <w:sz w:val="18"/>
          <w:szCs w:val="18"/>
          <w:color w:val="auto"/>
        </w:rPr>
      </w:pPr>
    </w:p>
    <w:p>
      <w:pPr>
        <w:ind w:left="200" w:right="160" w:firstLine="996"/>
        <w:spacing w:after="0" w:line="246" w:lineRule="auto"/>
        <w:tabs>
          <w:tab w:leader="none" w:pos="1712" w:val="left"/>
        </w:tabs>
        <w:numPr>
          <w:ilvl w:val="2"/>
          <w:numId w:val="136"/>
        </w:numPr>
        <w:rPr>
          <w:rFonts w:ascii="Arial" w:cs="Arial" w:eastAsia="Arial" w:hAnsi="Arial"/>
          <w:sz w:val="18"/>
          <w:szCs w:val="18"/>
          <w:color w:val="auto"/>
        </w:rPr>
      </w:pPr>
      <w:r>
        <w:rPr>
          <w:rFonts w:ascii="Arial" w:cs="Arial" w:eastAsia="Arial" w:hAnsi="Arial"/>
          <w:sz w:val="18"/>
          <w:szCs w:val="18"/>
          <w:color w:val="auto"/>
        </w:rPr>
        <w:t>if the Common Stock trades on a national securities exchange, the closing sale price (for the primary trading session) on the applicable date; or</w:t>
      </w:r>
    </w:p>
    <w:p>
      <w:pPr>
        <w:spacing w:after="0" w:line="196" w:lineRule="exact"/>
        <w:rPr>
          <w:rFonts w:ascii="Arial" w:cs="Arial" w:eastAsia="Arial" w:hAnsi="Arial"/>
          <w:sz w:val="18"/>
          <w:szCs w:val="18"/>
          <w:color w:val="auto"/>
        </w:rPr>
      </w:pPr>
    </w:p>
    <w:p>
      <w:pPr>
        <w:ind w:left="200" w:right="340" w:firstLine="996"/>
        <w:spacing w:after="0" w:line="246" w:lineRule="auto"/>
        <w:tabs>
          <w:tab w:leader="none" w:pos="1712" w:val="left"/>
        </w:tabs>
        <w:numPr>
          <w:ilvl w:val="2"/>
          <w:numId w:val="136"/>
        </w:numPr>
        <w:rPr>
          <w:rFonts w:ascii="Arial" w:cs="Arial" w:eastAsia="Arial" w:hAnsi="Arial"/>
          <w:sz w:val="18"/>
          <w:szCs w:val="18"/>
          <w:color w:val="auto"/>
        </w:rPr>
      </w:pPr>
      <w:r>
        <w:rPr>
          <w:rFonts w:ascii="Arial" w:cs="Arial" w:eastAsia="Arial" w:hAnsi="Arial"/>
          <w:sz w:val="18"/>
          <w:szCs w:val="18"/>
          <w:color w:val="auto"/>
        </w:rPr>
        <w:t>if the Common Stock does not trade on any such exchange, the average of the closing bid and asked prices on the applicable date as reported by an over-the-counter marketplace designated by the Board; or</w:t>
      </w:r>
    </w:p>
    <w:p>
      <w:pPr>
        <w:spacing w:after="0" w:line="196" w:lineRule="exact"/>
        <w:rPr>
          <w:rFonts w:ascii="Arial" w:cs="Arial" w:eastAsia="Arial" w:hAnsi="Arial"/>
          <w:sz w:val="18"/>
          <w:szCs w:val="18"/>
          <w:color w:val="auto"/>
        </w:rPr>
      </w:pPr>
    </w:p>
    <w:p>
      <w:pPr>
        <w:ind w:left="200" w:right="160" w:firstLine="996"/>
        <w:spacing w:after="0"/>
        <w:tabs>
          <w:tab w:leader="none" w:pos="1712" w:val="left"/>
        </w:tabs>
        <w:numPr>
          <w:ilvl w:val="2"/>
          <w:numId w:val="136"/>
        </w:numPr>
        <w:rPr>
          <w:rFonts w:ascii="Arial" w:cs="Arial" w:eastAsia="Arial" w:hAnsi="Arial"/>
          <w:sz w:val="18"/>
          <w:szCs w:val="18"/>
          <w:color w:val="auto"/>
        </w:rPr>
      </w:pPr>
      <w:r>
        <w:rPr>
          <w:rFonts w:ascii="Arial" w:cs="Arial" w:eastAsia="Arial" w:hAnsi="Arial"/>
          <w:sz w:val="18"/>
          <w:szCs w:val="18"/>
          <w:color w:val="auto"/>
        </w:rPr>
        <w:t>if the Common Stock is not publicly traded, the Board will determine the Grant Date Fair Market Value for purposes of the Plan using any measure of value it determines to be appropriate (including, as it considers appropriate, relying on appraisals) in a manner consistent with the valuation principles under Code Section 409A, except as the Board may expressly determine otherwise.</w:t>
      </w:r>
    </w:p>
    <w:p>
      <w:pPr>
        <w:spacing w:after="0" w:line="203" w:lineRule="exact"/>
        <w:rPr>
          <w:sz w:val="20"/>
          <w:szCs w:val="20"/>
          <w:color w:val="auto"/>
        </w:rPr>
      </w:pPr>
    </w:p>
    <w:p>
      <w:pPr>
        <w:ind w:left="200" w:right="140"/>
        <w:spacing w:after="0" w:line="238" w:lineRule="auto"/>
        <w:rPr>
          <w:sz w:val="20"/>
          <w:szCs w:val="20"/>
          <w:color w:val="auto"/>
        </w:rPr>
      </w:pPr>
      <w:r>
        <w:rPr>
          <w:rFonts w:ascii="Arial" w:cs="Arial" w:eastAsia="Arial" w:hAnsi="Arial"/>
          <w:sz w:val="18"/>
          <w:szCs w:val="18"/>
          <w:color w:val="auto"/>
        </w:rPr>
        <w:t>For any date that is not a trading day, the Grant Date Fair Market Value of a share of Common Stock for such date will be determined by using the closing sale price or average of the bid and asked prices, as appropriate, for the immediately following trading day and with the timing in the formulas above adjusted accordingly. The Board can substitute a particular time of day or other measure of “closing sale price” or “bid and asked prices” if appropriate because of exchange or market procedures or can, in its sole discretion, use weighted averages either on a daily basis or such longer period as complies with Code Section 409A.</w:t>
      </w:r>
    </w:p>
    <w:p>
      <w:pPr>
        <w:spacing w:after="0" w:line="203" w:lineRule="exact"/>
        <w:rPr>
          <w:sz w:val="20"/>
          <w:szCs w:val="20"/>
          <w:color w:val="auto"/>
        </w:rPr>
      </w:pPr>
    </w:p>
    <w:p>
      <w:pPr>
        <w:ind w:left="200" w:right="100"/>
        <w:spacing w:after="0"/>
        <w:rPr>
          <w:sz w:val="20"/>
          <w:szCs w:val="20"/>
          <w:color w:val="auto"/>
        </w:rPr>
      </w:pPr>
      <w:r>
        <w:rPr>
          <w:rFonts w:ascii="Arial" w:cs="Arial" w:eastAsia="Arial" w:hAnsi="Arial"/>
          <w:sz w:val="18"/>
          <w:szCs w:val="18"/>
          <w:color w:val="auto"/>
        </w:rPr>
        <w:t>The Board has sole discretion to determine the Grant Date Fair Market Value for purposes of the Plan, and all Awards are conditioned on the Participant’s agreement that the Administrator’s determination is conclusive and binding even though others might make a different determination.</w:t>
      </w:r>
    </w:p>
    <w:p>
      <w:pPr>
        <w:spacing w:after="0" w:line="203" w:lineRule="exact"/>
        <w:rPr>
          <w:sz w:val="20"/>
          <w:szCs w:val="20"/>
          <w:color w:val="auto"/>
        </w:rPr>
      </w:pPr>
    </w:p>
    <w:p>
      <w:pPr>
        <w:ind w:left="200" w:right="280" w:firstLine="444"/>
        <w:spacing w:after="0" w:line="275" w:lineRule="auto"/>
        <w:tabs>
          <w:tab w:leader="none" w:pos="1161" w:val="left"/>
        </w:tabs>
        <w:numPr>
          <w:ilvl w:val="0"/>
          <w:numId w:val="137"/>
        </w:numPr>
        <w:rPr>
          <w:rFonts w:ascii="Arial" w:cs="Arial" w:eastAsia="Arial" w:hAnsi="Arial"/>
          <w:sz w:val="17"/>
          <w:szCs w:val="17"/>
          <w:color w:val="auto"/>
        </w:rPr>
      </w:pPr>
      <w:r>
        <w:rPr>
          <w:rFonts w:ascii="Arial" w:cs="Arial" w:eastAsia="Arial" w:hAnsi="Arial"/>
          <w:sz w:val="17"/>
          <w:szCs w:val="17"/>
          <w:u w:val="single" w:color="auto"/>
          <w:color w:val="auto"/>
        </w:rPr>
        <w:t>Duration of Options</w:t>
      </w:r>
      <w:r>
        <w:rPr>
          <w:rFonts w:ascii="Arial" w:cs="Arial" w:eastAsia="Arial" w:hAnsi="Arial"/>
          <w:sz w:val="17"/>
          <w:szCs w:val="17"/>
          <w:color w:val="auto"/>
        </w:rPr>
        <w:t xml:space="preserve">. Each Option shall be exercisable at such times and subject to such terms and conditions as the Board may specify in the applicable Option agreement; </w:t>
      </w:r>
      <w:r>
        <w:rPr>
          <w:rFonts w:ascii="Arial" w:cs="Arial" w:eastAsia="Arial" w:hAnsi="Arial"/>
          <w:sz w:val="17"/>
          <w:szCs w:val="17"/>
          <w:i w:val="1"/>
          <w:iCs w:val="1"/>
          <w:color w:val="auto"/>
        </w:rPr>
        <w:t>provided, however</w:t>
      </w:r>
      <w:r>
        <w:rPr>
          <w:rFonts w:ascii="Arial" w:cs="Arial" w:eastAsia="Arial" w:hAnsi="Arial"/>
          <w:sz w:val="17"/>
          <w:szCs w:val="17"/>
          <w:color w:val="auto"/>
        </w:rPr>
        <w:t>, that no Option will be granted with a term in excess of 10 years.</w:t>
      </w:r>
    </w:p>
    <w:p>
      <w:pPr>
        <w:spacing w:after="0" w:line="173" w:lineRule="exact"/>
        <w:rPr>
          <w:rFonts w:ascii="Arial" w:cs="Arial" w:eastAsia="Arial" w:hAnsi="Arial"/>
          <w:sz w:val="17"/>
          <w:szCs w:val="17"/>
          <w:color w:val="auto"/>
        </w:rPr>
      </w:pPr>
    </w:p>
    <w:p>
      <w:pPr>
        <w:ind w:left="200" w:right="220" w:firstLine="444"/>
        <w:spacing w:after="0" w:line="239" w:lineRule="auto"/>
        <w:tabs>
          <w:tab w:leader="none" w:pos="1161"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Exercise of Options</w:t>
      </w:r>
      <w:r>
        <w:rPr>
          <w:rFonts w:ascii="Arial" w:cs="Arial" w:eastAsia="Arial" w:hAnsi="Arial"/>
          <w:sz w:val="18"/>
          <w:szCs w:val="18"/>
          <w:color w:val="auto"/>
        </w:rPr>
        <w:t>. Options may be exercised by delivery to the Company of a notice of exercise in a form (which may be electronic and which may be provided to a third-party equity plan administrator) approved by the Company, together with payment in full (in the manner specified in Section 5(f)) of the exercise price for the number of shares for which the Option is exercised. Shares of Common Stock subject to the Option will be delivered by the Company as soon as practicable following exercise.</w:t>
      </w:r>
    </w:p>
    <w:p>
      <w:pPr>
        <w:spacing w:after="0" w:line="197" w:lineRule="exact"/>
        <w:rPr>
          <w:rFonts w:ascii="Arial" w:cs="Arial" w:eastAsia="Arial" w:hAnsi="Arial"/>
          <w:sz w:val="18"/>
          <w:szCs w:val="18"/>
          <w:color w:val="auto"/>
        </w:rPr>
      </w:pPr>
    </w:p>
    <w:p>
      <w:pPr>
        <w:ind w:left="1160" w:hanging="516"/>
        <w:spacing w:after="0"/>
        <w:tabs>
          <w:tab w:leader="none" w:pos="1160"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Payment Upon Exercise</w:t>
      </w:r>
      <w:r>
        <w:rPr>
          <w:rFonts w:ascii="Arial" w:cs="Arial" w:eastAsia="Arial" w:hAnsi="Arial"/>
          <w:sz w:val="18"/>
          <w:szCs w:val="18"/>
          <w:color w:val="auto"/>
        </w:rPr>
        <w:t>. Common Stock purchased upon the exercise of an Option granted under the Plan shall be paid for</w:t>
      </w:r>
    </w:p>
    <w:p>
      <w:pPr>
        <w:ind w:left="200"/>
        <w:spacing w:after="0"/>
        <w:rPr>
          <w:rFonts w:ascii="Arial" w:cs="Arial" w:eastAsia="Arial" w:hAnsi="Arial"/>
          <w:sz w:val="18"/>
          <w:szCs w:val="18"/>
          <w:color w:val="auto"/>
        </w:rPr>
      </w:pPr>
      <w:r>
        <w:rPr>
          <w:rFonts w:ascii="Arial" w:cs="Arial" w:eastAsia="Arial" w:hAnsi="Arial"/>
          <w:sz w:val="18"/>
          <w:szCs w:val="18"/>
          <w:color w:val="auto"/>
        </w:rPr>
        <w:t>as follows:</w:t>
      </w:r>
    </w:p>
    <w:p>
      <w:pPr>
        <w:spacing w:after="0" w:line="212" w:lineRule="exact"/>
        <w:rPr>
          <w:sz w:val="20"/>
          <w:szCs w:val="20"/>
          <w:color w:val="auto"/>
        </w:rPr>
      </w:pPr>
    </w:p>
    <w:p>
      <w:pPr>
        <w:ind w:left="200" w:right="4880" w:firstLine="996"/>
        <w:spacing w:after="0" w:line="418" w:lineRule="auto"/>
        <w:tabs>
          <w:tab w:leader="none" w:pos="1712"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xml:space="preserve">in cash or by check, payable to the order of the Company; </w:t>
      </w:r>
      <w:r>
        <w:rPr>
          <w:rFonts w:ascii="Arial" w:cs="Arial" w:eastAsia="Arial" w:hAnsi="Arial"/>
          <w:sz w:val="18"/>
          <w:szCs w:val="18"/>
          <w:color w:val="999999"/>
        </w:rPr>
        <w:t xml:space="preserve">B-4 </w:t>
      </w:r>
      <w:r>
        <w:rPr>
          <w:rFonts w:ascii="Arial" w:cs="Arial" w:eastAsia="Arial" w:hAnsi="Arial"/>
          <w:sz w:val="14"/>
          <w:szCs w:val="14"/>
          <w:b w:val="1"/>
          <w:bCs w:val="1"/>
          <w:color w:val="052B82"/>
        </w:rPr>
        <w:t>Analog Devices, Inc.</w:t>
      </w:r>
    </w:p>
    <w:p>
      <w:pPr>
        <w:sectPr>
          <w:pgSz w:w="11900" w:h="16838" w:orient="portrait"/>
          <w:cols w:equalWidth="0" w:num="1">
            <w:col w:w="11200"/>
          </w:cols>
          <w:pgMar w:left="240" w:top="459" w:right="4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205740</wp:posOffset>
            </wp:positionV>
            <wp:extent cx="2649855" cy="13716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0" w:firstLine="996"/>
        <w:spacing w:after="0" w:line="238" w:lineRule="auto"/>
        <w:tabs>
          <w:tab w:leader="none" w:pos="1712" w:val="left"/>
        </w:tabs>
        <w:numPr>
          <w:ilvl w:val="2"/>
          <w:numId w:val="139"/>
        </w:numPr>
        <w:rPr>
          <w:rFonts w:ascii="Arial" w:cs="Arial" w:eastAsia="Arial" w:hAnsi="Arial"/>
          <w:sz w:val="18"/>
          <w:szCs w:val="18"/>
          <w:color w:val="auto"/>
        </w:rPr>
      </w:pPr>
      <w:r>
        <w:rPr>
          <w:rFonts w:ascii="Arial" w:cs="Arial" w:eastAsia="Arial" w:hAnsi="Arial"/>
          <w:sz w:val="18"/>
          <w:szCs w:val="18"/>
          <w:color w:val="auto"/>
        </w:rPr>
        <w:t>except as may otherwise be provided in the applicable Option agreement or approved by the Board, by (i) delivery of an irrevocable and unconditional undertaking by a creditworthy broker to deliver promptly to the Company sufficient funds to pay the exercise price and any required tax withholding or (ii) delivery by the Participant to the Company of a copy of irrevocable and unconditional instructions to a creditworthy broker to deliver promptly to the Company cash or a check sufficient to pay the exercise price and any required tax withholding;</w:t>
      </w:r>
    </w:p>
    <w:p>
      <w:pPr>
        <w:spacing w:after="0" w:line="202" w:lineRule="exact"/>
        <w:rPr>
          <w:rFonts w:ascii="Arial" w:cs="Arial" w:eastAsia="Arial" w:hAnsi="Arial"/>
          <w:sz w:val="18"/>
          <w:szCs w:val="18"/>
          <w:color w:val="auto"/>
        </w:rPr>
      </w:pPr>
    </w:p>
    <w:p>
      <w:pPr>
        <w:ind w:left="200" w:right="300" w:firstLine="996"/>
        <w:spacing w:after="0" w:line="234" w:lineRule="auto"/>
        <w:tabs>
          <w:tab w:leader="none" w:pos="1712" w:val="left"/>
        </w:tabs>
        <w:numPr>
          <w:ilvl w:val="2"/>
          <w:numId w:val="139"/>
        </w:numPr>
        <w:rPr>
          <w:rFonts w:ascii="Arial" w:cs="Arial" w:eastAsia="Arial" w:hAnsi="Arial"/>
          <w:sz w:val="18"/>
          <w:szCs w:val="18"/>
          <w:color w:val="auto"/>
        </w:rPr>
      </w:pPr>
      <w:r>
        <w:rPr>
          <w:rFonts w:ascii="Arial" w:cs="Arial" w:eastAsia="Arial" w:hAnsi="Arial"/>
          <w:sz w:val="18"/>
          <w:szCs w:val="18"/>
          <w:color w:val="auto"/>
        </w:rPr>
        <w:t>to the extent provided for in the applicable Option agreement or approved by the Board, by delivery (either by actual delivery or attestation) of shares of Common Stock owned by the Participant valued at their fair market value (valued in the manner determined by (or in a manner approved by) the Board), provided (i) such method of payment is then permitted under applicable law,</w:t>
      </w:r>
    </w:p>
    <w:p>
      <w:pPr>
        <w:spacing w:after="0" w:line="2" w:lineRule="exact"/>
        <w:rPr>
          <w:rFonts w:ascii="Arial" w:cs="Arial" w:eastAsia="Arial" w:hAnsi="Arial"/>
          <w:sz w:val="18"/>
          <w:szCs w:val="18"/>
          <w:color w:val="auto"/>
        </w:rPr>
      </w:pPr>
    </w:p>
    <w:p>
      <w:pPr>
        <w:ind w:left="200" w:right="180" w:firstLine="4"/>
        <w:spacing w:after="0"/>
        <w:tabs>
          <w:tab w:leader="none" w:pos="45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such Common Stock, if acquired directly from the Company, was owned by the Participant for such minimum period of time, if any, as may be established by the Board and (iii) such Common Stock is not subject to any repurchase, forfeiture, unfulfilled vesting or other similar requirements;</w:t>
      </w:r>
    </w:p>
    <w:p>
      <w:pPr>
        <w:spacing w:after="0" w:line="202" w:lineRule="exact"/>
        <w:rPr>
          <w:rFonts w:ascii="Arial" w:cs="Arial" w:eastAsia="Arial" w:hAnsi="Arial"/>
          <w:sz w:val="18"/>
          <w:szCs w:val="18"/>
          <w:color w:val="auto"/>
        </w:rPr>
      </w:pPr>
    </w:p>
    <w:p>
      <w:pPr>
        <w:ind w:left="200" w:right="60" w:firstLine="996"/>
        <w:spacing w:after="0" w:line="238" w:lineRule="auto"/>
        <w:tabs>
          <w:tab w:leader="none" w:pos="1712" w:val="left"/>
        </w:tabs>
        <w:numPr>
          <w:ilvl w:val="2"/>
          <w:numId w:val="140"/>
        </w:numPr>
        <w:rPr>
          <w:rFonts w:ascii="Arial" w:cs="Arial" w:eastAsia="Arial" w:hAnsi="Arial"/>
          <w:sz w:val="18"/>
          <w:szCs w:val="18"/>
          <w:color w:val="auto"/>
        </w:rPr>
      </w:pPr>
      <w:r>
        <w:rPr>
          <w:rFonts w:ascii="Arial" w:cs="Arial" w:eastAsia="Arial" w:hAnsi="Arial"/>
          <w:sz w:val="18"/>
          <w:szCs w:val="18"/>
          <w:color w:val="auto"/>
        </w:rPr>
        <w:t>to the extent provided for in the applicable Nonstatutory Stock Option agreement or approved by the Board, by delivery of a notice of “net exercise” to the Company, as a result of which the Participant would receive (i) the number of shares underlying the portion of the Option being exercised, less (ii) such number of shares as is equal to (A) the aggregate exercise price for the portion of the Option being exercised divided by (B) the fair market value of the Common Stock (valued in the manner determined by (or in a manner approved by) the Board) on the date of exercise;</w:t>
      </w:r>
    </w:p>
    <w:p>
      <w:pPr>
        <w:spacing w:after="0" w:line="202" w:lineRule="exact"/>
        <w:rPr>
          <w:rFonts w:ascii="Arial" w:cs="Arial" w:eastAsia="Arial" w:hAnsi="Arial"/>
          <w:sz w:val="18"/>
          <w:szCs w:val="18"/>
          <w:color w:val="auto"/>
        </w:rPr>
      </w:pPr>
    </w:p>
    <w:p>
      <w:pPr>
        <w:ind w:left="200" w:right="540" w:firstLine="996"/>
        <w:spacing w:after="0" w:line="246" w:lineRule="auto"/>
        <w:tabs>
          <w:tab w:leader="none" w:pos="1712" w:val="left"/>
        </w:tabs>
        <w:numPr>
          <w:ilvl w:val="2"/>
          <w:numId w:val="140"/>
        </w:numPr>
        <w:rPr>
          <w:rFonts w:ascii="Arial" w:cs="Arial" w:eastAsia="Arial" w:hAnsi="Arial"/>
          <w:sz w:val="18"/>
          <w:szCs w:val="18"/>
          <w:color w:val="auto"/>
        </w:rPr>
      </w:pPr>
      <w:r>
        <w:rPr>
          <w:rFonts w:ascii="Arial" w:cs="Arial" w:eastAsia="Arial" w:hAnsi="Arial"/>
          <w:sz w:val="18"/>
          <w:szCs w:val="18"/>
          <w:color w:val="auto"/>
        </w:rPr>
        <w:t>to the extent permitted by applicable law and provided for in the applicable Option agreement or approved by the Board, by payment of such other lawful consideration as the Board may determine; or</w:t>
      </w:r>
    </w:p>
    <w:p>
      <w:pPr>
        <w:spacing w:after="0" w:line="196" w:lineRule="exact"/>
        <w:rPr>
          <w:rFonts w:ascii="Arial" w:cs="Arial" w:eastAsia="Arial" w:hAnsi="Arial"/>
          <w:sz w:val="18"/>
          <w:szCs w:val="18"/>
          <w:color w:val="auto"/>
        </w:rPr>
      </w:pPr>
    </w:p>
    <w:p>
      <w:pPr>
        <w:ind w:left="1720" w:hanging="524"/>
        <w:spacing w:after="0"/>
        <w:tabs>
          <w:tab w:leader="none" w:pos="1720" w:val="left"/>
        </w:tabs>
        <w:numPr>
          <w:ilvl w:val="2"/>
          <w:numId w:val="140"/>
        </w:numPr>
        <w:rPr>
          <w:rFonts w:ascii="Arial" w:cs="Arial" w:eastAsia="Arial" w:hAnsi="Arial"/>
          <w:sz w:val="18"/>
          <w:szCs w:val="18"/>
          <w:color w:val="auto"/>
        </w:rPr>
      </w:pPr>
      <w:r>
        <w:rPr>
          <w:rFonts w:ascii="Arial" w:cs="Arial" w:eastAsia="Arial" w:hAnsi="Arial"/>
          <w:sz w:val="18"/>
          <w:szCs w:val="18"/>
          <w:color w:val="auto"/>
        </w:rPr>
        <w:t>by any combination of the above permitted forms of payment, to the extent approved by the Board.</w:t>
      </w:r>
    </w:p>
    <w:p>
      <w:pPr>
        <w:spacing w:after="0" w:line="211" w:lineRule="exact"/>
        <w:rPr>
          <w:rFonts w:ascii="Arial" w:cs="Arial" w:eastAsia="Arial" w:hAnsi="Arial"/>
          <w:sz w:val="18"/>
          <w:szCs w:val="18"/>
          <w:color w:val="auto"/>
        </w:rPr>
      </w:pPr>
    </w:p>
    <w:p>
      <w:pPr>
        <w:ind w:left="200" w:right="20" w:firstLine="444"/>
        <w:spacing w:after="0" w:line="236" w:lineRule="auto"/>
        <w:tabs>
          <w:tab w:leader="none" w:pos="1161" w:val="left"/>
        </w:tabs>
        <w:numPr>
          <w:ilvl w:val="1"/>
          <w:numId w:val="140"/>
        </w:numPr>
        <w:rPr>
          <w:rFonts w:ascii="Arial" w:cs="Arial" w:eastAsia="Arial" w:hAnsi="Arial"/>
          <w:sz w:val="18"/>
          <w:szCs w:val="18"/>
          <w:color w:val="auto"/>
        </w:rPr>
      </w:pPr>
      <w:r>
        <w:rPr>
          <w:rFonts w:ascii="Arial" w:cs="Arial" w:eastAsia="Arial" w:hAnsi="Arial"/>
          <w:sz w:val="18"/>
          <w:szCs w:val="18"/>
          <w:u w:val="single" w:color="auto"/>
          <w:color w:val="auto"/>
        </w:rPr>
        <w:t>Limitation on Repricing</w:t>
      </w:r>
      <w:r>
        <w:rPr>
          <w:rFonts w:ascii="Arial" w:cs="Arial" w:eastAsia="Arial" w:hAnsi="Arial"/>
          <w:sz w:val="18"/>
          <w:szCs w:val="18"/>
          <w:color w:val="auto"/>
        </w:rPr>
        <w:t>. Unless such action is approved by the Company’s stockholders, the Company may not (except as provided for under Section 10): (1) amend any outstanding Option granted under the Plan to provide an exercise price per share that is lower than the then-current exercise price per share of such outstanding Option, (2) cancel any outstanding option (whether or not granted under the Plan) and grant in substitution therefor new Awards under the Plan (other than Awards granted pursuant to Section 4(c)) covering the same or a different number of shares of Common Stock and having an exercise price per share lower than the then-current exercise price per share of the cancelled option, (3) cancel in exchange for a cash payment any outstanding Option with an exercise price per share above the then-current fair market value of the Common Stock (valued in the manner determined by (or in a manner approved by) the Board), or (4) take any other action under the Plan that constitutes a “repricing” within the meaning of the rules of the NASDAQ Stock Market.</w:t>
      </w:r>
    </w:p>
    <w:p>
      <w:pPr>
        <w:spacing w:after="0" w:line="207" w:lineRule="exact"/>
        <w:rPr>
          <w:rFonts w:ascii="Arial" w:cs="Arial" w:eastAsia="Arial" w:hAnsi="Arial"/>
          <w:sz w:val="18"/>
          <w:szCs w:val="18"/>
          <w:color w:val="auto"/>
        </w:rPr>
      </w:pPr>
    </w:p>
    <w:p>
      <w:pPr>
        <w:ind w:left="200" w:right="380" w:firstLine="444"/>
        <w:spacing w:after="0" w:line="246" w:lineRule="auto"/>
        <w:tabs>
          <w:tab w:leader="none" w:pos="1161" w:val="left"/>
        </w:tabs>
        <w:numPr>
          <w:ilvl w:val="1"/>
          <w:numId w:val="140"/>
        </w:numPr>
        <w:rPr>
          <w:rFonts w:ascii="Arial" w:cs="Arial" w:eastAsia="Arial" w:hAnsi="Arial"/>
          <w:sz w:val="18"/>
          <w:szCs w:val="18"/>
          <w:color w:val="auto"/>
        </w:rPr>
      </w:pPr>
      <w:r>
        <w:rPr>
          <w:rFonts w:ascii="Arial" w:cs="Arial" w:eastAsia="Arial" w:hAnsi="Arial"/>
          <w:sz w:val="18"/>
          <w:szCs w:val="18"/>
          <w:u w:val="single" w:color="auto"/>
          <w:color w:val="auto"/>
        </w:rPr>
        <w:t>No Reload Options</w:t>
      </w:r>
      <w:r>
        <w:rPr>
          <w:rFonts w:ascii="Arial" w:cs="Arial" w:eastAsia="Arial" w:hAnsi="Arial"/>
          <w:sz w:val="18"/>
          <w:szCs w:val="18"/>
          <w:color w:val="auto"/>
        </w:rPr>
        <w:t>. No Option granted under the Plan shall contain any provision entitling the Participant to the automatic grant of additional Options in connection with any exercise of the original Option.</w:t>
      </w:r>
    </w:p>
    <w:p>
      <w:pPr>
        <w:spacing w:after="0" w:line="196" w:lineRule="exact"/>
        <w:rPr>
          <w:rFonts w:ascii="Arial" w:cs="Arial" w:eastAsia="Arial" w:hAnsi="Arial"/>
          <w:sz w:val="18"/>
          <w:szCs w:val="18"/>
          <w:color w:val="auto"/>
        </w:rPr>
      </w:pPr>
    </w:p>
    <w:p>
      <w:pPr>
        <w:ind w:left="1160" w:hanging="516"/>
        <w:spacing w:after="0"/>
        <w:tabs>
          <w:tab w:leader="none" w:pos="1160" w:val="left"/>
        </w:tabs>
        <w:numPr>
          <w:ilvl w:val="1"/>
          <w:numId w:val="140"/>
        </w:numPr>
        <w:rPr>
          <w:rFonts w:ascii="Arial" w:cs="Arial" w:eastAsia="Arial" w:hAnsi="Arial"/>
          <w:sz w:val="18"/>
          <w:szCs w:val="18"/>
          <w:color w:val="auto"/>
        </w:rPr>
      </w:pPr>
      <w:r>
        <w:rPr>
          <w:rFonts w:ascii="Arial" w:cs="Arial" w:eastAsia="Arial" w:hAnsi="Arial"/>
          <w:sz w:val="18"/>
          <w:szCs w:val="18"/>
          <w:u w:val="single" w:color="auto"/>
          <w:color w:val="auto"/>
        </w:rPr>
        <w:t>No Dividend Equivalents</w:t>
      </w:r>
      <w:r>
        <w:rPr>
          <w:rFonts w:ascii="Arial" w:cs="Arial" w:eastAsia="Arial" w:hAnsi="Arial"/>
          <w:sz w:val="18"/>
          <w:szCs w:val="18"/>
          <w:color w:val="auto"/>
        </w:rPr>
        <w:t>. No Option shall provide for the payment or accrual of dividend equivalents.</w:t>
      </w:r>
    </w:p>
    <w:p>
      <w:pPr>
        <w:spacing w:after="0" w:line="360" w:lineRule="exact"/>
        <w:rPr>
          <w:sz w:val="20"/>
          <w:szCs w:val="20"/>
          <w:color w:val="auto"/>
        </w:rPr>
      </w:pPr>
    </w:p>
    <w:p>
      <w:pPr>
        <w:ind w:left="640" w:hanging="436"/>
        <w:spacing w:after="0"/>
        <w:tabs>
          <w:tab w:leader="none" w:pos="640"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Stock Appreciation Rights</w:t>
      </w:r>
    </w:p>
    <w:p>
      <w:pPr>
        <w:spacing w:after="0" w:line="81" w:lineRule="exact"/>
        <w:rPr>
          <w:rFonts w:ascii="Arial" w:cs="Arial" w:eastAsia="Arial" w:hAnsi="Arial"/>
          <w:sz w:val="18"/>
          <w:szCs w:val="18"/>
          <w:color w:val="auto"/>
        </w:rPr>
      </w:pPr>
    </w:p>
    <w:p>
      <w:pPr>
        <w:ind w:left="200" w:right="140" w:firstLine="444"/>
        <w:spacing w:after="0" w:line="244" w:lineRule="auto"/>
        <w:tabs>
          <w:tab w:leader="none" w:pos="1161" w:val="left"/>
        </w:tabs>
        <w:numPr>
          <w:ilvl w:val="1"/>
          <w:numId w:val="141"/>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Board may grant Awards consisting of stock appreciation rights (“</w:t>
      </w:r>
      <w:r>
        <w:rPr>
          <w:rFonts w:ascii="Arial" w:cs="Arial" w:eastAsia="Arial" w:hAnsi="Arial"/>
          <w:sz w:val="18"/>
          <w:szCs w:val="18"/>
          <w:b w:val="1"/>
          <w:bCs w:val="1"/>
          <w:i w:val="1"/>
          <w:iCs w:val="1"/>
          <w:color w:val="auto"/>
        </w:rPr>
        <w:t>SARs</w:t>
      </w:r>
      <w:r>
        <w:rPr>
          <w:rFonts w:ascii="Arial" w:cs="Arial" w:eastAsia="Arial" w:hAnsi="Arial"/>
          <w:sz w:val="18"/>
          <w:szCs w:val="18"/>
          <w:color w:val="auto"/>
        </w:rPr>
        <w:t>”) entitling the holder, upon exercise, to receive an amount of Common Stock or cash or a combination thereof (such form to be determined by the Board) determined by reference to appreciation, from and after the date of grant, in the fair market value of a share of Common Stock (valued in the manner determined by (or in a manner approved by) the Board) over the measurement price established pursuant to Section 6(b). The date as of which such appreciation is determined shall be the exercise date.</w:t>
      </w:r>
    </w:p>
    <w:p>
      <w:pPr>
        <w:spacing w:after="0" w:line="374" w:lineRule="exact"/>
        <w:rPr>
          <w:sz w:val="20"/>
          <w:szCs w:val="20"/>
          <w:color w:val="auto"/>
        </w:rPr>
      </w:pPr>
    </w:p>
    <w:p>
      <w:pPr>
        <w:jc w:val="right"/>
        <w:spacing w:after="0"/>
        <w:tabs>
          <w:tab w:leader="none" w:pos="260" w:val="left"/>
        </w:tabs>
        <w:rPr>
          <w:sz w:val="20"/>
          <w:szCs w:val="20"/>
          <w:color w:val="auto"/>
        </w:rPr>
      </w:pPr>
      <w:r>
        <w:rPr>
          <w:rFonts w:ascii="Arial" w:cs="Arial" w:eastAsia="Arial" w:hAnsi="Arial"/>
          <w:sz w:val="14"/>
          <w:szCs w:val="14"/>
          <w:b w:val="1"/>
          <w:bCs w:val="1"/>
          <w:color w:val="052B82"/>
        </w:rPr>
        <w:t>2020 Proxy Statement</w:t>
      </w:r>
      <w:r>
        <w:rPr>
          <w:sz w:val="20"/>
          <w:szCs w:val="20"/>
          <w:color w:val="auto"/>
        </w:rPr>
        <w:tab/>
      </w:r>
      <w:r>
        <w:rPr>
          <w:rFonts w:ascii="Arial" w:cs="Arial" w:eastAsia="Arial" w:hAnsi="Arial"/>
          <w:sz w:val="17"/>
          <w:szCs w:val="17"/>
          <w:color w:val="999999"/>
        </w:rPr>
        <w:t>B-5</w:t>
      </w:r>
    </w:p>
    <w:p>
      <w:pPr>
        <w:sectPr>
          <w:pgSz w:w="11900" w:h="16838" w:orient="portrait"/>
          <w:cols w:equalWidth="0" w:num="1">
            <w:col w:w="11220"/>
          </w:cols>
          <w:pgMar w:left="240" w:top="459" w:right="4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2649855" cy="13716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0" w:right="140" w:firstLine="444"/>
        <w:spacing w:after="0" w:line="239" w:lineRule="auto"/>
        <w:tabs>
          <w:tab w:leader="none" w:pos="1161" w:val="left"/>
        </w:tabs>
        <w:numPr>
          <w:ilvl w:val="1"/>
          <w:numId w:val="142"/>
        </w:numPr>
        <w:rPr>
          <w:rFonts w:ascii="Arial" w:cs="Arial" w:eastAsia="Arial" w:hAnsi="Arial"/>
          <w:sz w:val="18"/>
          <w:szCs w:val="18"/>
          <w:color w:val="auto"/>
        </w:rPr>
      </w:pPr>
      <w:r>
        <w:rPr>
          <w:rFonts w:ascii="Arial" w:cs="Arial" w:eastAsia="Arial" w:hAnsi="Arial"/>
          <w:sz w:val="18"/>
          <w:szCs w:val="18"/>
          <w:u w:val="single" w:color="auto"/>
          <w:color w:val="auto"/>
        </w:rPr>
        <w:t>Measurement Price</w:t>
      </w:r>
      <w:r>
        <w:rPr>
          <w:rFonts w:ascii="Arial" w:cs="Arial" w:eastAsia="Arial" w:hAnsi="Arial"/>
          <w:sz w:val="18"/>
          <w:szCs w:val="18"/>
          <w:color w:val="auto"/>
        </w:rPr>
        <w:t xml:space="preserve">. The Board shall establish the measurement price of each SAR and specify it in the applicable SAR agreement. The measurement price shall not be less than 100% of the Grant Date Fair Market Value of the Common Stock on the date the SAR is granted;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Board approves the grant of an SAR effective as of a future date, the measurement price shall be not less than 100% of the Grant Date Fair Market Value on such future date.</w:t>
      </w:r>
    </w:p>
    <w:p>
      <w:pPr>
        <w:spacing w:after="0" w:line="201" w:lineRule="exact"/>
        <w:rPr>
          <w:rFonts w:ascii="Arial" w:cs="Arial" w:eastAsia="Arial" w:hAnsi="Arial"/>
          <w:sz w:val="18"/>
          <w:szCs w:val="18"/>
          <w:color w:val="auto"/>
        </w:rPr>
      </w:pPr>
    </w:p>
    <w:p>
      <w:pPr>
        <w:ind w:left="200" w:right="240" w:firstLine="444"/>
        <w:spacing w:after="0" w:line="246" w:lineRule="auto"/>
        <w:tabs>
          <w:tab w:leader="none" w:pos="1150" w:val="left"/>
        </w:tabs>
        <w:numPr>
          <w:ilvl w:val="1"/>
          <w:numId w:val="142"/>
        </w:numPr>
        <w:rPr>
          <w:rFonts w:ascii="Arial" w:cs="Arial" w:eastAsia="Arial" w:hAnsi="Arial"/>
          <w:sz w:val="18"/>
          <w:szCs w:val="18"/>
          <w:color w:val="auto"/>
        </w:rPr>
      </w:pPr>
      <w:r>
        <w:rPr>
          <w:rFonts w:ascii="Arial" w:cs="Arial" w:eastAsia="Arial" w:hAnsi="Arial"/>
          <w:sz w:val="18"/>
          <w:szCs w:val="18"/>
          <w:u w:val="single" w:color="auto"/>
          <w:color w:val="auto"/>
        </w:rPr>
        <w:t>Duration of SARs</w:t>
      </w:r>
      <w:r>
        <w:rPr>
          <w:rFonts w:ascii="Arial" w:cs="Arial" w:eastAsia="Arial" w:hAnsi="Arial"/>
          <w:sz w:val="18"/>
          <w:szCs w:val="18"/>
          <w:color w:val="auto"/>
        </w:rPr>
        <w:t xml:space="preserve">. Each SAR shall be exercisable at such times and subject to such terms and conditions as the Board may specify in the applicable SAR agreement; </w:t>
      </w:r>
      <w:r>
        <w:rPr>
          <w:rFonts w:ascii="Arial" w:cs="Arial" w:eastAsia="Arial" w:hAnsi="Arial"/>
          <w:sz w:val="18"/>
          <w:szCs w:val="18"/>
          <w:i w:val="1"/>
          <w:iCs w:val="1"/>
          <w:color w:val="auto"/>
        </w:rPr>
        <w:t>provided, however</w:t>
      </w:r>
      <w:r>
        <w:rPr>
          <w:rFonts w:ascii="Arial" w:cs="Arial" w:eastAsia="Arial" w:hAnsi="Arial"/>
          <w:sz w:val="18"/>
          <w:szCs w:val="18"/>
          <w:color w:val="auto"/>
        </w:rPr>
        <w:t>, that no SAR will be granted with a term in excess of 10 years.</w:t>
      </w:r>
    </w:p>
    <w:p>
      <w:pPr>
        <w:spacing w:after="0" w:line="196" w:lineRule="exact"/>
        <w:rPr>
          <w:rFonts w:ascii="Arial" w:cs="Arial" w:eastAsia="Arial" w:hAnsi="Arial"/>
          <w:sz w:val="18"/>
          <w:szCs w:val="18"/>
          <w:color w:val="auto"/>
        </w:rPr>
      </w:pPr>
    </w:p>
    <w:p>
      <w:pPr>
        <w:ind w:left="200" w:right="640" w:firstLine="444"/>
        <w:spacing w:after="0" w:line="246" w:lineRule="auto"/>
        <w:tabs>
          <w:tab w:leader="none" w:pos="1161" w:val="left"/>
        </w:tabs>
        <w:numPr>
          <w:ilvl w:val="1"/>
          <w:numId w:val="142"/>
        </w:numPr>
        <w:rPr>
          <w:rFonts w:ascii="Arial" w:cs="Arial" w:eastAsia="Arial" w:hAnsi="Arial"/>
          <w:sz w:val="18"/>
          <w:szCs w:val="18"/>
          <w:color w:val="auto"/>
        </w:rPr>
      </w:pPr>
      <w:r>
        <w:rPr>
          <w:rFonts w:ascii="Arial" w:cs="Arial" w:eastAsia="Arial" w:hAnsi="Arial"/>
          <w:sz w:val="18"/>
          <w:szCs w:val="18"/>
          <w:u w:val="single" w:color="auto"/>
          <w:color w:val="auto"/>
        </w:rPr>
        <w:t>Exercise of SARs</w:t>
      </w:r>
      <w:r>
        <w:rPr>
          <w:rFonts w:ascii="Arial" w:cs="Arial" w:eastAsia="Arial" w:hAnsi="Arial"/>
          <w:sz w:val="18"/>
          <w:szCs w:val="18"/>
          <w:color w:val="auto"/>
        </w:rPr>
        <w:t>. SARs may be exercised by delivery to the Company of a notice of exercise in a form (which may be electronic) approved by the Company, together with any other documents required by the Board.</w:t>
      </w:r>
    </w:p>
    <w:p>
      <w:pPr>
        <w:spacing w:after="0" w:line="196" w:lineRule="exact"/>
        <w:rPr>
          <w:rFonts w:ascii="Arial" w:cs="Arial" w:eastAsia="Arial" w:hAnsi="Arial"/>
          <w:sz w:val="18"/>
          <w:szCs w:val="18"/>
          <w:color w:val="auto"/>
        </w:rPr>
      </w:pPr>
    </w:p>
    <w:p>
      <w:pPr>
        <w:ind w:left="200" w:firstLine="444"/>
        <w:spacing w:after="0" w:line="236" w:lineRule="auto"/>
        <w:tabs>
          <w:tab w:leader="none" w:pos="1161" w:val="left"/>
        </w:tabs>
        <w:numPr>
          <w:ilvl w:val="1"/>
          <w:numId w:val="142"/>
        </w:numPr>
        <w:rPr>
          <w:rFonts w:ascii="Arial" w:cs="Arial" w:eastAsia="Arial" w:hAnsi="Arial"/>
          <w:sz w:val="18"/>
          <w:szCs w:val="18"/>
          <w:color w:val="auto"/>
        </w:rPr>
      </w:pPr>
      <w:r>
        <w:rPr>
          <w:rFonts w:ascii="Arial" w:cs="Arial" w:eastAsia="Arial" w:hAnsi="Arial"/>
          <w:sz w:val="18"/>
          <w:szCs w:val="18"/>
          <w:u w:val="single" w:color="auto"/>
          <w:color w:val="auto"/>
        </w:rPr>
        <w:t>Limitation on Repricing</w:t>
      </w:r>
      <w:r>
        <w:rPr>
          <w:rFonts w:ascii="Arial" w:cs="Arial" w:eastAsia="Arial" w:hAnsi="Arial"/>
          <w:sz w:val="18"/>
          <w:szCs w:val="18"/>
          <w:color w:val="auto"/>
        </w:rPr>
        <w:t>. Unless such action is approved by the Company’s stockholders, the Company may not (except as provided for under Section 10): (1) amend any outstanding SAR granted under the Plan to provide a measurement price per share that is lower than the then-current measurement price per share of such outstanding SAR, (2) cancel any outstanding SAR (whether or not granted under the Plan) and grant in substitution therefor new Awards under the Plan (other than Awards granted pursuant to Section 4(c)) covering the same or a different number of shares of Common Stock and having a measurement price per share lower than the then-current measurement price per share of the cancelled SAR, (3) cancel in exchange for a cash payment any outstanding SAR with a measurement price per share above the then-current fair market value of the Common Stock (valued in the manner determined by (or in a manner approved by) the Board), or (4) take any other action under the Plan that constitutes a “repricing” within the meaning of the rules of the NASDAQ Stock Market.</w:t>
      </w:r>
    </w:p>
    <w:p>
      <w:pPr>
        <w:spacing w:after="0" w:line="207" w:lineRule="exact"/>
        <w:rPr>
          <w:rFonts w:ascii="Arial" w:cs="Arial" w:eastAsia="Arial" w:hAnsi="Arial"/>
          <w:sz w:val="18"/>
          <w:szCs w:val="18"/>
          <w:color w:val="auto"/>
        </w:rPr>
      </w:pPr>
    </w:p>
    <w:p>
      <w:pPr>
        <w:ind w:left="200" w:right="40" w:firstLine="444"/>
        <w:spacing w:after="0" w:line="246" w:lineRule="auto"/>
        <w:tabs>
          <w:tab w:leader="none" w:pos="1161" w:val="left"/>
        </w:tabs>
        <w:numPr>
          <w:ilvl w:val="1"/>
          <w:numId w:val="142"/>
        </w:numPr>
        <w:rPr>
          <w:rFonts w:ascii="Arial" w:cs="Arial" w:eastAsia="Arial" w:hAnsi="Arial"/>
          <w:sz w:val="18"/>
          <w:szCs w:val="18"/>
          <w:color w:val="auto"/>
        </w:rPr>
      </w:pPr>
      <w:r>
        <w:rPr>
          <w:rFonts w:ascii="Arial" w:cs="Arial" w:eastAsia="Arial" w:hAnsi="Arial"/>
          <w:sz w:val="18"/>
          <w:szCs w:val="18"/>
          <w:u w:val="single" w:color="auto"/>
          <w:color w:val="auto"/>
        </w:rPr>
        <w:t>No Reload SARs</w:t>
      </w:r>
      <w:r>
        <w:rPr>
          <w:rFonts w:ascii="Arial" w:cs="Arial" w:eastAsia="Arial" w:hAnsi="Arial"/>
          <w:sz w:val="18"/>
          <w:szCs w:val="18"/>
          <w:color w:val="auto"/>
        </w:rPr>
        <w:t>. No SAR granted under the Plan shall contain any provision entitling the Participant to the automatic grant of additional SARs in connection with any exercise of the original SAR.</w:t>
      </w:r>
    </w:p>
    <w:p>
      <w:pPr>
        <w:spacing w:after="0" w:line="196" w:lineRule="exact"/>
        <w:rPr>
          <w:rFonts w:ascii="Arial" w:cs="Arial" w:eastAsia="Arial" w:hAnsi="Arial"/>
          <w:sz w:val="18"/>
          <w:szCs w:val="18"/>
          <w:color w:val="auto"/>
        </w:rPr>
      </w:pPr>
    </w:p>
    <w:p>
      <w:pPr>
        <w:ind w:left="1160" w:hanging="516"/>
        <w:spacing w:after="0"/>
        <w:tabs>
          <w:tab w:leader="none" w:pos="1160" w:val="left"/>
        </w:tabs>
        <w:numPr>
          <w:ilvl w:val="1"/>
          <w:numId w:val="142"/>
        </w:numPr>
        <w:rPr>
          <w:rFonts w:ascii="Arial" w:cs="Arial" w:eastAsia="Arial" w:hAnsi="Arial"/>
          <w:sz w:val="18"/>
          <w:szCs w:val="18"/>
          <w:color w:val="auto"/>
        </w:rPr>
      </w:pPr>
      <w:r>
        <w:rPr>
          <w:rFonts w:ascii="Arial" w:cs="Arial" w:eastAsia="Arial" w:hAnsi="Arial"/>
          <w:sz w:val="18"/>
          <w:szCs w:val="18"/>
          <w:u w:val="single" w:color="auto"/>
          <w:color w:val="auto"/>
        </w:rPr>
        <w:t>No Dividend Equivalents</w:t>
      </w:r>
      <w:r>
        <w:rPr>
          <w:rFonts w:ascii="Arial" w:cs="Arial" w:eastAsia="Arial" w:hAnsi="Arial"/>
          <w:sz w:val="18"/>
          <w:szCs w:val="18"/>
          <w:color w:val="auto"/>
        </w:rPr>
        <w:t>. No SAR shall provide for the payment or accrual of dividend equivalents.</w:t>
      </w:r>
    </w:p>
    <w:p>
      <w:pPr>
        <w:spacing w:after="0" w:line="360" w:lineRule="exact"/>
        <w:rPr>
          <w:rFonts w:ascii="Arial" w:cs="Arial" w:eastAsia="Arial" w:hAnsi="Arial"/>
          <w:sz w:val="18"/>
          <w:szCs w:val="18"/>
          <w:color w:val="auto"/>
        </w:rPr>
      </w:pPr>
    </w:p>
    <w:p>
      <w:pPr>
        <w:ind w:left="640" w:hanging="436"/>
        <w:spacing w:after="0"/>
        <w:tabs>
          <w:tab w:leader="none" w:pos="640"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Restricted Stock; RSUs</w:t>
      </w:r>
    </w:p>
    <w:p>
      <w:pPr>
        <w:spacing w:after="0" w:line="81" w:lineRule="exact"/>
        <w:rPr>
          <w:rFonts w:ascii="Arial" w:cs="Arial" w:eastAsia="Arial" w:hAnsi="Arial"/>
          <w:sz w:val="18"/>
          <w:szCs w:val="18"/>
          <w:color w:val="auto"/>
        </w:rPr>
      </w:pPr>
    </w:p>
    <w:p>
      <w:pPr>
        <w:ind w:left="200" w:right="120" w:firstLine="444"/>
        <w:spacing w:after="0" w:line="242" w:lineRule="auto"/>
        <w:tabs>
          <w:tab w:leader="none" w:pos="1161" w:val="left"/>
        </w:tabs>
        <w:numPr>
          <w:ilvl w:val="1"/>
          <w:numId w:val="143"/>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Board may grant Awards entitling recipients to acquire shares of Common Stock (“</w:t>
      </w:r>
      <w:r>
        <w:rPr>
          <w:rFonts w:ascii="Arial" w:cs="Arial" w:eastAsia="Arial" w:hAnsi="Arial"/>
          <w:sz w:val="18"/>
          <w:szCs w:val="18"/>
          <w:b w:val="1"/>
          <w:bCs w:val="1"/>
          <w:i w:val="1"/>
          <w:iCs w:val="1"/>
          <w:color w:val="auto"/>
        </w:rPr>
        <w:t>Restricted Stock</w:t>
      </w:r>
      <w:r>
        <w:rPr>
          <w:rFonts w:ascii="Arial" w:cs="Arial" w:eastAsia="Arial" w:hAnsi="Arial"/>
          <w:sz w:val="18"/>
          <w:szCs w:val="18"/>
          <w:color w:val="auto"/>
        </w:rPr>
        <w:t>”), subject to the right of the Company to repurchase all or part of such shares at their issue price or other stated or formula price (or to require forfeiture of such shares if issued at no cost) from the recipient in the event that conditions specified by the Board in the applicable Award are not satisfied prior to the end of the applicable restriction period or periods established by the Board for such Award. The Board may also grant Awards entitling the recipient to receive shares of Common Stock or cash to be delivered as soon as practicable after the time such Award vests (“</w:t>
      </w:r>
      <w:r>
        <w:rPr>
          <w:rFonts w:ascii="Arial" w:cs="Arial" w:eastAsia="Arial" w:hAnsi="Arial"/>
          <w:sz w:val="18"/>
          <w:szCs w:val="18"/>
          <w:b w:val="1"/>
          <w:bCs w:val="1"/>
          <w:i w:val="1"/>
          <w:iCs w:val="1"/>
          <w:color w:val="auto"/>
        </w:rPr>
        <w:t>RSUs</w:t>
      </w:r>
      <w:r>
        <w:rPr>
          <w:rFonts w:ascii="Arial" w:cs="Arial" w:eastAsia="Arial" w:hAnsi="Arial"/>
          <w:sz w:val="18"/>
          <w:szCs w:val="18"/>
          <w:color w:val="auto"/>
        </w:rPr>
        <w:t>”).</w:t>
      </w:r>
    </w:p>
    <w:p>
      <w:pPr>
        <w:spacing w:after="0" w:line="201" w:lineRule="exact"/>
        <w:rPr>
          <w:rFonts w:ascii="Arial" w:cs="Arial" w:eastAsia="Arial" w:hAnsi="Arial"/>
          <w:sz w:val="18"/>
          <w:szCs w:val="18"/>
          <w:color w:val="auto"/>
        </w:rPr>
      </w:pPr>
    </w:p>
    <w:p>
      <w:pPr>
        <w:ind w:left="200" w:right="40" w:firstLine="444"/>
        <w:spacing w:after="0" w:line="246" w:lineRule="auto"/>
        <w:tabs>
          <w:tab w:leader="none" w:pos="1161" w:val="left"/>
        </w:tabs>
        <w:numPr>
          <w:ilvl w:val="1"/>
          <w:numId w:val="143"/>
        </w:numPr>
        <w:rPr>
          <w:rFonts w:ascii="Arial" w:cs="Arial" w:eastAsia="Arial" w:hAnsi="Arial"/>
          <w:sz w:val="18"/>
          <w:szCs w:val="18"/>
          <w:color w:val="auto"/>
        </w:rPr>
      </w:pPr>
      <w:r>
        <w:rPr>
          <w:rFonts w:ascii="Arial" w:cs="Arial" w:eastAsia="Arial" w:hAnsi="Arial"/>
          <w:sz w:val="18"/>
          <w:szCs w:val="18"/>
          <w:u w:val="single" w:color="auto"/>
          <w:color w:val="auto"/>
        </w:rPr>
        <w:t>Terms and Conditions for Restricted Stock and RSUs</w:t>
      </w:r>
      <w:r>
        <w:rPr>
          <w:rFonts w:ascii="Arial" w:cs="Arial" w:eastAsia="Arial" w:hAnsi="Arial"/>
          <w:sz w:val="18"/>
          <w:szCs w:val="18"/>
          <w:color w:val="auto"/>
        </w:rPr>
        <w:t>. The Board shall determine the terms and conditions of Restricted Stock and RSUs, including the conditions for vesting and repurchase (or forfeiture) and the issue price, if any.</w:t>
      </w:r>
    </w:p>
    <w:p>
      <w:pPr>
        <w:spacing w:after="0" w:line="196" w:lineRule="exact"/>
        <w:rPr>
          <w:rFonts w:ascii="Arial" w:cs="Arial" w:eastAsia="Arial" w:hAnsi="Arial"/>
          <w:sz w:val="18"/>
          <w:szCs w:val="18"/>
          <w:color w:val="auto"/>
        </w:rPr>
      </w:pPr>
    </w:p>
    <w:p>
      <w:pPr>
        <w:ind w:left="1160" w:hanging="516"/>
        <w:spacing w:after="0"/>
        <w:tabs>
          <w:tab w:leader="none" w:pos="1160" w:val="left"/>
        </w:tabs>
        <w:numPr>
          <w:ilvl w:val="1"/>
          <w:numId w:val="143"/>
        </w:numPr>
        <w:rPr>
          <w:rFonts w:ascii="Arial" w:cs="Arial" w:eastAsia="Arial" w:hAnsi="Arial"/>
          <w:sz w:val="18"/>
          <w:szCs w:val="18"/>
          <w:color w:val="auto"/>
        </w:rPr>
      </w:pPr>
      <w:r>
        <w:rPr>
          <w:rFonts w:ascii="Arial" w:cs="Arial" w:eastAsia="Arial" w:hAnsi="Arial"/>
          <w:sz w:val="18"/>
          <w:szCs w:val="18"/>
          <w:u w:val="single" w:color="auto"/>
          <w:color w:val="auto"/>
        </w:rPr>
        <w:t>Additional Provisions Relating to Restricted Stock</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200" w:right="140" w:firstLine="996"/>
        <w:spacing w:after="0" w:line="239" w:lineRule="auto"/>
        <w:tabs>
          <w:tab w:leader="none" w:pos="1712" w:val="left"/>
        </w:tabs>
        <w:numPr>
          <w:ilvl w:val="2"/>
          <w:numId w:val="143"/>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 Any dividends (whether paid in cash, stock or property) declared and paid by the Company with respect to shares of Restricted Stock (“</w:t>
      </w:r>
      <w:r>
        <w:rPr>
          <w:rFonts w:ascii="Arial" w:cs="Arial" w:eastAsia="Arial" w:hAnsi="Arial"/>
          <w:sz w:val="18"/>
          <w:szCs w:val="18"/>
          <w:b w:val="1"/>
          <w:bCs w:val="1"/>
          <w:i w:val="1"/>
          <w:iCs w:val="1"/>
          <w:color w:val="auto"/>
        </w:rPr>
        <w:t>Unvested Dividends</w:t>
      </w:r>
      <w:r>
        <w:rPr>
          <w:rFonts w:ascii="Arial" w:cs="Arial" w:eastAsia="Arial" w:hAnsi="Arial"/>
          <w:sz w:val="18"/>
          <w:szCs w:val="18"/>
          <w:color w:val="auto"/>
        </w:rPr>
        <w:t>”) shall be paid to the Participant only if and when such shares become free from the restrictions on transferability and forfeitability that apply to such shares or at such other time as the Board shall determine and set forth in the applicable award agreement. No interest will be paid on Unvested Dividends.</w:t>
      </w:r>
    </w:p>
    <w:p>
      <w:pPr>
        <w:spacing w:after="0" w:line="201" w:lineRule="exact"/>
        <w:rPr>
          <w:rFonts w:ascii="Arial" w:cs="Arial" w:eastAsia="Arial" w:hAnsi="Arial"/>
          <w:sz w:val="18"/>
          <w:szCs w:val="18"/>
          <w:color w:val="auto"/>
        </w:rPr>
      </w:pPr>
    </w:p>
    <w:p>
      <w:pPr>
        <w:ind w:left="200" w:firstLine="996"/>
        <w:spacing w:after="0"/>
        <w:tabs>
          <w:tab w:leader="none" w:pos="1712" w:val="left"/>
        </w:tabs>
        <w:numPr>
          <w:ilvl w:val="2"/>
          <w:numId w:val="143"/>
        </w:numPr>
        <w:rPr>
          <w:rFonts w:ascii="Arial" w:cs="Arial" w:eastAsia="Arial" w:hAnsi="Arial"/>
          <w:sz w:val="18"/>
          <w:szCs w:val="18"/>
          <w:color w:val="auto"/>
        </w:rPr>
      </w:pPr>
      <w:r>
        <w:rPr>
          <w:rFonts w:ascii="Arial" w:cs="Arial" w:eastAsia="Arial" w:hAnsi="Arial"/>
          <w:sz w:val="18"/>
          <w:szCs w:val="18"/>
          <w:u w:val="single" w:color="auto"/>
          <w:color w:val="auto"/>
        </w:rPr>
        <w:t>Stock Certificates</w:t>
      </w:r>
      <w:r>
        <w:rPr>
          <w:rFonts w:ascii="Arial" w:cs="Arial" w:eastAsia="Arial" w:hAnsi="Arial"/>
          <w:sz w:val="18"/>
          <w:szCs w:val="18"/>
          <w:color w:val="auto"/>
        </w:rPr>
        <w:t>. The Company may require that any stock certificates issued in respect of shares of Restricted Stock, as well as dividends or distributions paid on such Restricted Stock, shall be deposited in escrow by the Participant, together with a stock power endorsed in blank, with the Company (or</w:t>
      </w:r>
    </w:p>
    <w:p>
      <w:pPr>
        <w:spacing w:after="0" w:line="135" w:lineRule="exact"/>
        <w:rPr>
          <w:sz w:val="20"/>
          <w:szCs w:val="20"/>
          <w:color w:val="auto"/>
        </w:rPr>
      </w:pPr>
    </w:p>
    <w:p>
      <w:pPr>
        <w:ind w:left="200"/>
        <w:spacing w:after="0"/>
        <w:tabs>
          <w:tab w:leader="none" w:pos="660" w:val="left"/>
        </w:tabs>
        <w:rPr>
          <w:sz w:val="20"/>
          <w:szCs w:val="20"/>
          <w:color w:val="auto"/>
        </w:rPr>
      </w:pPr>
      <w:r>
        <w:rPr>
          <w:rFonts w:ascii="Arial" w:cs="Arial" w:eastAsia="Arial" w:hAnsi="Arial"/>
          <w:sz w:val="18"/>
          <w:szCs w:val="18"/>
          <w:color w:val="999999"/>
        </w:rPr>
        <w:t>B-6</w:t>
      </w:r>
      <w:r>
        <w:rPr>
          <w:sz w:val="20"/>
          <w:szCs w:val="20"/>
          <w:color w:val="auto"/>
        </w:rPr>
        <w:tab/>
      </w:r>
      <w:r>
        <w:rPr>
          <w:rFonts w:ascii="Arial" w:cs="Arial" w:eastAsia="Arial" w:hAnsi="Arial"/>
          <w:sz w:val="14"/>
          <w:szCs w:val="14"/>
          <w:b w:val="1"/>
          <w:bCs w:val="1"/>
          <w:color w:val="052B82"/>
        </w:rPr>
        <w:t>Analog Devices, Inc.</w:t>
      </w:r>
    </w:p>
    <w:p>
      <w:pPr>
        <w:sectPr>
          <w:pgSz w:w="11900" w:h="16838" w:orient="portrait"/>
          <w:cols w:equalWidth="0" w:num="1">
            <w:col w:w="11220"/>
          </w:cols>
          <w:pgMar w:left="240" w:top="459" w:right="4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205740</wp:posOffset>
            </wp:positionV>
            <wp:extent cx="2649855" cy="13716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0" w:right="40"/>
        <w:spacing w:after="0" w:line="238" w:lineRule="auto"/>
        <w:rPr>
          <w:sz w:val="20"/>
          <w:szCs w:val="20"/>
          <w:color w:val="auto"/>
        </w:rPr>
      </w:pPr>
      <w:r>
        <w:rPr>
          <w:rFonts w:ascii="Arial" w:cs="Arial" w:eastAsia="Arial" w:hAnsi="Arial"/>
          <w:sz w:val="18"/>
          <w:szCs w:val="18"/>
          <w:color w:val="auto"/>
        </w:rPr>
        <w:t>its designee). At the expiration of the applicable restriction periods, the Company (or such designee) shall deliver the certificates no longer subject to such restrictions to the Participant or if the Participant has died, to his or her Designated Beneficiary. “</w:t>
      </w:r>
      <w:r>
        <w:rPr>
          <w:rFonts w:ascii="Arial" w:cs="Arial" w:eastAsia="Arial" w:hAnsi="Arial"/>
          <w:sz w:val="18"/>
          <w:szCs w:val="18"/>
          <w:b w:val="1"/>
          <w:bCs w:val="1"/>
          <w:i w:val="1"/>
          <w:iCs w:val="1"/>
          <w:color w:val="auto"/>
        </w:rPr>
        <w:t>Designated Beneficiary</w:t>
      </w:r>
      <w:r>
        <w:rPr>
          <w:rFonts w:ascii="Arial" w:cs="Arial" w:eastAsia="Arial" w:hAnsi="Arial"/>
          <w:sz w:val="18"/>
          <w:szCs w:val="18"/>
          <w:color w:val="auto"/>
        </w:rPr>
        <w:t>” means (i) the beneficiary designated, in a manner determined by the Board, by a Participant to receive amounts due or exercise rights of the Participant in the event of the Participant’s death or (ii) in the absence of an effective designation by a Participant, the Participant’s estate.</w:t>
      </w:r>
    </w:p>
    <w:p>
      <w:pPr>
        <w:spacing w:after="0" w:line="203" w:lineRule="exact"/>
        <w:rPr>
          <w:sz w:val="20"/>
          <w:szCs w:val="20"/>
          <w:color w:val="auto"/>
        </w:rPr>
      </w:pPr>
    </w:p>
    <w:p>
      <w:pPr>
        <w:ind w:left="1160" w:hanging="516"/>
        <w:spacing w:after="0"/>
        <w:tabs>
          <w:tab w:leader="none" w:pos="1160" w:val="left"/>
        </w:tabs>
        <w:numPr>
          <w:ilvl w:val="1"/>
          <w:numId w:val="144"/>
        </w:numPr>
        <w:rPr>
          <w:rFonts w:ascii="Arial" w:cs="Arial" w:eastAsia="Arial" w:hAnsi="Arial"/>
          <w:sz w:val="18"/>
          <w:szCs w:val="18"/>
          <w:color w:val="auto"/>
        </w:rPr>
      </w:pPr>
      <w:r>
        <w:rPr>
          <w:rFonts w:ascii="Arial" w:cs="Arial" w:eastAsia="Arial" w:hAnsi="Arial"/>
          <w:sz w:val="18"/>
          <w:szCs w:val="18"/>
          <w:u w:val="single" w:color="auto"/>
          <w:color w:val="auto"/>
        </w:rPr>
        <w:t>Additional Provisions Relating to RSUs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200" w:right="20" w:firstLine="996"/>
        <w:spacing w:after="0" w:line="237" w:lineRule="auto"/>
        <w:tabs>
          <w:tab w:leader="none" w:pos="1712" w:val="left"/>
        </w:tabs>
        <w:numPr>
          <w:ilvl w:val="2"/>
          <w:numId w:val="144"/>
        </w:numPr>
        <w:rPr>
          <w:rFonts w:ascii="Arial" w:cs="Arial" w:eastAsia="Arial" w:hAnsi="Arial"/>
          <w:sz w:val="18"/>
          <w:szCs w:val="18"/>
          <w:color w:val="auto"/>
        </w:rPr>
      </w:pPr>
      <w:r>
        <w:rPr>
          <w:rFonts w:ascii="Arial" w:cs="Arial" w:eastAsia="Arial" w:hAnsi="Arial"/>
          <w:sz w:val="18"/>
          <w:szCs w:val="18"/>
          <w:u w:val="single" w:color="auto"/>
          <w:color w:val="auto"/>
        </w:rPr>
        <w:t>Settlement</w:t>
      </w:r>
      <w:r>
        <w:rPr>
          <w:rFonts w:ascii="Arial" w:cs="Arial" w:eastAsia="Arial" w:hAnsi="Arial"/>
          <w:sz w:val="18"/>
          <w:szCs w:val="18"/>
          <w:color w:val="auto"/>
        </w:rPr>
        <w:t>. As soon as practicable after the vesting of and/or lapsing of any other restrictions (i.e., settlement) with respect to each RSU, the Participant shall be entitled to receive from the Company the number of shares of Common Stock specified in the Award agreement or (if so provided in the applicable Award agreement or otherwise determined by the Board) an amount of cash equal to the fair market value (valued in the manner determined by (or in a manner approved by) the Board) of such number of shares or a combination thereof. The Board may provide that settlement of RSUs shall be deferred, on a mandatory basis or at the election of the Participant, in a manner that complies with Section 409A of the Code or any successor provision thereto, and the regulations thereunder (“</w:t>
      </w:r>
      <w:r>
        <w:rPr>
          <w:rFonts w:ascii="Arial" w:cs="Arial" w:eastAsia="Arial" w:hAnsi="Arial"/>
          <w:sz w:val="18"/>
          <w:szCs w:val="18"/>
          <w:b w:val="1"/>
          <w:bCs w:val="1"/>
          <w:i w:val="1"/>
          <w:iCs w:val="1"/>
          <w:color w:val="auto"/>
        </w:rPr>
        <w:t>Section 409A</w:t>
      </w:r>
      <w:r>
        <w:rPr>
          <w:rFonts w:ascii="Arial" w:cs="Arial" w:eastAsia="Arial" w:hAnsi="Arial"/>
          <w:sz w:val="18"/>
          <w:szCs w:val="18"/>
          <w:color w:val="auto"/>
        </w:rPr>
        <w:t>”).</w:t>
      </w:r>
    </w:p>
    <w:p>
      <w:pPr>
        <w:spacing w:after="0" w:line="203" w:lineRule="exact"/>
        <w:rPr>
          <w:rFonts w:ascii="Arial" w:cs="Arial" w:eastAsia="Arial" w:hAnsi="Arial"/>
          <w:sz w:val="18"/>
          <w:szCs w:val="18"/>
          <w:color w:val="auto"/>
        </w:rPr>
      </w:pPr>
    </w:p>
    <w:p>
      <w:pPr>
        <w:ind w:left="1720" w:hanging="524"/>
        <w:spacing w:after="0"/>
        <w:tabs>
          <w:tab w:leader="none" w:pos="1720" w:val="left"/>
        </w:tabs>
        <w:numPr>
          <w:ilvl w:val="2"/>
          <w:numId w:val="144"/>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 A Participant shall have no voting rights with respect to any RSUs.</w:t>
      </w:r>
    </w:p>
    <w:p>
      <w:pPr>
        <w:spacing w:after="0" w:line="211" w:lineRule="exact"/>
        <w:rPr>
          <w:rFonts w:ascii="Arial" w:cs="Arial" w:eastAsia="Arial" w:hAnsi="Arial"/>
          <w:sz w:val="18"/>
          <w:szCs w:val="18"/>
          <w:color w:val="auto"/>
        </w:rPr>
      </w:pPr>
    </w:p>
    <w:p>
      <w:pPr>
        <w:ind w:left="200" w:right="200" w:firstLine="996"/>
        <w:spacing w:after="0" w:line="238" w:lineRule="auto"/>
        <w:tabs>
          <w:tab w:leader="none" w:pos="1712" w:val="left"/>
        </w:tabs>
        <w:numPr>
          <w:ilvl w:val="2"/>
          <w:numId w:val="144"/>
        </w:numPr>
        <w:rPr>
          <w:rFonts w:ascii="Arial" w:cs="Arial" w:eastAsia="Arial" w:hAnsi="Arial"/>
          <w:sz w:val="18"/>
          <w:szCs w:val="18"/>
          <w:color w:val="auto"/>
        </w:rPr>
      </w:pPr>
      <w:r>
        <w:rPr>
          <w:rFonts w:ascii="Arial" w:cs="Arial" w:eastAsia="Arial" w:hAnsi="Arial"/>
          <w:sz w:val="18"/>
          <w:szCs w:val="18"/>
          <w:u w:val="single" w:color="auto"/>
          <w:color w:val="auto"/>
        </w:rPr>
        <w:t>Dividend Equivalents</w:t>
      </w:r>
      <w:r>
        <w:rPr>
          <w:rFonts w:ascii="Arial" w:cs="Arial" w:eastAsia="Arial" w:hAnsi="Arial"/>
          <w:sz w:val="18"/>
          <w:szCs w:val="18"/>
          <w:color w:val="auto"/>
        </w:rPr>
        <w:t>. The Award agreement for RSUs may provide Participants with the right to receive an amount equal to any dividends or other distributions declared and paid on an equal number of outstanding shares of Common Stock (“</w:t>
      </w:r>
      <w:r>
        <w:rPr>
          <w:rFonts w:ascii="Arial" w:cs="Arial" w:eastAsia="Arial" w:hAnsi="Arial"/>
          <w:sz w:val="18"/>
          <w:szCs w:val="18"/>
          <w:b w:val="1"/>
          <w:bCs w:val="1"/>
          <w:i w:val="1"/>
          <w:iCs w:val="1"/>
          <w:color w:val="auto"/>
        </w:rPr>
        <w:t>Dividend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Equivalents</w:t>
      </w:r>
      <w:r>
        <w:rPr>
          <w:rFonts w:ascii="Arial" w:cs="Arial" w:eastAsia="Arial" w:hAnsi="Arial"/>
          <w:sz w:val="18"/>
          <w:szCs w:val="18"/>
          <w:color w:val="auto"/>
        </w:rPr>
        <w:t>”). Dividend Equivalents will be credited to an account for the Participant, and may be settled in cash and/or shares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and may be subject to the same restrictions on transfer and forfeitability as the RSUs with respect to which paid, in each case as set forth in the applicable award agreement. No interest will be paid on Dividend Equivalents.</w:t>
      </w:r>
    </w:p>
    <w:p>
      <w:pPr>
        <w:spacing w:after="0" w:line="351" w:lineRule="exact"/>
        <w:rPr>
          <w:rFonts w:ascii="Arial" w:cs="Arial" w:eastAsia="Arial" w:hAnsi="Arial"/>
          <w:sz w:val="18"/>
          <w:szCs w:val="18"/>
          <w:color w:val="auto"/>
        </w:rPr>
      </w:pPr>
    </w:p>
    <w:p>
      <w:pPr>
        <w:ind w:left="640" w:hanging="436"/>
        <w:spacing w:after="0"/>
        <w:tabs>
          <w:tab w:leader="none" w:pos="640"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Other Stock-Based Awards</w:t>
      </w:r>
    </w:p>
    <w:p>
      <w:pPr>
        <w:spacing w:after="0" w:line="103" w:lineRule="exact"/>
        <w:rPr>
          <w:rFonts w:ascii="Arial" w:cs="Arial" w:eastAsia="Arial" w:hAnsi="Arial"/>
          <w:sz w:val="18"/>
          <w:szCs w:val="18"/>
          <w:color w:val="auto"/>
        </w:rPr>
      </w:pPr>
    </w:p>
    <w:p>
      <w:pPr>
        <w:ind w:left="200" w:right="20" w:firstLine="444"/>
        <w:spacing w:after="0" w:line="238" w:lineRule="auto"/>
        <w:tabs>
          <w:tab w:leader="none" w:pos="1161" w:val="left"/>
        </w:tabs>
        <w:numPr>
          <w:ilvl w:val="1"/>
          <w:numId w:val="145"/>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Board may grant other Awards of shares of Common Stock, and other Awards that are valued in whole or in part by reference to, or are otherwise based on, shares of Common Stock or other property (“</w:t>
      </w:r>
      <w:r>
        <w:rPr>
          <w:rFonts w:ascii="Arial" w:cs="Arial" w:eastAsia="Arial" w:hAnsi="Arial"/>
          <w:sz w:val="18"/>
          <w:szCs w:val="18"/>
          <w:b w:val="1"/>
          <w:bCs w:val="1"/>
          <w:i w:val="1"/>
          <w:iCs w:val="1"/>
          <w:color w:val="auto"/>
        </w:rPr>
        <w:t>Other Stock-Based Awards</w:t>
      </w:r>
      <w:r>
        <w:rPr>
          <w:rFonts w:ascii="Arial" w:cs="Arial" w:eastAsia="Arial" w:hAnsi="Arial"/>
          <w:sz w:val="18"/>
          <w:szCs w:val="18"/>
          <w:color w:val="auto"/>
        </w:rPr>
        <w:t>”). Such Other Stock-Based Awards shall also be available as a form of payment in the settlement of other Awards granted under the Plan or as payment in lieu of compensation to which a Participant is otherwise entitled. Other Stock-Based Awards may be paid in shares of Common Stock or cash, as the Board shall determine.</w:t>
      </w:r>
    </w:p>
    <w:p>
      <w:pPr>
        <w:spacing w:after="0" w:line="202" w:lineRule="exact"/>
        <w:rPr>
          <w:rFonts w:ascii="Arial" w:cs="Arial" w:eastAsia="Arial" w:hAnsi="Arial"/>
          <w:sz w:val="18"/>
          <w:szCs w:val="18"/>
          <w:color w:val="auto"/>
        </w:rPr>
      </w:pPr>
    </w:p>
    <w:p>
      <w:pPr>
        <w:ind w:left="200" w:right="40" w:firstLine="444"/>
        <w:spacing w:after="0" w:line="246" w:lineRule="auto"/>
        <w:tabs>
          <w:tab w:leader="none" w:pos="1161" w:val="left"/>
        </w:tabs>
        <w:numPr>
          <w:ilvl w:val="1"/>
          <w:numId w:val="145"/>
        </w:numPr>
        <w:rPr>
          <w:rFonts w:ascii="Arial" w:cs="Arial" w:eastAsia="Arial" w:hAnsi="Arial"/>
          <w:sz w:val="18"/>
          <w:szCs w:val="18"/>
          <w:color w:val="auto"/>
        </w:rPr>
      </w:pPr>
      <w:r>
        <w:rPr>
          <w:rFonts w:ascii="Arial" w:cs="Arial" w:eastAsia="Arial" w:hAnsi="Arial"/>
          <w:sz w:val="18"/>
          <w:szCs w:val="18"/>
          <w:u w:val="single" w:color="auto"/>
          <w:color w:val="auto"/>
        </w:rPr>
        <w:t>Terms and Conditions</w:t>
      </w:r>
      <w:r>
        <w:rPr>
          <w:rFonts w:ascii="Arial" w:cs="Arial" w:eastAsia="Arial" w:hAnsi="Arial"/>
          <w:sz w:val="18"/>
          <w:szCs w:val="18"/>
          <w:color w:val="auto"/>
        </w:rPr>
        <w:t>. Subject to the provisions of the Plan, the Board shall determine the terms and conditions of each Other Stock-Based Award, including any purchase price applicable thereto.</w:t>
      </w:r>
    </w:p>
    <w:p>
      <w:pPr>
        <w:spacing w:after="0" w:line="196" w:lineRule="exact"/>
        <w:rPr>
          <w:rFonts w:ascii="Arial" w:cs="Arial" w:eastAsia="Arial" w:hAnsi="Arial"/>
          <w:sz w:val="18"/>
          <w:szCs w:val="18"/>
          <w:color w:val="auto"/>
        </w:rPr>
      </w:pPr>
    </w:p>
    <w:p>
      <w:pPr>
        <w:ind w:left="200" w:right="220" w:firstLine="444"/>
        <w:spacing w:after="0" w:line="257" w:lineRule="auto"/>
        <w:tabs>
          <w:tab w:leader="none" w:pos="1150" w:val="left"/>
        </w:tabs>
        <w:numPr>
          <w:ilvl w:val="1"/>
          <w:numId w:val="145"/>
        </w:numPr>
        <w:rPr>
          <w:rFonts w:ascii="Arial" w:cs="Arial" w:eastAsia="Arial" w:hAnsi="Arial"/>
          <w:sz w:val="17"/>
          <w:szCs w:val="17"/>
          <w:color w:val="auto"/>
        </w:rPr>
      </w:pPr>
      <w:r>
        <w:rPr>
          <w:rFonts w:ascii="Arial" w:cs="Arial" w:eastAsia="Arial" w:hAnsi="Arial"/>
          <w:sz w:val="17"/>
          <w:szCs w:val="17"/>
          <w:u w:val="single" w:color="auto"/>
          <w:color w:val="auto"/>
        </w:rPr>
        <w:t>Dividend Equivalents</w:t>
      </w:r>
      <w:r>
        <w:rPr>
          <w:rFonts w:ascii="Arial" w:cs="Arial" w:eastAsia="Arial" w:hAnsi="Arial"/>
          <w:sz w:val="17"/>
          <w:szCs w:val="17"/>
          <w:color w:val="auto"/>
        </w:rPr>
        <w:t>. The Award agreement for an Other Stock-Based Award may provide Participants with the right to receive Dividend Equivalents. Dividend Equivalents will be credited to an account for the Participant, and may be settled in cash and/or shares of Common Stock and may be subject to the same restrictions on transfer and forfeitability as the Other Stock-Based Award with respect to which paid, in each case as set forth in the applicable award agreement. No interest will be paid on Dividend Equivalents.</w:t>
      </w:r>
    </w:p>
    <w:p>
      <w:pPr>
        <w:spacing w:after="0" w:line="337" w:lineRule="exact"/>
        <w:rPr>
          <w:rFonts w:ascii="Arial" w:cs="Arial" w:eastAsia="Arial" w:hAnsi="Arial"/>
          <w:sz w:val="17"/>
          <w:szCs w:val="17"/>
          <w:color w:val="auto"/>
        </w:rPr>
      </w:pPr>
    </w:p>
    <w:p>
      <w:pPr>
        <w:ind w:left="640" w:hanging="436"/>
        <w:spacing w:after="0"/>
        <w:tabs>
          <w:tab w:leader="none" w:pos="640"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Performance Awards.</w:t>
      </w:r>
    </w:p>
    <w:p>
      <w:pPr>
        <w:spacing w:after="0" w:line="99" w:lineRule="exact"/>
        <w:rPr>
          <w:rFonts w:ascii="Arial" w:cs="Arial" w:eastAsia="Arial" w:hAnsi="Arial"/>
          <w:sz w:val="18"/>
          <w:szCs w:val="18"/>
          <w:color w:val="auto"/>
        </w:rPr>
      </w:pPr>
    </w:p>
    <w:p>
      <w:pPr>
        <w:ind w:left="1160" w:hanging="516"/>
        <w:spacing w:after="0"/>
        <w:tabs>
          <w:tab w:leader="none" w:pos="1160" w:val="left"/>
        </w:tabs>
        <w:numPr>
          <w:ilvl w:val="1"/>
          <w:numId w:val="145"/>
        </w:numPr>
        <w:rPr>
          <w:rFonts w:ascii="Arial" w:cs="Arial" w:eastAsia="Arial" w:hAnsi="Arial"/>
          <w:sz w:val="18"/>
          <w:szCs w:val="18"/>
          <w:color w:val="auto"/>
        </w:rPr>
      </w:pPr>
      <w:r>
        <w:rPr>
          <w:rFonts w:ascii="Arial" w:cs="Arial" w:eastAsia="Arial" w:hAnsi="Arial"/>
          <w:sz w:val="18"/>
          <w:szCs w:val="18"/>
          <w:u w:val="single" w:color="auto"/>
          <w:color w:val="auto"/>
        </w:rPr>
        <w:t>Grants</w:t>
      </w:r>
      <w:r>
        <w:rPr>
          <w:rFonts w:ascii="Arial" w:cs="Arial" w:eastAsia="Arial" w:hAnsi="Arial"/>
          <w:sz w:val="18"/>
          <w:szCs w:val="18"/>
          <w:color w:val="auto"/>
        </w:rPr>
        <w:t>. Awards under the Plan may be made subject to the achievement of performance goals pursuant to this Section 9</w:t>
      </w: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Awards</w:t>
      </w:r>
      <w:r>
        <w:rPr>
          <w:rFonts w:ascii="Arial" w:cs="Arial" w:eastAsia="Arial" w:hAnsi="Arial"/>
          <w:sz w:val="18"/>
          <w:szCs w:val="18"/>
          <w:color w:val="auto"/>
        </w:rPr>
        <w:t>”).</w:t>
      </w:r>
    </w:p>
    <w:p>
      <w:pPr>
        <w:spacing w:after="0" w:line="212" w:lineRule="exact"/>
        <w:rPr>
          <w:sz w:val="20"/>
          <w:szCs w:val="20"/>
          <w:color w:val="auto"/>
        </w:rPr>
      </w:pPr>
    </w:p>
    <w:p>
      <w:pPr>
        <w:jc w:val="both"/>
        <w:ind w:left="200" w:right="80" w:firstLine="444"/>
        <w:spacing w:after="0" w:line="239" w:lineRule="auto"/>
        <w:tabs>
          <w:tab w:leader="none" w:pos="1161"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Performance Measures</w:t>
      </w:r>
      <w:r>
        <w:rPr>
          <w:rFonts w:ascii="Arial" w:cs="Arial" w:eastAsia="Arial" w:hAnsi="Arial"/>
          <w:sz w:val="18"/>
          <w:szCs w:val="18"/>
          <w:color w:val="auto"/>
        </w:rPr>
        <w:t>. The Board may specify that the degree of granting, vesting and/or payout of any Performance Award shall be subject to the achievement of one or more performance measures established by the Board, which may be based on the relative or absolute attainment of specified levels of one or any combination of the following, which may be determined pursuant to generally accepted</w:t>
      </w:r>
    </w:p>
    <w:p>
      <w:pPr>
        <w:spacing w:after="0" w:line="134" w:lineRule="exact"/>
        <w:rPr>
          <w:sz w:val="20"/>
          <w:szCs w:val="20"/>
          <w:color w:val="auto"/>
        </w:rPr>
      </w:pPr>
    </w:p>
    <w:p>
      <w:pPr>
        <w:jc w:val="right"/>
        <w:spacing w:after="0"/>
        <w:tabs>
          <w:tab w:leader="none" w:pos="260" w:val="left"/>
        </w:tabs>
        <w:rPr>
          <w:sz w:val="20"/>
          <w:szCs w:val="20"/>
          <w:color w:val="auto"/>
        </w:rPr>
      </w:pPr>
      <w:r>
        <w:rPr>
          <w:rFonts w:ascii="Arial" w:cs="Arial" w:eastAsia="Arial" w:hAnsi="Arial"/>
          <w:sz w:val="14"/>
          <w:szCs w:val="14"/>
          <w:b w:val="1"/>
          <w:bCs w:val="1"/>
          <w:color w:val="052B82"/>
        </w:rPr>
        <w:t>2020 Proxy Statement</w:t>
      </w:r>
      <w:r>
        <w:rPr>
          <w:sz w:val="20"/>
          <w:szCs w:val="20"/>
          <w:color w:val="auto"/>
        </w:rPr>
        <w:tab/>
      </w:r>
      <w:r>
        <w:rPr>
          <w:rFonts w:ascii="Arial" w:cs="Arial" w:eastAsia="Arial" w:hAnsi="Arial"/>
          <w:sz w:val="17"/>
          <w:szCs w:val="17"/>
          <w:color w:val="999999"/>
        </w:rPr>
        <w:t>B-7</w:t>
      </w:r>
    </w:p>
    <w:p>
      <w:pPr>
        <w:sectPr>
          <w:pgSz w:w="11900" w:h="16838" w:orient="portrait"/>
          <w:cols w:equalWidth="0" w:num="1">
            <w:col w:w="11220"/>
          </w:cols>
          <w:pgMar w:left="240" w:top="459" w:right="4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2649855" cy="13716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0"/>
        <w:spacing w:after="0" w:line="255" w:lineRule="auto"/>
        <w:rPr>
          <w:sz w:val="20"/>
          <w:szCs w:val="20"/>
          <w:color w:val="auto"/>
        </w:rPr>
      </w:pPr>
      <w:r>
        <w:rPr>
          <w:rFonts w:ascii="Arial" w:cs="Arial" w:eastAsia="Arial" w:hAnsi="Arial"/>
          <w:sz w:val="17"/>
          <w:szCs w:val="17"/>
          <w:color w:val="auto"/>
        </w:rPr>
        <w:t>accounting principles (“</w:t>
      </w:r>
      <w:r>
        <w:rPr>
          <w:rFonts w:ascii="Arial" w:cs="Arial" w:eastAsia="Arial" w:hAnsi="Arial"/>
          <w:sz w:val="17"/>
          <w:szCs w:val="17"/>
          <w:b w:val="1"/>
          <w:bCs w:val="1"/>
          <w:i w:val="1"/>
          <w:iCs w:val="1"/>
          <w:color w:val="auto"/>
        </w:rPr>
        <w:t>GAAP</w:t>
      </w:r>
      <w:r>
        <w:rPr>
          <w:rFonts w:ascii="Arial" w:cs="Arial" w:eastAsia="Arial" w:hAnsi="Arial"/>
          <w:sz w:val="17"/>
          <w:szCs w:val="17"/>
          <w:color w:val="auto"/>
        </w:rPr>
        <w:t>”) or on a non-GAAP basis, as determined by the Board: (i) net income, (ii) earnings before or after discontinued operations, interest, taxes, depreciation and/or amortization, (iii) operating profit before or after discontinued operations and/or taxes, (iv) sales, (v) sales growth, (vi) earnings growth, (vii) cash flow, free cash flow or cash position, (viii) gross margins or margin percentages, (ix) stock price, (x) market share, (xi) return on sales, assets, equity or investment, (xii) improvement of financial ratings,</w:t>
      </w:r>
    </w:p>
    <w:p>
      <w:pPr>
        <w:ind w:left="580" w:hanging="376"/>
        <w:spacing w:after="0" w:line="236" w:lineRule="auto"/>
        <w:tabs>
          <w:tab w:leader="none" w:pos="5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achievement of balance sheet or income statement objectives, (xiv) total shareholder return, (xv) product release schedules,</w:t>
      </w:r>
    </w:p>
    <w:p>
      <w:pPr>
        <w:ind w:left="200" w:right="80" w:firstLine="4"/>
        <w:spacing w:after="0" w:line="248" w:lineRule="auto"/>
        <w:tabs>
          <w:tab w:leader="none" w:pos="59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product shipment targets, (xvii) customer satisfaction, (xviii) product design-in and/or design-win revenue opportunities, (xix) new product innovation or (xx) any other measure selected by the Board. Such goals may reflect absolute entity or business unit performance or a relative comparison to the performance of a peer group of entities or other external measure of the selected performance criteria and may be absolute in their terms or measured against or in relationship to other companies comparably, similarly or otherwise situated. The Board may specify that such performance measures shall be adjusted to exclude any one or more of (A) extraordinary items, (B) gains or losses on the dispositions of discontinued operations, (C) the cumulative effects of changes in accounting principles, (D) the writedown of any asset, (E) fluctuation in foreign currency exchange rates, (F) charges for restructuring and rationalization programs, (G) non-cash, mark-to-market adjustments on derivative instruments, (H) amortization of purchased intangibles, (I) the net impact of tax rate changes,</w:t>
      </w:r>
    </w:p>
    <w:p>
      <w:pPr>
        <w:spacing w:after="0" w:line="4" w:lineRule="exact"/>
        <w:rPr>
          <w:rFonts w:ascii="Arial" w:cs="Arial" w:eastAsia="Arial" w:hAnsi="Arial"/>
          <w:sz w:val="17"/>
          <w:szCs w:val="17"/>
          <w:color w:val="auto"/>
        </w:rPr>
      </w:pPr>
    </w:p>
    <w:p>
      <w:pPr>
        <w:ind w:left="200" w:right="20"/>
        <w:spacing w:after="0" w:line="236" w:lineRule="auto"/>
        <w:rPr>
          <w:rFonts w:ascii="Arial" w:cs="Arial" w:eastAsia="Arial" w:hAnsi="Arial"/>
          <w:sz w:val="17"/>
          <w:szCs w:val="17"/>
          <w:color w:val="auto"/>
        </w:rPr>
      </w:pPr>
      <w:r>
        <w:rPr>
          <w:rFonts w:ascii="Arial" w:cs="Arial" w:eastAsia="Arial" w:hAnsi="Arial"/>
          <w:sz w:val="18"/>
          <w:szCs w:val="18"/>
          <w:color w:val="auto"/>
        </w:rPr>
        <w:t>(J) non-cash asset impairment charges, (K) gains on extinguishment of the tax receivable agreement and (L) any other factors as the Board may determine. Such performance measures: (x) may vary by Participant and may be different for different Awards; (y) may be particular to a Participant or the department, branch, line of business, subsidiary or other unit in which the Participant works and (z) may cover such period as may be specified by the Board. The Board shall have the authority to make equitable adjustments to the performance goals in recognition of unusual or non-recurring events affecting the Company or the financial statements of the Company, in response to changes in applicable laws or regulations or to account for items of gain, loss or expense determined to be extraordinary or unusual in nature or infrequent in occurrence or related to the disposal of a segment of a business or related to a change in accounting principles.</w:t>
      </w:r>
    </w:p>
    <w:p>
      <w:pPr>
        <w:spacing w:after="0" w:line="208" w:lineRule="exact"/>
        <w:rPr>
          <w:rFonts w:ascii="Arial" w:cs="Arial" w:eastAsia="Arial" w:hAnsi="Arial"/>
          <w:sz w:val="17"/>
          <w:szCs w:val="17"/>
          <w:color w:val="auto"/>
        </w:rPr>
      </w:pPr>
    </w:p>
    <w:p>
      <w:pPr>
        <w:ind w:left="200" w:right="60" w:firstLine="444"/>
        <w:spacing w:after="0"/>
        <w:tabs>
          <w:tab w:leader="none" w:pos="1150" w:val="left"/>
        </w:tabs>
        <w:numPr>
          <w:ilvl w:val="1"/>
          <w:numId w:val="148"/>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The Board may adjust the cash or number of shares payable pursuant to such Performance Award, and the Board may, at any time, waive the achievement of the applicable performance measures, including in the case of the death or disability of the Participant or a change in control of the Company.</w:t>
      </w:r>
    </w:p>
    <w:p>
      <w:pPr>
        <w:spacing w:after="0" w:line="351" w:lineRule="exact"/>
        <w:rPr>
          <w:sz w:val="20"/>
          <w:szCs w:val="20"/>
          <w:color w:val="auto"/>
        </w:rPr>
      </w:pPr>
    </w:p>
    <w:p>
      <w:pPr>
        <w:ind w:left="640" w:hanging="436"/>
        <w:spacing w:after="0"/>
        <w:tabs>
          <w:tab w:leader="none" w:pos="640"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Adjustments for Changes in Common Stock and Certain Other Events</w:t>
      </w:r>
    </w:p>
    <w:p>
      <w:pPr>
        <w:spacing w:after="0" w:line="103" w:lineRule="exact"/>
        <w:rPr>
          <w:rFonts w:ascii="Arial" w:cs="Arial" w:eastAsia="Arial" w:hAnsi="Arial"/>
          <w:sz w:val="18"/>
          <w:szCs w:val="18"/>
          <w:color w:val="auto"/>
        </w:rPr>
      </w:pPr>
    </w:p>
    <w:p>
      <w:pPr>
        <w:ind w:left="200" w:right="40" w:firstLine="444"/>
        <w:spacing w:after="0" w:line="236" w:lineRule="auto"/>
        <w:tabs>
          <w:tab w:leader="none" w:pos="1161" w:val="left"/>
        </w:tabs>
        <w:numPr>
          <w:ilvl w:val="1"/>
          <w:numId w:val="149"/>
        </w:numPr>
        <w:rPr>
          <w:rFonts w:ascii="Arial" w:cs="Arial" w:eastAsia="Arial" w:hAnsi="Arial"/>
          <w:sz w:val="18"/>
          <w:szCs w:val="18"/>
          <w:color w:val="auto"/>
        </w:rPr>
      </w:pPr>
      <w:r>
        <w:rPr>
          <w:rFonts w:ascii="Arial" w:cs="Arial" w:eastAsia="Arial" w:hAnsi="Arial"/>
          <w:sz w:val="18"/>
          <w:szCs w:val="18"/>
          <w:u w:val="single" w:color="auto"/>
          <w:color w:val="auto"/>
        </w:rPr>
        <w:t>Changes in Capitalization</w:t>
      </w:r>
      <w:r>
        <w:rPr>
          <w:rFonts w:ascii="Arial" w:cs="Arial" w:eastAsia="Arial" w:hAnsi="Arial"/>
          <w:sz w:val="18"/>
          <w:szCs w:val="18"/>
          <w:color w:val="auto"/>
        </w:rPr>
        <w:t>. In the event of any stock split, reverse stock split, stock dividend, recapitalization, combination of shares, reclassification of shares, spin-off or other similar change in capitalization or event, or any dividend or distribution to holders of Common Stock other than an ordinary cash dividend, (i) the number and class of securities available under the Plan, (ii) the share counting rules and sublimits set forth in Sections 4(a) and 4(b), (iii) the number and class of securities and exercise price per share of each outstanding Option, (iv) the share and per-share provisions and the measurement price of each outstanding SAR, (v) the number of shares subject to and the repurchase price per share subject to each outstanding award of Restricted Stock and (vi) the share and per-share-related provisions and the purchase price, if any, of each outstanding RSU and each Other Stock-Based Award, shall be equitably adjusted by the Company (or substituted Awards may be made, if applicable) in the manner determined by the Board. Without limiting the generality of the foregoing, in the event the Company effects a split of the Common Stock by means of a stock dividend and the exercise price of and the number of shares subject to an outstanding Option are adjusted as of the date of the distribution of the dividend (rather than as of the record date for such dividend), then an optionee who exercises an Option between the record date and the distribution date for such stock dividend shall be entitled to receive, on the distribution date, the stock dividend with respect to the shares of Common Stock acquired upon such Option exercise, notwithstanding the fact that such shares were not outstanding as of the close of business on the record date for such stock dividend.</w:t>
      </w:r>
    </w:p>
    <w:p>
      <w:pPr>
        <w:spacing w:after="0" w:line="135" w:lineRule="exact"/>
        <w:rPr>
          <w:sz w:val="20"/>
          <w:szCs w:val="20"/>
          <w:color w:val="auto"/>
        </w:rPr>
      </w:pPr>
    </w:p>
    <w:p>
      <w:pPr>
        <w:ind w:left="200"/>
        <w:spacing w:after="0"/>
        <w:tabs>
          <w:tab w:leader="none" w:pos="660" w:val="left"/>
        </w:tabs>
        <w:rPr>
          <w:sz w:val="20"/>
          <w:szCs w:val="20"/>
          <w:color w:val="auto"/>
        </w:rPr>
      </w:pPr>
      <w:r>
        <w:rPr>
          <w:rFonts w:ascii="Arial" w:cs="Arial" w:eastAsia="Arial" w:hAnsi="Arial"/>
          <w:sz w:val="18"/>
          <w:szCs w:val="18"/>
          <w:color w:val="999999"/>
        </w:rPr>
        <w:t>B-8</w:t>
      </w:r>
      <w:r>
        <w:rPr>
          <w:sz w:val="20"/>
          <w:szCs w:val="20"/>
          <w:color w:val="auto"/>
        </w:rPr>
        <w:tab/>
      </w:r>
      <w:r>
        <w:rPr>
          <w:rFonts w:ascii="Arial" w:cs="Arial" w:eastAsia="Arial" w:hAnsi="Arial"/>
          <w:sz w:val="14"/>
          <w:szCs w:val="14"/>
          <w:b w:val="1"/>
          <w:bCs w:val="1"/>
          <w:color w:val="052B82"/>
        </w:rPr>
        <w:t>Analog Devices, Inc.</w:t>
      </w:r>
    </w:p>
    <w:p>
      <w:pPr>
        <w:sectPr>
          <w:pgSz w:w="11900" w:h="16838" w:orient="portrait"/>
          <w:cols w:equalWidth="0" w:num="1">
            <w:col w:w="11180"/>
          </w:cols>
          <w:pgMar w:left="240" w:top="459" w:right="4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205740</wp:posOffset>
            </wp:positionV>
            <wp:extent cx="2649855" cy="13716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160" w:hanging="516"/>
        <w:spacing w:after="0"/>
        <w:tabs>
          <w:tab w:leader="none" w:pos="1160" w:val="left"/>
        </w:tabs>
        <w:numPr>
          <w:ilvl w:val="1"/>
          <w:numId w:val="150"/>
        </w:numPr>
        <w:rPr>
          <w:rFonts w:ascii="Arial" w:cs="Arial" w:eastAsia="Arial" w:hAnsi="Arial"/>
          <w:sz w:val="18"/>
          <w:szCs w:val="18"/>
          <w:color w:val="auto"/>
        </w:rPr>
      </w:pPr>
      <w:r>
        <w:rPr>
          <w:rFonts w:ascii="Arial" w:cs="Arial" w:eastAsia="Arial" w:hAnsi="Arial"/>
          <w:sz w:val="18"/>
          <w:szCs w:val="18"/>
          <w:u w:val="single" w:color="auto"/>
          <w:color w:val="auto"/>
        </w:rPr>
        <w:t>Reorganization and Change in Control Events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1720" w:hanging="524"/>
        <w:spacing w:after="0"/>
        <w:tabs>
          <w:tab w:leader="none" w:pos="1720" w:val="left"/>
        </w:tabs>
        <w:numPr>
          <w:ilvl w:val="2"/>
          <w:numId w:val="150"/>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ind w:left="200" w:right="80" w:firstLine="1547"/>
        <w:spacing w:after="0" w:line="247" w:lineRule="auto"/>
        <w:tabs>
          <w:tab w:leader="none" w:pos="2273" w:val="left"/>
        </w:tabs>
        <w:numPr>
          <w:ilvl w:val="3"/>
          <w:numId w:val="150"/>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i w:val="1"/>
          <w:iCs w:val="1"/>
          <w:color w:val="auto"/>
        </w:rPr>
        <w:t>Reorganization Event</w:t>
      </w:r>
      <w:r>
        <w:rPr>
          <w:rFonts w:ascii="Arial" w:cs="Arial" w:eastAsia="Arial" w:hAnsi="Arial"/>
          <w:sz w:val="18"/>
          <w:szCs w:val="18"/>
          <w:color w:val="auto"/>
        </w:rPr>
        <w:t>” shall mean: (a) any merger or consolidation of the Company with or into another entity as a result of which all of the Common Stock of the Company is converted into or exchanged for the right to receive cash, securities or other property or is canceled, (b) any transfer or disposition of all of the Common Stock of the Company for cash, securities or other property pursuant to a share exchange or other transaction or (c) any liquidation or dissolution of the Company.</w:t>
      </w:r>
    </w:p>
    <w:p>
      <w:pPr>
        <w:spacing w:after="0" w:line="174" w:lineRule="exact"/>
        <w:rPr>
          <w:rFonts w:ascii="Arial" w:cs="Arial" w:eastAsia="Arial" w:hAnsi="Arial"/>
          <w:sz w:val="18"/>
          <w:szCs w:val="18"/>
          <w:color w:val="auto"/>
        </w:rPr>
      </w:pPr>
    </w:p>
    <w:p>
      <w:pPr>
        <w:ind w:left="2280" w:hanging="533"/>
        <w:spacing w:after="0"/>
        <w:tabs>
          <w:tab w:leader="none" w:pos="2280" w:val="left"/>
        </w:tabs>
        <w:numPr>
          <w:ilvl w:val="3"/>
          <w:numId w:val="150"/>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i w:val="1"/>
          <w:iCs w:val="1"/>
          <w:color w:val="auto"/>
        </w:rPr>
        <w:t>Change in Control Event</w:t>
      </w:r>
      <w:r>
        <w:rPr>
          <w:rFonts w:ascii="Arial" w:cs="Arial" w:eastAsia="Arial" w:hAnsi="Arial"/>
          <w:sz w:val="18"/>
          <w:szCs w:val="18"/>
          <w:color w:val="auto"/>
        </w:rPr>
        <w:t>” shall mean:</w:t>
      </w:r>
    </w:p>
    <w:p>
      <w:pPr>
        <w:spacing w:after="0" w:line="233" w:lineRule="exact"/>
        <w:rPr>
          <w:rFonts w:ascii="Arial" w:cs="Arial" w:eastAsia="Arial" w:hAnsi="Arial"/>
          <w:sz w:val="18"/>
          <w:szCs w:val="18"/>
          <w:color w:val="auto"/>
        </w:rPr>
      </w:pPr>
    </w:p>
    <w:p>
      <w:pPr>
        <w:ind w:left="200" w:right="20" w:firstLine="2208"/>
        <w:spacing w:after="0" w:line="248" w:lineRule="auto"/>
        <w:tabs>
          <w:tab w:leader="none" w:pos="2914" w:val="left"/>
        </w:tabs>
        <w:numPr>
          <w:ilvl w:val="4"/>
          <w:numId w:val="150"/>
        </w:numPr>
        <w:rPr>
          <w:rFonts w:ascii="Arial" w:cs="Arial" w:eastAsia="Arial" w:hAnsi="Arial"/>
          <w:sz w:val="17"/>
          <w:szCs w:val="17"/>
          <w:color w:val="auto"/>
        </w:rPr>
      </w:pPr>
      <w:r>
        <w:rPr>
          <w:rFonts w:ascii="Arial" w:cs="Arial" w:eastAsia="Arial" w:hAnsi="Arial"/>
          <w:sz w:val="17"/>
          <w:szCs w:val="17"/>
          <w:color w:val="auto"/>
        </w:rPr>
        <w:t>the acquisition by an individual, entity or group (within the meaning of Section 13(d)(3) or 14(d)(2) of the Exchange Act) (a “</w:t>
      </w:r>
      <w:r>
        <w:rPr>
          <w:rFonts w:ascii="Arial" w:cs="Arial" w:eastAsia="Arial" w:hAnsi="Arial"/>
          <w:sz w:val="17"/>
          <w:szCs w:val="17"/>
          <w:b w:val="1"/>
          <w:bCs w:val="1"/>
          <w:i w:val="1"/>
          <w:iCs w:val="1"/>
          <w:color w:val="auto"/>
        </w:rPr>
        <w:t>Person</w:t>
      </w:r>
      <w:r>
        <w:rPr>
          <w:rFonts w:ascii="Arial" w:cs="Arial" w:eastAsia="Arial" w:hAnsi="Arial"/>
          <w:sz w:val="17"/>
          <w:szCs w:val="17"/>
          <w:color w:val="auto"/>
        </w:rPr>
        <w:t>”) of beneficial ownership of any capital stock of the Company if, after such acquisition, such Person beneficially owns (within the meaning of Rule 13d-3 promulgated under the Exchange Act) 50% or more of either (x) the then-outstanding shares of Common Stock of the Company (the “</w:t>
      </w:r>
      <w:r>
        <w:rPr>
          <w:rFonts w:ascii="Arial" w:cs="Arial" w:eastAsia="Arial" w:hAnsi="Arial"/>
          <w:sz w:val="17"/>
          <w:szCs w:val="17"/>
          <w:b w:val="1"/>
          <w:bCs w:val="1"/>
          <w:i w:val="1"/>
          <w:iCs w:val="1"/>
          <w:color w:val="auto"/>
        </w:rPr>
        <w:t>Outstanding Company Common Stock</w:t>
      </w:r>
      <w:r>
        <w:rPr>
          <w:rFonts w:ascii="Arial" w:cs="Arial" w:eastAsia="Arial" w:hAnsi="Arial"/>
          <w:sz w:val="17"/>
          <w:szCs w:val="17"/>
          <w:color w:val="auto"/>
        </w:rPr>
        <w:t>”) or (y) the combined voting power of the then-outstanding securities of the Company entitled to vote generally in the election of directors (the “</w:t>
      </w:r>
      <w:r>
        <w:rPr>
          <w:rFonts w:ascii="Arial" w:cs="Arial" w:eastAsia="Arial" w:hAnsi="Arial"/>
          <w:sz w:val="17"/>
          <w:szCs w:val="17"/>
          <w:b w:val="1"/>
          <w:bCs w:val="1"/>
          <w:i w:val="1"/>
          <w:iCs w:val="1"/>
          <w:color w:val="auto"/>
        </w:rPr>
        <w:t>Outstanding Company Voting Securities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for purposes of this subsection (i), the following acquisitions shall not constitute a Change in Control Event:</w:t>
      </w:r>
    </w:p>
    <w:p>
      <w:pPr>
        <w:spacing w:after="0" w:line="3" w:lineRule="exact"/>
        <w:rPr>
          <w:rFonts w:ascii="Arial" w:cs="Arial" w:eastAsia="Arial" w:hAnsi="Arial"/>
          <w:sz w:val="17"/>
          <w:szCs w:val="17"/>
          <w:color w:val="auto"/>
        </w:rPr>
      </w:pPr>
    </w:p>
    <w:p>
      <w:pPr>
        <w:ind w:left="200" w:right="80" w:firstLine="4"/>
        <w:spacing w:after="0" w:line="237" w:lineRule="auto"/>
        <w:tabs>
          <w:tab w:leader="none" w:pos="49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any acquisition directly from the Company (excluding an acquisition pursuant to the exercise, conversion or exchange of any security exercisable for, convertible into or exchangeable for common stock or voting securities of the Company, unless the Person exercising, converting or exchanging such security acquired such security directly from the Company or an underwriter or agent of the Company), (B) any acquisition by any employee benefit plan (or related trust) sponsored or maintained by the Company or any corporation controlled by the Company, or (C) any acquisition by any corporation pursuant to a Business Combination (as defined below) which complies with clauses (x) and (y) of subsection (ii) of this definition; or</w:t>
      </w:r>
    </w:p>
    <w:p>
      <w:pPr>
        <w:spacing w:after="0" w:line="205" w:lineRule="exact"/>
        <w:rPr>
          <w:rFonts w:ascii="Arial" w:cs="Arial" w:eastAsia="Arial" w:hAnsi="Arial"/>
          <w:sz w:val="18"/>
          <w:szCs w:val="18"/>
          <w:color w:val="auto"/>
        </w:rPr>
      </w:pPr>
    </w:p>
    <w:p>
      <w:pPr>
        <w:ind w:left="200" w:right="20" w:firstLine="2208"/>
        <w:spacing w:after="0" w:line="236" w:lineRule="auto"/>
        <w:tabs>
          <w:tab w:leader="none" w:pos="2904" w:val="left"/>
        </w:tabs>
        <w:numPr>
          <w:ilvl w:val="4"/>
          <w:numId w:val="151"/>
        </w:numPr>
        <w:rPr>
          <w:rFonts w:ascii="Arial" w:cs="Arial" w:eastAsia="Arial" w:hAnsi="Arial"/>
          <w:sz w:val="18"/>
          <w:szCs w:val="18"/>
          <w:color w:val="auto"/>
        </w:rPr>
      </w:pPr>
      <w:r>
        <w:rPr>
          <w:rFonts w:ascii="Arial" w:cs="Arial" w:eastAsia="Arial" w:hAnsi="Arial"/>
          <w:sz w:val="18"/>
          <w:szCs w:val="18"/>
          <w:color w:val="auto"/>
        </w:rPr>
        <w:t>the consummation of a merger, consolidation, reorganization, recapitalization or share exchange involving the Company or a sale or other disposition of all or substantially all of the assets of the Company (a “</w:t>
      </w:r>
      <w:r>
        <w:rPr>
          <w:rFonts w:ascii="Arial" w:cs="Arial" w:eastAsia="Arial" w:hAnsi="Arial"/>
          <w:sz w:val="18"/>
          <w:szCs w:val="18"/>
          <w:b w:val="1"/>
          <w:bCs w:val="1"/>
          <w:i w:val="1"/>
          <w:iCs w:val="1"/>
          <w:color w:val="auto"/>
        </w:rPr>
        <w:t>Business Combination</w:t>
      </w:r>
      <w:r>
        <w:rPr>
          <w:rFonts w:ascii="Arial" w:cs="Arial" w:eastAsia="Arial" w:hAnsi="Arial"/>
          <w:sz w:val="18"/>
          <w:szCs w:val="18"/>
          <w:color w:val="auto"/>
        </w:rPr>
        <w:t>”), unless, immediately following such Business Combination, each of the following two conditions is satisfied: (x) all or substantially all of the individuals and entities who were the beneficial owners of the Outstanding Company Common Stock and Outstanding Company Voting Securities immediately prior to such Business Combination beneficially own, directly or indirectly, more than 50% of the then-outstanding shares of common stock and the combined voting power of the then-outstanding securities entitled to vote generally in the election of directors, respectively, of the resulting or acquiring corporation in such Business Combination (which shall include, without limitation, a corporation which as a result of such transaction owns the Company or substantially all of the Company’s assets either directly or through one or more subsidiaries) (such resulting or acquiring corporation is referred to herein as the “</w:t>
      </w:r>
      <w:r>
        <w:rPr>
          <w:rFonts w:ascii="Arial" w:cs="Arial" w:eastAsia="Arial" w:hAnsi="Arial"/>
          <w:sz w:val="18"/>
          <w:szCs w:val="18"/>
          <w:b w:val="1"/>
          <w:bCs w:val="1"/>
          <w:i w:val="1"/>
          <w:iCs w:val="1"/>
          <w:color w:val="auto"/>
        </w:rPr>
        <w:t>Acquiring Corporation</w:t>
      </w:r>
      <w:r>
        <w:rPr>
          <w:rFonts w:ascii="Arial" w:cs="Arial" w:eastAsia="Arial" w:hAnsi="Arial"/>
          <w:sz w:val="18"/>
          <w:szCs w:val="18"/>
          <w:color w:val="auto"/>
        </w:rPr>
        <w:t>”) in substantially the same proportions as their ownership of the Outstanding Company Common Stock and Outstanding Company Voting Securities, respectively, immediately prior to such Business Combination and (y) no Person (excluding any employee benefit plan (or related trust) maintained or sponsored by the Company or by the Acquiring Corporation) beneficially owns, directly or indirectly, 30% or more of the then-outstanding shares of common stock of the Acquiring Corporation, or of the combined voting power of the then-outstanding securities of such corporation entitled to vote generally in the election of directors (except to the extent that such ownership existed prior to the Business Combination); or</w:t>
      </w:r>
    </w:p>
    <w:p>
      <w:pPr>
        <w:spacing w:after="0" w:line="201" w:lineRule="exact"/>
        <w:rPr>
          <w:rFonts w:ascii="Arial" w:cs="Arial" w:eastAsia="Arial" w:hAnsi="Arial"/>
          <w:sz w:val="18"/>
          <w:szCs w:val="18"/>
          <w:color w:val="auto"/>
        </w:rPr>
      </w:pPr>
    </w:p>
    <w:p>
      <w:pPr>
        <w:ind w:left="2940" w:hanging="532"/>
        <w:spacing w:after="0"/>
        <w:tabs>
          <w:tab w:leader="none" w:pos="2940" w:val="left"/>
        </w:tabs>
        <w:numPr>
          <w:ilvl w:val="4"/>
          <w:numId w:val="151"/>
        </w:numPr>
        <w:rPr>
          <w:rFonts w:ascii="Arial" w:cs="Arial" w:eastAsia="Arial" w:hAnsi="Arial"/>
          <w:sz w:val="18"/>
          <w:szCs w:val="18"/>
          <w:color w:val="auto"/>
        </w:rPr>
      </w:pPr>
      <w:r>
        <w:rPr>
          <w:rFonts w:ascii="Arial" w:cs="Arial" w:eastAsia="Arial" w:hAnsi="Arial"/>
          <w:sz w:val="18"/>
          <w:szCs w:val="18"/>
          <w:color w:val="auto"/>
        </w:rPr>
        <w:t>the liquidation or dissolution of the Company.</w:t>
      </w:r>
    </w:p>
    <w:p>
      <w:pPr>
        <w:spacing w:after="0" w:line="189" w:lineRule="exact"/>
        <w:rPr>
          <w:rFonts w:ascii="Arial" w:cs="Arial" w:eastAsia="Arial" w:hAnsi="Arial"/>
          <w:sz w:val="18"/>
          <w:szCs w:val="18"/>
          <w:color w:val="auto"/>
        </w:rPr>
      </w:pPr>
    </w:p>
    <w:p>
      <w:pPr>
        <w:ind w:left="200" w:firstLine="1547"/>
        <w:spacing w:after="0" w:line="242" w:lineRule="auto"/>
        <w:tabs>
          <w:tab w:leader="none" w:pos="2293" w:val="left"/>
        </w:tabs>
        <w:numPr>
          <w:ilvl w:val="3"/>
          <w:numId w:val="1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Good Reason</w:t>
      </w:r>
      <w:r>
        <w:rPr>
          <w:rFonts w:ascii="Arial" w:cs="Arial" w:eastAsia="Arial" w:hAnsi="Arial"/>
          <w:sz w:val="18"/>
          <w:szCs w:val="18"/>
          <w:color w:val="auto"/>
        </w:rPr>
        <w:t>” shall mean any significant diminution in the Participant’s title, authority, or responsibilities from and after such Reorganization Event or Change in Control Event, as the case may be, or any material reduction in the annual cash compensation payable to the Participant from and after such Reorganization Event or Change in Control Event, as the case may be, or the relocation of the place of business at which the Participant is principally located to a location that is greater than 50 miles from its location immediately prior to such Reorganization Event or Change in Control Event. Notwithstanding the occurrence of any such event or circumstance, such occurrence shall not be deemed to constitute Good</w:t>
      </w:r>
    </w:p>
    <w:p>
      <w:pPr>
        <w:spacing w:after="0" w:line="134" w:lineRule="exact"/>
        <w:rPr>
          <w:sz w:val="20"/>
          <w:szCs w:val="20"/>
          <w:color w:val="auto"/>
        </w:rPr>
      </w:pPr>
    </w:p>
    <w:p>
      <w:pPr>
        <w:jc w:val="right"/>
        <w:spacing w:after="0"/>
        <w:tabs>
          <w:tab w:leader="none" w:pos="260" w:val="left"/>
        </w:tabs>
        <w:rPr>
          <w:sz w:val="20"/>
          <w:szCs w:val="20"/>
          <w:color w:val="auto"/>
        </w:rPr>
      </w:pPr>
      <w:r>
        <w:rPr>
          <w:rFonts w:ascii="Arial" w:cs="Arial" w:eastAsia="Arial" w:hAnsi="Arial"/>
          <w:sz w:val="14"/>
          <w:szCs w:val="14"/>
          <w:b w:val="1"/>
          <w:bCs w:val="1"/>
          <w:color w:val="052B82"/>
        </w:rPr>
        <w:t>2020 Proxy Statement</w:t>
      </w:r>
      <w:r>
        <w:rPr>
          <w:sz w:val="20"/>
          <w:szCs w:val="20"/>
          <w:color w:val="auto"/>
        </w:rPr>
        <w:tab/>
      </w:r>
      <w:r>
        <w:rPr>
          <w:rFonts w:ascii="Arial" w:cs="Arial" w:eastAsia="Arial" w:hAnsi="Arial"/>
          <w:sz w:val="17"/>
          <w:szCs w:val="17"/>
          <w:color w:val="999999"/>
        </w:rPr>
        <w:t>B-9</w:t>
      </w:r>
    </w:p>
    <w:p>
      <w:pPr>
        <w:sectPr>
          <w:pgSz w:w="11900" w:h="16838" w:orient="portrait"/>
          <w:cols w:equalWidth="0" w:num="1">
            <w:col w:w="11220"/>
          </w:cols>
          <w:pgMar w:left="240" w:top="459" w:right="4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2649855" cy="13716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Reason unless (x) the Participant gives the Company notice of termination no more than 90 days after the initial existence of such event or circumstance, (y) such event or circumstance has not been fully corrected by the Company within 30 days of the Company’s receipt of such notice and (z) the Participant’s termination occurs within 60 days following the Company’s receipt of such notice.</w:t>
      </w:r>
    </w:p>
    <w:p>
      <w:pPr>
        <w:spacing w:after="0" w:line="181" w:lineRule="exact"/>
        <w:rPr>
          <w:sz w:val="20"/>
          <w:szCs w:val="20"/>
          <w:color w:val="auto"/>
        </w:rPr>
      </w:pPr>
    </w:p>
    <w:p>
      <w:pPr>
        <w:ind w:left="2300" w:hanging="553"/>
        <w:spacing w:after="0"/>
        <w:tabs>
          <w:tab w:leader="none" w:pos="230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shall mean:</w:t>
      </w:r>
    </w:p>
    <w:p>
      <w:pPr>
        <w:spacing w:after="0" w:line="125" w:lineRule="exact"/>
        <w:rPr>
          <w:rFonts w:ascii="Arial" w:cs="Arial" w:eastAsia="Arial" w:hAnsi="Arial"/>
          <w:sz w:val="18"/>
          <w:szCs w:val="18"/>
          <w:color w:val="auto"/>
        </w:rPr>
      </w:pPr>
    </w:p>
    <w:p>
      <w:pPr>
        <w:ind w:left="200" w:right="500" w:firstLine="2208"/>
        <w:spacing w:after="0" w:line="246" w:lineRule="auto"/>
        <w:tabs>
          <w:tab w:leader="none" w:pos="2864" w:val="left"/>
        </w:tabs>
        <w:numPr>
          <w:ilvl w:val="2"/>
          <w:numId w:val="152"/>
        </w:numPr>
        <w:rPr>
          <w:rFonts w:ascii="Arial" w:cs="Arial" w:eastAsia="Arial" w:hAnsi="Arial"/>
          <w:sz w:val="18"/>
          <w:szCs w:val="18"/>
          <w:color w:val="auto"/>
        </w:rPr>
      </w:pPr>
      <w:r>
        <w:rPr>
          <w:rFonts w:ascii="Arial" w:cs="Arial" w:eastAsia="Arial" w:hAnsi="Arial"/>
          <w:sz w:val="18"/>
          <w:szCs w:val="18"/>
          <w:color w:val="auto"/>
        </w:rPr>
        <w:t>any willful failure by the Participant, which failure is not cured within 30 days of written notice to the Participant from the Company, to perform his or her material responsibilities to the Company; or</w:t>
      </w:r>
    </w:p>
    <w:p>
      <w:pPr>
        <w:spacing w:after="0" w:line="196" w:lineRule="exact"/>
        <w:rPr>
          <w:rFonts w:ascii="Arial" w:cs="Arial" w:eastAsia="Arial" w:hAnsi="Arial"/>
          <w:sz w:val="18"/>
          <w:szCs w:val="18"/>
          <w:color w:val="auto"/>
        </w:rPr>
      </w:pPr>
    </w:p>
    <w:p>
      <w:pPr>
        <w:ind w:left="2900" w:hanging="492"/>
        <w:spacing w:after="0"/>
        <w:tabs>
          <w:tab w:leader="none" w:pos="2900" w:val="left"/>
        </w:tabs>
        <w:numPr>
          <w:ilvl w:val="2"/>
          <w:numId w:val="152"/>
        </w:numPr>
        <w:rPr>
          <w:rFonts w:ascii="Arial" w:cs="Arial" w:eastAsia="Arial" w:hAnsi="Arial"/>
          <w:sz w:val="18"/>
          <w:szCs w:val="18"/>
          <w:color w:val="auto"/>
        </w:rPr>
      </w:pPr>
      <w:r>
        <w:rPr>
          <w:rFonts w:ascii="Arial" w:cs="Arial" w:eastAsia="Arial" w:hAnsi="Arial"/>
          <w:sz w:val="18"/>
          <w:szCs w:val="18"/>
          <w:color w:val="auto"/>
        </w:rPr>
        <w:t>any willful misconduct by the Participant which affects the business reputation of the Company.</w:t>
      </w:r>
    </w:p>
    <w:p>
      <w:pPr>
        <w:spacing w:after="0" w:line="211" w:lineRule="exact"/>
        <w:rPr>
          <w:rFonts w:ascii="Arial" w:cs="Arial" w:eastAsia="Arial" w:hAnsi="Arial"/>
          <w:sz w:val="18"/>
          <w:szCs w:val="18"/>
          <w:color w:val="auto"/>
        </w:rPr>
      </w:pPr>
    </w:p>
    <w:p>
      <w:pPr>
        <w:ind w:left="1720" w:hanging="524"/>
        <w:spacing w:after="0"/>
        <w:tabs>
          <w:tab w:leader="none" w:pos="1720"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Effect on Awards Other than Restricted Stock</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200" w:right="40" w:firstLine="1547"/>
        <w:spacing w:after="0" w:line="235" w:lineRule="auto"/>
        <w:tabs>
          <w:tab w:leader="none" w:pos="2283" w:val="left"/>
        </w:tabs>
        <w:numPr>
          <w:ilvl w:val="1"/>
          <w:numId w:val="153"/>
        </w:numPr>
        <w:rPr>
          <w:rFonts w:ascii="Arial" w:cs="Arial" w:eastAsia="Arial" w:hAnsi="Arial"/>
          <w:sz w:val="18"/>
          <w:szCs w:val="18"/>
          <w:color w:val="auto"/>
        </w:rPr>
      </w:pPr>
      <w:r>
        <w:rPr>
          <w:rFonts w:ascii="Arial" w:cs="Arial" w:eastAsia="Arial" w:hAnsi="Arial"/>
          <w:sz w:val="18"/>
          <w:szCs w:val="18"/>
          <w:color w:val="auto"/>
        </w:rPr>
        <w:t xml:space="preserve">In connection with a Reorganization Event (regardless of whether such event also constitutes a Change in Control Event), the Board shall provide that all outstanding Awards other than Restricted Stock shall be assumed, or equivalent awards shall be substituted, by the acquiring or succeeding corporation (or an affiliate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to the contrary in the Plan, if such Reorganization Event also constitutes a Change in Control Event, except to the extent specifically provided to the contrary in the instrument evidencing any Award other than Restricted Stock or any other agreement between a Participant and the Company (A) one-half of the number of shares subject to the Award other than Restricted Stock which were not already vested shall become vested and/or exercisable upon the occurrence of such Reorganization Event and, subject to (B) below, the remaining one-half of such number of shares shall continue to become vested in accordance with the original vesting schedule set forth in such award, with one-half of the number of shares that would otherwise have become vested on each subsequent vesting date in accordance with the original schedule becoming vested on each subsequent vesting date and (B) such assumed or substituted award other than Restricted Stock shall become immediately vested and/or exercisable in full if, on or prior to the first anniversary of the date of the consummation of the Reorganization Event, the Participant’s employment with the Company or the acquiring or succeeding corporation is terminated for Good Reason by the Participant or is terminated without Cause by the Company or the acquiring or succeeding corporation. For purposes hereof, an Award other than Restricted Stock shall be considered to be assumed if, following consummation of the Reorganization Event, the award confers the right to purchase or receive, for each share of Common Stock subject to the award immediately prior to the consummation of the Reorganization Event, the consideration (whether cash, securities or other property) received as a result of the Reorganization Event by holders of Common Stock for each share of Common Stock held immediately prior to the consummation of the Reorganization Event (and if holders were offered a choice of consideration, the type of consideration chosen by the holders of a majority of the outstanding shares of Common Stock);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if the consideration received as a result of the Reorganization Event is not solely common stock of the acquiring or succeeding corporation (or an affiliate thereof), the Company may, with the consent of the acquiring or succeeding corporation, provide for the consideration to be received upon the exercise and/or vesting of the Awards other than Restricted Stock to consist solely of common stock of the acquiring or succeeding corporation (or an affiliate thereof) equivalent in value (as determined by the Board) to the per share consideration received by holders of outstanding shares of Common Stock as a result of the Reorganization Event.</w:t>
      </w:r>
    </w:p>
    <w:p>
      <w:pPr>
        <w:spacing w:after="0" w:line="214"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 xml:space="preserve">Notwithstanding the foregoing and anything to the contrary in the Plan, if the acquiring or succeeding corporation (or an affiliate thereof) does not agree to assume, or substitute for, such Awards other than Restricted Stock, or in the event of a liquidation or dissolution of the Company, the Board shall, upon written notice to the Participants, provide that all then unexercised or unvested Awards other than Restricted Stock will become vested and/or exercisable in full as of a specified time prior to the Reorganization Event and will terminate immediately prior to the consummation of such Reorganization Event, except to the extent, as applicable, exercised by the Participants before the consummation of such Reorganization Event;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 however, that in the event of a Reorganization Event under the terms of which holders of Common Stock will receive upon consummation thereof a cash payment for each share of Common Stock surrendered pursuant to such Reorganization Event (the “</w:t>
      </w:r>
      <w:r>
        <w:rPr>
          <w:rFonts w:ascii="Arial" w:cs="Arial" w:eastAsia="Arial" w:hAnsi="Arial"/>
          <w:sz w:val="18"/>
          <w:szCs w:val="18"/>
          <w:b w:val="1"/>
          <w:bCs w:val="1"/>
          <w:i w:val="1"/>
          <w:iCs w:val="1"/>
          <w:color w:val="auto"/>
        </w:rPr>
        <w:t>Acquisition Price</w:t>
      </w:r>
      <w:r>
        <w:rPr>
          <w:rFonts w:ascii="Arial" w:cs="Arial" w:eastAsia="Arial" w:hAnsi="Arial"/>
          <w:sz w:val="18"/>
          <w:szCs w:val="18"/>
          <w:color w:val="auto"/>
        </w:rPr>
        <w:t>”), then the Board may instead provide that all outstanding Awards other than Restricted Stock shall terminate upon consummation of such Reorganization</w:t>
      </w:r>
    </w:p>
    <w:p>
      <w:pPr>
        <w:spacing w:after="0" w:line="140" w:lineRule="exact"/>
        <w:rPr>
          <w:sz w:val="20"/>
          <w:szCs w:val="20"/>
          <w:color w:val="auto"/>
        </w:rPr>
      </w:pPr>
    </w:p>
    <w:p>
      <w:pPr>
        <w:ind w:left="200"/>
        <w:spacing w:after="0"/>
        <w:tabs>
          <w:tab w:leader="none" w:pos="760" w:val="left"/>
        </w:tabs>
        <w:rPr>
          <w:sz w:val="20"/>
          <w:szCs w:val="20"/>
          <w:color w:val="auto"/>
        </w:rPr>
      </w:pPr>
      <w:r>
        <w:rPr>
          <w:rFonts w:ascii="Arial" w:cs="Arial" w:eastAsia="Arial" w:hAnsi="Arial"/>
          <w:sz w:val="18"/>
          <w:szCs w:val="18"/>
          <w:color w:val="999999"/>
        </w:rPr>
        <w:t>B-10</w:t>
      </w:r>
      <w:r>
        <w:rPr>
          <w:sz w:val="20"/>
          <w:szCs w:val="20"/>
          <w:color w:val="auto"/>
        </w:rPr>
        <w:tab/>
      </w:r>
      <w:r>
        <w:rPr>
          <w:rFonts w:ascii="Arial" w:cs="Arial" w:eastAsia="Arial" w:hAnsi="Arial"/>
          <w:sz w:val="14"/>
          <w:szCs w:val="14"/>
          <w:b w:val="1"/>
          <w:bCs w:val="1"/>
          <w:color w:val="052B82"/>
        </w:rPr>
        <w:t>Analog Devices, Inc.</w:t>
      </w:r>
    </w:p>
    <w:p>
      <w:pPr>
        <w:sectPr>
          <w:pgSz w:w="11900" w:h="16838" w:orient="portrait"/>
          <w:cols w:equalWidth="0" w:num="1">
            <w:col w:w="11220"/>
          </w:cols>
          <w:pgMar w:left="240" w:top="459" w:right="4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205740</wp:posOffset>
            </wp:positionV>
            <wp:extent cx="2649855" cy="13716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0" w:right="400"/>
        <w:spacing w:after="0"/>
        <w:rPr>
          <w:sz w:val="20"/>
          <w:szCs w:val="20"/>
          <w:color w:val="auto"/>
        </w:rPr>
      </w:pPr>
      <w:r>
        <w:rPr>
          <w:rFonts w:ascii="Arial" w:cs="Arial" w:eastAsia="Arial" w:hAnsi="Arial"/>
          <w:sz w:val="18"/>
          <w:szCs w:val="18"/>
          <w:color w:val="auto"/>
        </w:rPr>
        <w:t>Event and that each Participant shall receive, in exchange therefor, a cash payment equal to the amount (if any) by which (A) the Acquisition Price multiplied by the number of shares of Common Stock subject to such outstanding Award other than Restricted Stock (whether or not then vested), exceeds (B) the aggregate exercise price of such Award other than Restricted Stock, if any.</w:t>
      </w:r>
    </w:p>
    <w:p>
      <w:pPr>
        <w:spacing w:after="0" w:line="203" w:lineRule="exact"/>
        <w:rPr>
          <w:sz w:val="20"/>
          <w:szCs w:val="20"/>
          <w:color w:val="auto"/>
        </w:rPr>
      </w:pPr>
    </w:p>
    <w:p>
      <w:pPr>
        <w:ind w:left="200" w:right="60" w:firstLine="441"/>
        <w:spacing w:after="0" w:line="236" w:lineRule="auto"/>
        <w:rPr>
          <w:sz w:val="20"/>
          <w:szCs w:val="20"/>
          <w:color w:val="auto"/>
        </w:rPr>
      </w:pPr>
      <w:r>
        <w:rPr>
          <w:rFonts w:ascii="Arial" w:cs="Arial" w:eastAsia="Arial" w:hAnsi="Arial"/>
          <w:sz w:val="18"/>
          <w:szCs w:val="18"/>
          <w:color w:val="auto"/>
        </w:rPr>
        <w:t>Notwithstanding the terms of Section 10(b)(2), in the case of outstanding RSUs that are subject to Section 409A: (i) if the applicable RSU agreement provides that the RSUs shall be settled upon a “change in control event” within the meaning of Treasury Regulation Section 1.409A-3(i)(5)(i), and the Reorganization Event constitutes such a “change in control event”, then no assumption or substitution shall be permitted pursuant to Section 10(b)(2) and the RSUs shall instead be settled in accordance with the terms of the applicable RSU agreement; and (ii) the Board otherwise may only undertake the actions set forth in Section 10(b)(2) if the Reorganization Event constitutes a “change in control event” as defined under Treasury Regulation Section 1.409A-3(i)(5)(i) or if such action is permitted or required by Section 409A; if the Reorganization Event is not a “change in control event” as so defined or such action is not permitted or required by Section 409A, and the acquiring or succeeding corporation does not assume or substitute the RSUs, then the unvested RSUs shall terminate immediately prior to the consummation of the Reorganization Event without any payment in exchange therefor.</w:t>
      </w:r>
    </w:p>
    <w:p>
      <w:pPr>
        <w:spacing w:after="0" w:line="207" w:lineRule="exact"/>
        <w:rPr>
          <w:sz w:val="20"/>
          <w:szCs w:val="20"/>
          <w:color w:val="auto"/>
        </w:rPr>
      </w:pPr>
    </w:p>
    <w:p>
      <w:pPr>
        <w:ind w:left="200" w:right="20" w:firstLine="1547"/>
        <w:spacing w:after="0" w:line="236" w:lineRule="auto"/>
        <w:tabs>
          <w:tab w:leader="none" w:pos="2283" w:val="left"/>
        </w:tabs>
        <w:numPr>
          <w:ilvl w:val="1"/>
          <w:numId w:val="154"/>
        </w:numPr>
        <w:rPr>
          <w:rFonts w:ascii="Arial" w:cs="Arial" w:eastAsia="Arial" w:hAnsi="Arial"/>
          <w:sz w:val="18"/>
          <w:szCs w:val="18"/>
          <w:color w:val="auto"/>
        </w:rPr>
      </w:pPr>
      <w:r>
        <w:rPr>
          <w:rFonts w:ascii="Arial" w:cs="Arial" w:eastAsia="Arial" w:hAnsi="Arial"/>
          <w:sz w:val="18"/>
          <w:szCs w:val="18"/>
          <w:u w:val="single" w:color="auto"/>
          <w:color w:val="auto"/>
        </w:rPr>
        <w:t>Change in Control Event that is not a Reorganization Event</w:t>
      </w:r>
      <w:r>
        <w:rPr>
          <w:rFonts w:ascii="Arial" w:cs="Arial" w:eastAsia="Arial" w:hAnsi="Arial"/>
          <w:sz w:val="18"/>
          <w:szCs w:val="18"/>
          <w:color w:val="auto"/>
        </w:rPr>
        <w:t xml:space="preserve">. Upon the occurrence of a Change in Control Event that does not also constitute a Reorganization Event, except to the extent specifically provided to the contrary in the instrument evidencing any Award other than Restricted Stock or any other agreement between a Participant and the Company, and notwithstanding anything to the contrary in the Plan, the vesting schedule of such award shall be accelerated in part so that one-half of the number of shares that would otherwise have first become vested on any date after the date of the Change in Control Event shall immediately become vested and/or exercisable. The remaining one-half of such number of shares shall continue to become vested in accordance with the original vesting schedule set forth in such Award other than Restricted Stock, with one-half of the number of shares that would otherwise have become vested on each subsequent vesting date in accordance with the original schedule becoming vested on each such subsequent vesting date;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each such Award other than Restricted Stock shall be immediately vested and/or exercisable in full if, on or prior to the first anniversary of the date of the consummation of the Change in Control Event, the Participant’s employment with the Company or the acquiring or succeeding corporation is terminated for Good Reason by the Participant or is terminated without Cause by the Company or the acquiring or succeeding corporation.</w:t>
      </w:r>
    </w:p>
    <w:p>
      <w:pPr>
        <w:spacing w:after="0" w:line="312" w:lineRule="exact"/>
        <w:rPr>
          <w:rFonts w:ascii="Arial" w:cs="Arial" w:eastAsia="Arial" w:hAnsi="Arial"/>
          <w:sz w:val="18"/>
          <w:szCs w:val="18"/>
          <w:color w:val="auto"/>
        </w:rPr>
      </w:pPr>
    </w:p>
    <w:p>
      <w:pPr>
        <w:ind w:left="1720" w:hanging="524"/>
        <w:spacing w:after="0"/>
        <w:tabs>
          <w:tab w:leader="none" w:pos="1720"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Effect on Awards of Restricted Stock</w:t>
      </w:r>
      <w:r>
        <w:rPr>
          <w:rFonts w:ascii="Arial" w:cs="Arial" w:eastAsia="Arial" w:hAnsi="Arial"/>
          <w:sz w:val="18"/>
          <w:szCs w:val="18"/>
          <w:color w:val="auto"/>
        </w:rPr>
        <w:t>.</w:t>
      </w:r>
    </w:p>
    <w:p>
      <w:pPr>
        <w:spacing w:after="0" w:line="103" w:lineRule="exact"/>
        <w:rPr>
          <w:rFonts w:ascii="Arial" w:cs="Arial" w:eastAsia="Arial" w:hAnsi="Arial"/>
          <w:sz w:val="18"/>
          <w:szCs w:val="18"/>
          <w:color w:val="auto"/>
        </w:rPr>
      </w:pPr>
    </w:p>
    <w:p>
      <w:pPr>
        <w:ind w:left="200" w:right="180" w:firstLine="1547"/>
        <w:spacing w:after="0" w:line="238" w:lineRule="auto"/>
        <w:tabs>
          <w:tab w:leader="none" w:pos="2283" w:val="left"/>
        </w:tabs>
        <w:numPr>
          <w:ilvl w:val="1"/>
          <w:numId w:val="155"/>
        </w:numPr>
        <w:rPr>
          <w:rFonts w:ascii="Arial" w:cs="Arial" w:eastAsia="Arial" w:hAnsi="Arial"/>
          <w:sz w:val="18"/>
          <w:szCs w:val="18"/>
          <w:color w:val="auto"/>
        </w:rPr>
      </w:pPr>
      <w:r>
        <w:rPr>
          <w:rFonts w:ascii="Arial" w:cs="Arial" w:eastAsia="Arial" w:hAnsi="Arial"/>
          <w:sz w:val="18"/>
          <w:szCs w:val="18"/>
          <w:u w:val="single" w:color="auto"/>
          <w:color w:val="auto"/>
        </w:rPr>
        <w:t>Reorganization Event</w:t>
      </w:r>
      <w:r>
        <w:rPr>
          <w:rFonts w:ascii="Arial" w:cs="Arial" w:eastAsia="Arial" w:hAnsi="Arial"/>
          <w:sz w:val="18"/>
          <w:szCs w:val="18"/>
          <w:color w:val="auto"/>
        </w:rPr>
        <w:t>. Upon the occurrence of a Reorganization Event (regardless of whether such event also constitutes a Change in Control Event), the repurchase and other rights of the Company under each outstanding Award of Restricted Stock shall inure to the benefit of the Company’s successor and shall apply to the cash, securities or other property which the Common Stock was converted into or exchanged for pursuant to such Reorganization Event in the same manner and to the same extent as they applied to such Award of Restricted Stock.</w:t>
      </w:r>
    </w:p>
    <w:p>
      <w:pPr>
        <w:spacing w:after="0" w:line="202" w:lineRule="exact"/>
        <w:rPr>
          <w:rFonts w:ascii="Arial" w:cs="Arial" w:eastAsia="Arial" w:hAnsi="Arial"/>
          <w:sz w:val="18"/>
          <w:szCs w:val="18"/>
          <w:color w:val="auto"/>
        </w:rPr>
      </w:pPr>
    </w:p>
    <w:p>
      <w:pPr>
        <w:ind w:left="200" w:right="80" w:firstLine="1547"/>
        <w:spacing w:after="0" w:line="236" w:lineRule="auto"/>
        <w:tabs>
          <w:tab w:leader="none" w:pos="2283" w:val="left"/>
        </w:tabs>
        <w:numPr>
          <w:ilvl w:val="1"/>
          <w:numId w:val="155"/>
        </w:numPr>
        <w:rPr>
          <w:rFonts w:ascii="Arial" w:cs="Arial" w:eastAsia="Arial" w:hAnsi="Arial"/>
          <w:sz w:val="18"/>
          <w:szCs w:val="18"/>
          <w:color w:val="auto"/>
        </w:rPr>
      </w:pPr>
      <w:r>
        <w:rPr>
          <w:rFonts w:ascii="Arial" w:cs="Arial" w:eastAsia="Arial" w:hAnsi="Arial"/>
          <w:sz w:val="18"/>
          <w:szCs w:val="18"/>
          <w:u w:val="single" w:color="auto"/>
          <w:color w:val="auto"/>
        </w:rPr>
        <w:t>Change in Control Event</w:t>
      </w:r>
      <w:r>
        <w:rPr>
          <w:rFonts w:ascii="Arial" w:cs="Arial" w:eastAsia="Arial" w:hAnsi="Arial"/>
          <w:sz w:val="18"/>
          <w:szCs w:val="18"/>
          <w:color w:val="auto"/>
        </w:rPr>
        <w:t>. Upon the occurrence of a Change in Control Event (regardless of whether such event also constitutes a Reorganization Event), except to the extent specifically provided to the contrary in the instrument evidencing any Award of Restricted Stock or any other agreement between a Participant and the Company, and notwithstanding anything to the contrary in the Plan, the vesting schedule of all Awards of Restricted Stock shall be accelerated in part so that one-half of the number of shares that would otherwise have first become free from conditions or restrictions on any date after the date of the Change in Control Event shall immediately become free from conditions or restrictions. Subject to the following sentence, the remaining one-half of such number of shares shall continue to become free from conditions or restrictions in accordance with the original schedule set forth in such Award, with one-half of the number of shares that would otherwise have become free from conditions or restrictions on each subsequent vesting date in accordance with the original schedule becoming free from conditions or restrictions on each subsequent vesting date. In addition, each such Award shall immediately become free from all conditions or restrictions if, on or prior to the first anniversary of the date of the consummation of the</w:t>
      </w:r>
    </w:p>
    <w:p>
      <w:pPr>
        <w:spacing w:after="0" w:line="138" w:lineRule="exact"/>
        <w:rPr>
          <w:sz w:val="20"/>
          <w:szCs w:val="20"/>
          <w:color w:val="auto"/>
        </w:rPr>
      </w:pPr>
    </w:p>
    <w:p>
      <w:pPr>
        <w:jc w:val="right"/>
        <w:spacing w:after="0"/>
        <w:tabs>
          <w:tab w:leader="none" w:pos="360" w:val="left"/>
        </w:tabs>
        <w:rPr>
          <w:sz w:val="20"/>
          <w:szCs w:val="20"/>
          <w:color w:val="auto"/>
        </w:rPr>
      </w:pPr>
      <w:r>
        <w:rPr>
          <w:rFonts w:ascii="Arial" w:cs="Arial" w:eastAsia="Arial" w:hAnsi="Arial"/>
          <w:sz w:val="14"/>
          <w:szCs w:val="14"/>
          <w:b w:val="1"/>
          <w:bCs w:val="1"/>
          <w:color w:val="052B82"/>
        </w:rPr>
        <w:t>2020 Proxy Statement</w:t>
      </w:r>
      <w:r>
        <w:rPr>
          <w:sz w:val="20"/>
          <w:szCs w:val="20"/>
          <w:color w:val="auto"/>
        </w:rPr>
        <w:tab/>
      </w:r>
      <w:r>
        <w:rPr>
          <w:rFonts w:ascii="Arial" w:cs="Arial" w:eastAsia="Arial" w:hAnsi="Arial"/>
          <w:sz w:val="17"/>
          <w:szCs w:val="17"/>
          <w:color w:val="999999"/>
        </w:rPr>
        <w:t>B-11</w:t>
      </w:r>
    </w:p>
    <w:p>
      <w:pPr>
        <w:sectPr>
          <w:pgSz w:w="11900" w:h="16838" w:orient="portrait"/>
          <w:cols w:equalWidth="0" w:num="1">
            <w:col w:w="11220"/>
          </w:cols>
          <w:pgMar w:left="240" w:top="459" w:right="4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2649855" cy="13716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0" w:right="400"/>
        <w:spacing w:after="0" w:line="246" w:lineRule="auto"/>
        <w:rPr>
          <w:sz w:val="20"/>
          <w:szCs w:val="20"/>
          <w:color w:val="auto"/>
        </w:rPr>
      </w:pPr>
      <w:r>
        <w:rPr>
          <w:rFonts w:ascii="Arial" w:cs="Arial" w:eastAsia="Arial" w:hAnsi="Arial"/>
          <w:sz w:val="18"/>
          <w:szCs w:val="18"/>
          <w:color w:val="auto"/>
        </w:rPr>
        <w:t>Change in Control Event, the Participant’s employment with the Company or the acquiring or succeeding corporation is terminated for Good Reason by the Participant or is terminated without Cause by the Company or the acquiring or succeeding corporation.</w:t>
      </w:r>
    </w:p>
    <w:p>
      <w:pPr>
        <w:spacing w:after="0" w:line="345" w:lineRule="exact"/>
        <w:rPr>
          <w:sz w:val="20"/>
          <w:szCs w:val="20"/>
          <w:color w:val="auto"/>
        </w:rPr>
      </w:pPr>
    </w:p>
    <w:p>
      <w:pPr>
        <w:ind w:left="640" w:hanging="436"/>
        <w:spacing w:after="0"/>
        <w:tabs>
          <w:tab w:leader="none" w:pos="640"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General Provisions Applicable to Awards</w:t>
      </w:r>
    </w:p>
    <w:p>
      <w:pPr>
        <w:spacing w:after="0" w:line="103" w:lineRule="exact"/>
        <w:rPr>
          <w:rFonts w:ascii="Arial" w:cs="Arial" w:eastAsia="Arial" w:hAnsi="Arial"/>
          <w:sz w:val="18"/>
          <w:szCs w:val="18"/>
          <w:color w:val="auto"/>
        </w:rPr>
      </w:pPr>
    </w:p>
    <w:p>
      <w:pPr>
        <w:ind w:left="200" w:right="80" w:firstLine="444"/>
        <w:spacing w:after="0" w:line="236" w:lineRule="auto"/>
        <w:tabs>
          <w:tab w:leader="none" w:pos="1161" w:val="left"/>
        </w:tabs>
        <w:numPr>
          <w:ilvl w:val="1"/>
          <w:numId w:val="156"/>
        </w:numPr>
        <w:rPr>
          <w:rFonts w:ascii="Arial" w:cs="Arial" w:eastAsia="Arial" w:hAnsi="Arial"/>
          <w:sz w:val="18"/>
          <w:szCs w:val="18"/>
          <w:color w:val="auto"/>
        </w:rPr>
      </w:pPr>
      <w:r>
        <w:rPr>
          <w:rFonts w:ascii="Arial" w:cs="Arial" w:eastAsia="Arial" w:hAnsi="Arial"/>
          <w:sz w:val="18"/>
          <w:szCs w:val="18"/>
          <w:u w:val="single" w:color="auto"/>
          <w:color w:val="auto"/>
        </w:rPr>
        <w:t>Transferability of Awards</w:t>
      </w:r>
      <w:r>
        <w:rPr>
          <w:rFonts w:ascii="Arial" w:cs="Arial" w:eastAsia="Arial" w:hAnsi="Arial"/>
          <w:sz w:val="18"/>
          <w:szCs w:val="18"/>
          <w:color w:val="auto"/>
        </w:rPr>
        <w:t xml:space="preserve">. Awards shall not be sold, assigned, transferred, pledged or otherwise encumbered by a Participant, either voluntarily or by operation of law, except by will or the laws of descent and distribution or, other than in the case of an Incentive Stock Option, pursuant to a qualified domestic relations order, and, during the life of the Participant, shall be exercisable only by the Participant;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except with respect to Awards subject to Section 409A, the Board may permit or provide in an Award for the gratuitous transfer of the Award by the Participant to or for the benefit of any immediate family member, family trust or other entity established for the benefit of the Participant and/or an immediate family member thereof if the Company would be eligible to use a Form S-8 under the Securities Act for the registration of the sale of the Common Stock subject to such Award to such proposed transferee; </w:t>
      </w:r>
      <w:r>
        <w:rPr>
          <w:rFonts w:ascii="Arial" w:cs="Arial" w:eastAsia="Arial" w:hAnsi="Arial"/>
          <w:sz w:val="18"/>
          <w:szCs w:val="18"/>
          <w:i w:val="1"/>
          <w:iCs w:val="1"/>
          <w:color w:val="auto"/>
        </w:rPr>
        <w:t>provided further</w:t>
      </w:r>
      <w:r>
        <w:rPr>
          <w:rFonts w:ascii="Arial" w:cs="Arial" w:eastAsia="Arial" w:hAnsi="Arial"/>
          <w:sz w:val="18"/>
          <w:szCs w:val="18"/>
          <w:color w:val="auto"/>
        </w:rPr>
        <w:t>, that the Company shall not be required to recognize any such permitted transfer until such time as such permitted</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transferee shall, as a condition to such transfer, deliver to the Company a written instrument in form and substance satisfactory to the Company confirming that such transferee shall be bound by all of the terms and conditions of the Award. References to a Participant, to the extent relevant in the context, shall include references to authorized transferees. For the avoidance of doubt, nothing contained in this Section 11(a) shall be deemed to restrict a transfer to the Company.</w:t>
      </w:r>
    </w:p>
    <w:p>
      <w:pPr>
        <w:spacing w:after="0" w:line="204" w:lineRule="exact"/>
        <w:rPr>
          <w:rFonts w:ascii="Arial" w:cs="Arial" w:eastAsia="Arial" w:hAnsi="Arial"/>
          <w:sz w:val="18"/>
          <w:szCs w:val="18"/>
          <w:color w:val="auto"/>
        </w:rPr>
      </w:pPr>
    </w:p>
    <w:p>
      <w:pPr>
        <w:jc w:val="both"/>
        <w:ind w:left="200" w:right="220" w:firstLine="444"/>
        <w:spacing w:after="0"/>
        <w:tabs>
          <w:tab w:leader="none" w:pos="1161" w:val="left"/>
        </w:tabs>
        <w:numPr>
          <w:ilvl w:val="1"/>
          <w:numId w:val="156"/>
        </w:numPr>
        <w:rPr>
          <w:rFonts w:ascii="Arial" w:cs="Arial" w:eastAsia="Arial" w:hAnsi="Arial"/>
          <w:sz w:val="18"/>
          <w:szCs w:val="18"/>
          <w:color w:val="auto"/>
        </w:rPr>
      </w:pPr>
      <w:r>
        <w:rPr>
          <w:rFonts w:ascii="Arial" w:cs="Arial" w:eastAsia="Arial" w:hAnsi="Arial"/>
          <w:sz w:val="18"/>
          <w:szCs w:val="18"/>
          <w:u w:val="single" w:color="auto"/>
          <w:color w:val="auto"/>
        </w:rPr>
        <w:t>Documentation</w:t>
      </w:r>
      <w:r>
        <w:rPr>
          <w:rFonts w:ascii="Arial" w:cs="Arial" w:eastAsia="Arial" w:hAnsi="Arial"/>
          <w:sz w:val="18"/>
          <w:szCs w:val="18"/>
          <w:color w:val="auto"/>
        </w:rPr>
        <w:t>. Each Award shall be evidenced in such form (written, electronic or otherwise) as the Board shall determine. Each Award may contain terms and conditions in addition to those set forth in the Plan. In the event of any conflict between the terms of any Award agreement and this Plan, this Plan shall govern and control.</w:t>
      </w:r>
    </w:p>
    <w:p>
      <w:pPr>
        <w:spacing w:after="0" w:line="202" w:lineRule="exact"/>
        <w:rPr>
          <w:rFonts w:ascii="Arial" w:cs="Arial" w:eastAsia="Arial" w:hAnsi="Arial"/>
          <w:sz w:val="18"/>
          <w:szCs w:val="18"/>
          <w:color w:val="auto"/>
        </w:rPr>
      </w:pPr>
    </w:p>
    <w:p>
      <w:pPr>
        <w:ind w:left="200" w:right="80" w:firstLine="444"/>
        <w:spacing w:after="0" w:line="239" w:lineRule="auto"/>
        <w:tabs>
          <w:tab w:leader="none" w:pos="1150" w:val="left"/>
        </w:tabs>
        <w:numPr>
          <w:ilvl w:val="1"/>
          <w:numId w:val="156"/>
        </w:numPr>
        <w:rPr>
          <w:rFonts w:ascii="Arial" w:cs="Arial" w:eastAsia="Arial" w:hAnsi="Arial"/>
          <w:sz w:val="18"/>
          <w:szCs w:val="18"/>
          <w:color w:val="auto"/>
        </w:rPr>
      </w:pPr>
      <w:r>
        <w:rPr>
          <w:rFonts w:ascii="Arial" w:cs="Arial" w:eastAsia="Arial" w:hAnsi="Arial"/>
          <w:sz w:val="18"/>
          <w:szCs w:val="18"/>
          <w:u w:val="single" w:color="auto"/>
          <w:color w:val="auto"/>
        </w:rPr>
        <w:t>Termination of Status</w:t>
      </w:r>
      <w:r>
        <w:rPr>
          <w:rFonts w:ascii="Arial" w:cs="Arial" w:eastAsia="Arial" w:hAnsi="Arial"/>
          <w:sz w:val="18"/>
          <w:szCs w:val="18"/>
          <w:color w:val="auto"/>
        </w:rPr>
        <w:t>. The Board shall determine the effect on an Award of the disability, death, termination or other cessation of employment, authorized leave of absence or other change in the employment or other status of a Participant and the extent to which, and the period during which, the Participant, or the Participant’s legal representative, conservator, guardian or Designated Beneficiary, may exercise rights, or receive any benefits, under an Award.</w:t>
      </w:r>
    </w:p>
    <w:p>
      <w:pPr>
        <w:spacing w:after="0" w:line="201" w:lineRule="exact"/>
        <w:rPr>
          <w:rFonts w:ascii="Arial" w:cs="Arial" w:eastAsia="Arial" w:hAnsi="Arial"/>
          <w:sz w:val="18"/>
          <w:szCs w:val="18"/>
          <w:color w:val="auto"/>
        </w:rPr>
      </w:pPr>
    </w:p>
    <w:p>
      <w:pPr>
        <w:ind w:left="200" w:firstLine="444"/>
        <w:spacing w:after="0" w:line="235" w:lineRule="auto"/>
        <w:tabs>
          <w:tab w:leader="none" w:pos="1161" w:val="left"/>
        </w:tabs>
        <w:numPr>
          <w:ilvl w:val="1"/>
          <w:numId w:val="156"/>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xml:space="preserve">. The Participant must satisfy all applicable federal, state, and local or other income and employment tax withholding obligations before the Company will deliver stock certificates or otherwise recognize ownership of Common Stock under an Award. The Company may elect to satisfy the withholding obligations through additional withholding on salary or wages. If the Company elects not to or cannot withhold from other compensation, the Participant must pay the Company the full amount, if any, required for withholding or have a broker tender to the Company cash equal to the withholding obligations. Payment of withholding obligations is due before the Company will issue any shares on exercise, vesting or release from forfeiture of an Award or at the same time as payment of the exercise or purchase price, unless the Company determines otherwise. If provided for in an Award or approved by the Board, a Participant may satisfy the tax obligations in whole or in part by delivery (either by actual delivery or attestation) of shares of Common Stock, including shares retained from the Award creating the tax obligation, valued at their fair market value (valued in the manner determined by (or in a manner approved by) the Company); </w:t>
      </w:r>
      <w:r>
        <w:rPr>
          <w:rFonts w:ascii="Arial" w:cs="Arial" w:eastAsia="Arial" w:hAnsi="Arial"/>
          <w:sz w:val="18"/>
          <w:szCs w:val="18"/>
          <w:i w:val="1"/>
          <w:iCs w:val="1"/>
          <w:color w:val="auto"/>
        </w:rPr>
        <w:t>provided, however</w:t>
      </w:r>
      <w:r>
        <w:rPr>
          <w:rFonts w:ascii="Arial" w:cs="Arial" w:eastAsia="Arial" w:hAnsi="Arial"/>
          <w:sz w:val="18"/>
          <w:szCs w:val="18"/>
          <w:color w:val="auto"/>
        </w:rPr>
        <w:t>, except as otherwise provided by the Board, that the total tax withholding where stock is being used to satisfy such tax obligations cannot exceed the Company’s minimum statutory withholding obligations (based on minimum statutory withholding rates for federal and state tax purposes, including payroll taxes, that are applicable to such supplemental taxable income), except that, to the extent that the Company is able to retain shares of Common Stock having a fair market value (determined by, or in a manner approved by, the Company) that exceeds the statutory minimum applicable withholding tax without financial accounting implications or the Company is withholding in a jurisdiction that does not have a statutory minimum withholding tax, the Company may retain such number of shares of Common Stock (up to the number of shares having a fair market value equal to the maximum individual statutory rate of tax (determined by, or in a manner approved by, the Company)) as the Company shall determine in its sole discretion to satisfy the tax liability associated with any Award. Shares used to satisfy tax withholding requirements cannot be subject to any repurchase, forfeiture, unfulfilled vesting or other similar requirements.</w:t>
      </w:r>
    </w:p>
    <w:p>
      <w:pPr>
        <w:spacing w:after="0" w:line="147" w:lineRule="exact"/>
        <w:rPr>
          <w:sz w:val="20"/>
          <w:szCs w:val="20"/>
          <w:color w:val="auto"/>
        </w:rPr>
      </w:pPr>
    </w:p>
    <w:p>
      <w:pPr>
        <w:ind w:left="200"/>
        <w:spacing w:after="0"/>
        <w:tabs>
          <w:tab w:leader="none" w:pos="760" w:val="left"/>
        </w:tabs>
        <w:rPr>
          <w:sz w:val="20"/>
          <w:szCs w:val="20"/>
          <w:color w:val="auto"/>
        </w:rPr>
      </w:pPr>
      <w:r>
        <w:rPr>
          <w:rFonts w:ascii="Arial" w:cs="Arial" w:eastAsia="Arial" w:hAnsi="Arial"/>
          <w:sz w:val="18"/>
          <w:szCs w:val="18"/>
          <w:color w:val="999999"/>
        </w:rPr>
        <w:t>B-12</w:t>
      </w:r>
      <w:r>
        <w:rPr>
          <w:sz w:val="20"/>
          <w:szCs w:val="20"/>
          <w:color w:val="auto"/>
        </w:rPr>
        <w:tab/>
      </w:r>
      <w:r>
        <w:rPr>
          <w:rFonts w:ascii="Arial" w:cs="Arial" w:eastAsia="Arial" w:hAnsi="Arial"/>
          <w:sz w:val="14"/>
          <w:szCs w:val="14"/>
          <w:b w:val="1"/>
          <w:bCs w:val="1"/>
          <w:color w:val="052B82"/>
        </w:rPr>
        <w:t>Analog Devices, Inc.</w:t>
      </w:r>
    </w:p>
    <w:p>
      <w:pPr>
        <w:sectPr>
          <w:pgSz w:w="11900" w:h="16838" w:orient="portrait"/>
          <w:cols w:equalWidth="0" w:num="1">
            <w:col w:w="11220"/>
          </w:cols>
          <w:pgMar w:left="240" w:top="459" w:right="4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205740</wp:posOffset>
            </wp:positionV>
            <wp:extent cx="2649855" cy="13716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0" w:right="20" w:firstLine="444"/>
        <w:spacing w:after="0" w:line="238" w:lineRule="auto"/>
        <w:tabs>
          <w:tab w:leader="none" w:pos="1161" w:val="left"/>
        </w:tabs>
        <w:numPr>
          <w:ilvl w:val="1"/>
          <w:numId w:val="157"/>
        </w:numPr>
        <w:rPr>
          <w:rFonts w:ascii="Arial" w:cs="Arial" w:eastAsia="Arial" w:hAnsi="Arial"/>
          <w:sz w:val="18"/>
          <w:szCs w:val="18"/>
          <w:color w:val="auto"/>
        </w:rPr>
      </w:pPr>
      <w:r>
        <w:rPr>
          <w:rFonts w:ascii="Arial" w:cs="Arial" w:eastAsia="Arial" w:hAnsi="Arial"/>
          <w:sz w:val="18"/>
          <w:szCs w:val="18"/>
          <w:u w:val="single" w:color="auto"/>
          <w:color w:val="auto"/>
        </w:rPr>
        <w:t>Amendment of Award</w:t>
      </w:r>
      <w:r>
        <w:rPr>
          <w:rFonts w:ascii="Arial" w:cs="Arial" w:eastAsia="Arial" w:hAnsi="Arial"/>
          <w:sz w:val="18"/>
          <w:szCs w:val="18"/>
          <w:color w:val="auto"/>
        </w:rPr>
        <w:t>. Except as otherwise provided in Sections 5(g) and 6(e) related to repricings, the Board may amend, modify or terminate any outstanding Award, including but not limited to, substituting therefor another Award of the same or a different type, changing the date of exercise or realization, and converting an Incentive Stock Option to a Nonstatutory Stock Option. The Participant’s consent to such action shall be required unless (i) the Board determines that the action, taking into account any related action, does not materially and adversely affect the Participant’s rights under the Plan or (ii) the change is permitted under Section 10.</w:t>
      </w:r>
    </w:p>
    <w:p>
      <w:pPr>
        <w:spacing w:after="0" w:line="202" w:lineRule="exact"/>
        <w:rPr>
          <w:rFonts w:ascii="Arial" w:cs="Arial" w:eastAsia="Arial" w:hAnsi="Arial"/>
          <w:sz w:val="18"/>
          <w:szCs w:val="18"/>
          <w:color w:val="auto"/>
        </w:rPr>
      </w:pPr>
    </w:p>
    <w:p>
      <w:pPr>
        <w:ind w:left="200" w:right="60" w:firstLine="444"/>
        <w:spacing w:after="0" w:line="237" w:lineRule="auto"/>
        <w:tabs>
          <w:tab w:leader="none" w:pos="1111" w:val="left"/>
        </w:tabs>
        <w:numPr>
          <w:ilvl w:val="1"/>
          <w:numId w:val="157"/>
        </w:numPr>
        <w:rPr>
          <w:rFonts w:ascii="Arial" w:cs="Arial" w:eastAsia="Arial" w:hAnsi="Arial"/>
          <w:sz w:val="18"/>
          <w:szCs w:val="18"/>
          <w:color w:val="auto"/>
        </w:rPr>
      </w:pPr>
      <w:r>
        <w:rPr>
          <w:rFonts w:ascii="Arial" w:cs="Arial" w:eastAsia="Arial" w:hAnsi="Arial"/>
          <w:sz w:val="18"/>
          <w:szCs w:val="18"/>
          <w:u w:val="single" w:color="auto"/>
          <w:color w:val="auto"/>
        </w:rPr>
        <w:t>Conditions on Delivery of Stock</w:t>
      </w:r>
      <w:r>
        <w:rPr>
          <w:rFonts w:ascii="Arial" w:cs="Arial" w:eastAsia="Arial" w:hAnsi="Arial"/>
          <w:sz w:val="18"/>
          <w:szCs w:val="18"/>
          <w:color w:val="auto"/>
        </w:rPr>
        <w:t>. The Company will not be obligated to deliver any shares of Common Stock pursuant to the Plan or to remove restrictions from shares previously issued or delivered under the Plan until (i) all conditions of the Award have been met or removed to the satisfaction of the Company, (ii) in the opinion of the Company’s counsel, all other legal matters in connection with the issuance and delivery of such shares have been satisfied, including any applicable securities laws and regulations and any applicable stock exchange or stock market rules and regulations, and (iii) the Participant has executed and delivered to the Company such representations or agreements as the Company may consider appropriate to satisfy the requirements of any applicable laws, rules or regulations.</w:t>
      </w:r>
    </w:p>
    <w:p>
      <w:pPr>
        <w:spacing w:after="0" w:line="203" w:lineRule="exact"/>
        <w:rPr>
          <w:rFonts w:ascii="Arial" w:cs="Arial" w:eastAsia="Arial" w:hAnsi="Arial"/>
          <w:sz w:val="18"/>
          <w:szCs w:val="18"/>
          <w:color w:val="auto"/>
        </w:rPr>
      </w:pPr>
    </w:p>
    <w:p>
      <w:pPr>
        <w:ind w:left="200" w:right="320" w:firstLine="444"/>
        <w:spacing w:after="0" w:line="246" w:lineRule="auto"/>
        <w:tabs>
          <w:tab w:leader="none" w:pos="1161" w:val="left"/>
        </w:tabs>
        <w:numPr>
          <w:ilvl w:val="1"/>
          <w:numId w:val="157"/>
        </w:numPr>
        <w:rPr>
          <w:rFonts w:ascii="Arial" w:cs="Arial" w:eastAsia="Arial" w:hAnsi="Arial"/>
          <w:sz w:val="18"/>
          <w:szCs w:val="18"/>
          <w:color w:val="auto"/>
        </w:rPr>
      </w:pPr>
      <w:r>
        <w:rPr>
          <w:rFonts w:ascii="Arial" w:cs="Arial" w:eastAsia="Arial" w:hAnsi="Arial"/>
          <w:sz w:val="18"/>
          <w:szCs w:val="18"/>
          <w:u w:val="single" w:color="auto"/>
          <w:color w:val="auto"/>
        </w:rPr>
        <w:t>Acceleration</w:t>
      </w:r>
      <w:r>
        <w:rPr>
          <w:rFonts w:ascii="Arial" w:cs="Arial" w:eastAsia="Arial" w:hAnsi="Arial"/>
          <w:sz w:val="18"/>
          <w:szCs w:val="18"/>
          <w:color w:val="auto"/>
        </w:rPr>
        <w:t>. The Board may at any time provide that any Award shall become immediately exercisable in whole or in part, free from some or all restrictions or conditions or otherwise realizable in whole or in part, as the case may be.</w:t>
      </w:r>
    </w:p>
    <w:p>
      <w:pPr>
        <w:spacing w:after="0" w:line="345" w:lineRule="exact"/>
        <w:rPr>
          <w:rFonts w:ascii="Arial" w:cs="Arial" w:eastAsia="Arial" w:hAnsi="Arial"/>
          <w:sz w:val="18"/>
          <w:szCs w:val="18"/>
          <w:color w:val="auto"/>
        </w:rPr>
      </w:pPr>
    </w:p>
    <w:p>
      <w:pPr>
        <w:ind w:left="640" w:hanging="436"/>
        <w:spacing w:after="0"/>
        <w:tabs>
          <w:tab w:leader="none" w:pos="640"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103" w:lineRule="exact"/>
        <w:rPr>
          <w:rFonts w:ascii="Arial" w:cs="Arial" w:eastAsia="Arial" w:hAnsi="Arial"/>
          <w:sz w:val="18"/>
          <w:szCs w:val="18"/>
          <w:color w:val="auto"/>
        </w:rPr>
      </w:pPr>
    </w:p>
    <w:p>
      <w:pPr>
        <w:ind w:left="200" w:right="320" w:firstLine="444"/>
        <w:spacing w:after="0" w:line="239" w:lineRule="auto"/>
        <w:tabs>
          <w:tab w:leader="none" w:pos="1161" w:val="left"/>
        </w:tabs>
        <w:numPr>
          <w:ilvl w:val="1"/>
          <w:numId w:val="158"/>
        </w:numPr>
        <w:rPr>
          <w:rFonts w:ascii="Arial" w:cs="Arial" w:eastAsia="Arial" w:hAnsi="Arial"/>
          <w:sz w:val="18"/>
          <w:szCs w:val="18"/>
          <w:color w:val="auto"/>
        </w:rPr>
      </w:pPr>
      <w:r>
        <w:rPr>
          <w:rFonts w:ascii="Arial" w:cs="Arial" w:eastAsia="Arial" w:hAnsi="Arial"/>
          <w:sz w:val="18"/>
          <w:szCs w:val="18"/>
          <w:u w:val="single" w:color="auto"/>
          <w:color w:val="auto"/>
        </w:rPr>
        <w:t>No Right To Employment or Other Status</w:t>
      </w:r>
      <w:r>
        <w:rPr>
          <w:rFonts w:ascii="Arial" w:cs="Arial" w:eastAsia="Arial" w:hAnsi="Arial"/>
          <w:sz w:val="18"/>
          <w:szCs w:val="18"/>
          <w:color w:val="auto"/>
        </w:rPr>
        <w:t>. No person shall have any claim or right to be granted an Award by virtue of the adoption of the Plan, and the grant of an Award shall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except as expressly provided in the applicable Award.</w:t>
      </w:r>
    </w:p>
    <w:p>
      <w:pPr>
        <w:spacing w:after="0" w:line="201" w:lineRule="exact"/>
        <w:rPr>
          <w:rFonts w:ascii="Arial" w:cs="Arial" w:eastAsia="Arial" w:hAnsi="Arial"/>
          <w:sz w:val="18"/>
          <w:szCs w:val="18"/>
          <w:color w:val="auto"/>
        </w:rPr>
      </w:pPr>
    </w:p>
    <w:p>
      <w:pPr>
        <w:ind w:left="200" w:right="40" w:firstLine="444"/>
        <w:spacing w:after="0" w:line="239" w:lineRule="auto"/>
        <w:tabs>
          <w:tab w:leader="none" w:pos="1161" w:val="left"/>
        </w:tabs>
        <w:numPr>
          <w:ilvl w:val="1"/>
          <w:numId w:val="158"/>
        </w:numPr>
        <w:rPr>
          <w:rFonts w:ascii="Arial" w:cs="Arial" w:eastAsia="Arial" w:hAnsi="Arial"/>
          <w:sz w:val="18"/>
          <w:szCs w:val="18"/>
          <w:color w:val="auto"/>
        </w:rPr>
      </w:pPr>
      <w:r>
        <w:rPr>
          <w:rFonts w:ascii="Arial" w:cs="Arial" w:eastAsia="Arial" w:hAnsi="Arial"/>
          <w:sz w:val="18"/>
          <w:szCs w:val="18"/>
          <w:u w:val="single" w:color="auto"/>
          <w:color w:val="auto"/>
        </w:rPr>
        <w:t>No Rights As Stockholder; Clawback</w:t>
      </w:r>
      <w:r>
        <w:rPr>
          <w:rFonts w:ascii="Arial" w:cs="Arial" w:eastAsia="Arial" w:hAnsi="Arial"/>
          <w:sz w:val="18"/>
          <w:szCs w:val="18"/>
          <w:color w:val="auto"/>
        </w:rPr>
        <w:t>. Subject to the provisions of the applicable Award, no Participant or Designated Beneficiary shall have any rights as a stockholder with respect to any shares of Common Stock to be issued with respect to an Award until becoming the record holder of such shares. In accepting an Award under the Plan, the Participant agrees to be bound by any clawback policy that the Company has in effect or may adopt in the future.</w:t>
      </w:r>
    </w:p>
    <w:p>
      <w:pPr>
        <w:spacing w:after="0" w:line="201" w:lineRule="exact"/>
        <w:rPr>
          <w:rFonts w:ascii="Arial" w:cs="Arial" w:eastAsia="Arial" w:hAnsi="Arial"/>
          <w:sz w:val="18"/>
          <w:szCs w:val="18"/>
          <w:color w:val="auto"/>
        </w:rPr>
      </w:pPr>
    </w:p>
    <w:p>
      <w:pPr>
        <w:ind w:left="200" w:right="60" w:firstLine="444"/>
        <w:spacing w:after="0" w:line="246" w:lineRule="auto"/>
        <w:tabs>
          <w:tab w:leader="none" w:pos="1150" w:val="left"/>
        </w:tabs>
        <w:numPr>
          <w:ilvl w:val="1"/>
          <w:numId w:val="158"/>
        </w:numPr>
        <w:rPr>
          <w:rFonts w:ascii="Arial" w:cs="Arial" w:eastAsia="Arial" w:hAnsi="Arial"/>
          <w:sz w:val="18"/>
          <w:szCs w:val="18"/>
          <w:color w:val="auto"/>
        </w:rPr>
      </w:pPr>
      <w:r>
        <w:rPr>
          <w:rFonts w:ascii="Arial" w:cs="Arial" w:eastAsia="Arial" w:hAnsi="Arial"/>
          <w:sz w:val="18"/>
          <w:szCs w:val="18"/>
          <w:u w:val="single" w:color="auto"/>
          <w:color w:val="auto"/>
        </w:rPr>
        <w:t>Effective Date and Term of Plan</w:t>
      </w:r>
      <w:r>
        <w:rPr>
          <w:rFonts w:ascii="Arial" w:cs="Arial" w:eastAsia="Arial" w:hAnsi="Arial"/>
          <w:sz w:val="18"/>
          <w:szCs w:val="18"/>
          <w:color w:val="auto"/>
        </w:rPr>
        <w:t>. The Plan shall become effective on the Effective Date. No Awards shall be granted under the Plan after the expiration of 10 years from the Effective Date, but Awards previously granted may extend beyond that date.</w:t>
      </w:r>
    </w:p>
    <w:p>
      <w:pPr>
        <w:spacing w:after="0" w:line="192" w:lineRule="exact"/>
        <w:rPr>
          <w:rFonts w:ascii="Arial" w:cs="Arial" w:eastAsia="Arial" w:hAnsi="Arial"/>
          <w:sz w:val="18"/>
          <w:szCs w:val="18"/>
          <w:color w:val="auto"/>
        </w:rPr>
      </w:pPr>
    </w:p>
    <w:p>
      <w:pPr>
        <w:ind w:left="1160" w:hanging="516"/>
        <w:spacing w:after="0"/>
        <w:tabs>
          <w:tab w:leader="none" w:pos="1160" w:val="left"/>
        </w:tabs>
        <w:numPr>
          <w:ilvl w:val="1"/>
          <w:numId w:val="158"/>
        </w:numPr>
        <w:rPr>
          <w:rFonts w:ascii="Arial" w:cs="Arial" w:eastAsia="Arial" w:hAnsi="Arial"/>
          <w:sz w:val="18"/>
          <w:szCs w:val="18"/>
          <w:color w:val="auto"/>
        </w:rPr>
      </w:pPr>
      <w:r>
        <w:rPr>
          <w:rFonts w:ascii="Arial" w:cs="Arial" w:eastAsia="Arial" w:hAnsi="Arial"/>
          <w:sz w:val="18"/>
          <w:szCs w:val="18"/>
          <w:u w:val="single" w:color="auto"/>
          <w:color w:val="auto"/>
        </w:rPr>
        <w:t>Amendment of Plan</w:t>
      </w:r>
      <w:r>
        <w:rPr>
          <w:rFonts w:ascii="Arial" w:cs="Arial" w:eastAsia="Arial" w:hAnsi="Arial"/>
          <w:sz w:val="18"/>
          <w:szCs w:val="18"/>
          <w:color w:val="auto"/>
        </w:rPr>
        <w:t>. The Board may amend, suspend or terminate the Plan or any portion thereof at any time provided that</w:t>
      </w:r>
    </w:p>
    <w:p>
      <w:pPr>
        <w:ind w:left="200" w:firstLine="4"/>
        <w:spacing w:after="0" w:line="236" w:lineRule="auto"/>
        <w:tabs>
          <w:tab w:leader="none" w:pos="41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neither Section 5(g) nor 6(e) requiring stockholder approval of any Option or SAR repricing may be amended without stockholder approval; (ii) no amendment that would require stockholder approval under the rules of the national securities exchange on which the Company then maintains its primary listing may be made effective unless and until the Company’s stockholders approve such amendment; and (iii) if the national securities exchange on which the Company then maintains its primary listing does not have rules regarding when stockholder approval of amendments to equity compensation plans is required (or if the Company’s Common Stock is not then listed on any national securities exchange), then no amendment to the Plan (A) materially increasing the number of shares authorized under the Plan (other than pursuant to Section 4(c) or 10), (B) expanding the types of Awards that may be granted under the Plan, or (C) materially expanding the class of participants eligible to participate in the Plan shall be effective unless and until the Company’s stockholders approve such amendment. In addition, if at any time the approval of the Company’s stockholders is required as to any other modification or amendment under Section 422 of the Code or any successor provision with respect to Incentive Stock Options, the Board may not effect such modification or amendment without such approval. Unless otherwise specified in the amendment, any amendment to the Plan adopted in accordance with this Section 12(d) shall apply to, and be binding on the holders of, all Awards outstanding under the Plan at the</w:t>
      </w:r>
    </w:p>
    <w:p>
      <w:pPr>
        <w:spacing w:after="0" w:line="136" w:lineRule="exact"/>
        <w:rPr>
          <w:sz w:val="20"/>
          <w:szCs w:val="20"/>
          <w:color w:val="auto"/>
        </w:rPr>
      </w:pPr>
    </w:p>
    <w:p>
      <w:pPr>
        <w:jc w:val="right"/>
        <w:spacing w:after="0"/>
        <w:tabs>
          <w:tab w:leader="none" w:pos="360" w:val="left"/>
        </w:tabs>
        <w:rPr>
          <w:sz w:val="20"/>
          <w:szCs w:val="20"/>
          <w:color w:val="auto"/>
        </w:rPr>
      </w:pPr>
      <w:r>
        <w:rPr>
          <w:rFonts w:ascii="Arial" w:cs="Arial" w:eastAsia="Arial" w:hAnsi="Arial"/>
          <w:sz w:val="14"/>
          <w:szCs w:val="14"/>
          <w:b w:val="1"/>
          <w:bCs w:val="1"/>
          <w:color w:val="052B82"/>
        </w:rPr>
        <w:t>2020 Proxy Statement</w:t>
      </w:r>
      <w:r>
        <w:rPr>
          <w:sz w:val="20"/>
          <w:szCs w:val="20"/>
          <w:color w:val="auto"/>
        </w:rPr>
        <w:tab/>
      </w:r>
      <w:r>
        <w:rPr>
          <w:rFonts w:ascii="Arial" w:cs="Arial" w:eastAsia="Arial" w:hAnsi="Arial"/>
          <w:sz w:val="17"/>
          <w:szCs w:val="17"/>
          <w:color w:val="999999"/>
        </w:rPr>
        <w:t>B-13</w:t>
      </w:r>
    </w:p>
    <w:p>
      <w:pPr>
        <w:sectPr>
          <w:pgSz w:w="11900" w:h="16838" w:orient="portrait"/>
          <w:cols w:equalWidth="0" w:num="1">
            <w:col w:w="11220"/>
          </w:cols>
          <w:pgMar w:left="240" w:top="459" w:right="4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2649855" cy="13716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0" w:right="160"/>
        <w:spacing w:after="0" w:line="238" w:lineRule="auto"/>
        <w:rPr>
          <w:sz w:val="20"/>
          <w:szCs w:val="20"/>
          <w:color w:val="auto"/>
        </w:rPr>
      </w:pPr>
      <w:r>
        <w:rPr>
          <w:rFonts w:ascii="Arial" w:cs="Arial" w:eastAsia="Arial" w:hAnsi="Arial"/>
          <w:sz w:val="18"/>
          <w:szCs w:val="18"/>
          <w:color w:val="auto"/>
        </w:rPr>
        <w:t>time the amendment is adopted, provided the Board determines that such amendment, taking into account any related action, does not materially and adversely affect the rights of Participants under the Plan. No Award shall be made that is conditioned upon stockholder approval of any amendment to the Plan unless the Award provides that (i) it will terminate or be forfeited if stockholder approval of such amendment is not obtained within no more than 12 months from the date of grant and (2) it may not be exercised or settled (or otherwise result in the issuance of Common Stock) prior to such stockholder approval.</w:t>
      </w:r>
    </w:p>
    <w:p>
      <w:pPr>
        <w:spacing w:after="0" w:line="203" w:lineRule="exact"/>
        <w:rPr>
          <w:sz w:val="20"/>
          <w:szCs w:val="20"/>
          <w:color w:val="auto"/>
        </w:rPr>
      </w:pPr>
    </w:p>
    <w:p>
      <w:pPr>
        <w:ind w:left="200" w:right="100" w:firstLine="444"/>
        <w:spacing w:after="0" w:line="237" w:lineRule="auto"/>
        <w:tabs>
          <w:tab w:leader="none" w:pos="1061"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Authorization of Sub-Plans (including for Grants to non-U.S. Employees)</w:t>
      </w:r>
      <w:r>
        <w:rPr>
          <w:rFonts w:ascii="Arial" w:cs="Arial" w:eastAsia="Arial" w:hAnsi="Arial"/>
          <w:sz w:val="18"/>
          <w:szCs w:val="18"/>
          <w:color w:val="auto"/>
        </w:rPr>
        <w:t>. The Board may from time to time establish one or more sub-plans under the Plan for purposes of satisfying applicable securities, tax or other laws of various jurisdictions. The Board shall establish such sub-plans by adopting supplements to the Plan containing (i) such limitations on the Board’s discretion under the Plan as the Board deems necessary or desirable or (ii) such additional terms and conditions not otherwise inconsistent with the Plan as the Board shall deem necessary or desirable. All supplements adopted by the Board shall be deemed to be part of the Plan, but each supplement shall apply only to Participants within the affected jurisdiction and the Company shall not be required to provide copies of any supplement to Participants in any jurisdiction which is not the subject of such supplement.</w:t>
      </w:r>
    </w:p>
    <w:p>
      <w:pPr>
        <w:spacing w:after="0" w:line="203" w:lineRule="exact"/>
        <w:rPr>
          <w:rFonts w:ascii="Arial" w:cs="Arial" w:eastAsia="Arial" w:hAnsi="Arial"/>
          <w:sz w:val="18"/>
          <w:szCs w:val="18"/>
          <w:color w:val="auto"/>
        </w:rPr>
      </w:pPr>
    </w:p>
    <w:p>
      <w:pPr>
        <w:ind w:left="200" w:firstLine="444"/>
        <w:spacing w:after="0" w:line="236" w:lineRule="auto"/>
        <w:tabs>
          <w:tab w:leader="none" w:pos="1011"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Compliance with Section 409A of the Code</w:t>
      </w:r>
      <w:r>
        <w:rPr>
          <w:rFonts w:ascii="Arial" w:cs="Arial" w:eastAsia="Arial" w:hAnsi="Arial"/>
          <w:sz w:val="18"/>
          <w:szCs w:val="18"/>
          <w:color w:val="auto"/>
        </w:rPr>
        <w:t>. If and to the extent (i) any portion of any payment, compensation or other benefit provided to a Participant pursuant to the Plan in connection with his or her employment termination constitutes “nonqualified deferred compensation” within the meaning of Section 409A and (ii) the Participant is a specified employee as defined in Section 409A(a)(2)(B)(i) of the Code, in each case as determined by the Company in accordance with its procedures, by which determinations the Participant (through accepting the Award) agrees that he or she is bound, such portion of the payment, compensation or other benefit shall not be paid before the day that is six months plus one day after the date of “separation from service” (as determined under Section 409A) (the “</w:t>
      </w:r>
      <w:r>
        <w:rPr>
          <w:rFonts w:ascii="Arial" w:cs="Arial" w:eastAsia="Arial" w:hAnsi="Arial"/>
          <w:sz w:val="18"/>
          <w:szCs w:val="18"/>
          <w:b w:val="1"/>
          <w:bCs w:val="1"/>
          <w:i w:val="1"/>
          <w:iCs w:val="1"/>
          <w:color w:val="auto"/>
        </w:rPr>
        <w:t>New Payment Date</w:t>
      </w:r>
      <w:r>
        <w:rPr>
          <w:rFonts w:ascii="Arial" w:cs="Arial" w:eastAsia="Arial" w:hAnsi="Arial"/>
          <w:sz w:val="18"/>
          <w:szCs w:val="18"/>
          <w:color w:val="auto"/>
        </w:rPr>
        <w:t>”), except as Section 409A may then permit. The aggregate of any payments that otherwise would have been paid to the Participant during the period between the date of separation from service and the New Payment Date shall be paid to the Participant in a lump sum on such New Payment Date, and any remaining payments will be paid on their original schedule.</w:t>
      </w:r>
    </w:p>
    <w:p>
      <w:pPr>
        <w:spacing w:after="0" w:line="207" w:lineRule="exact"/>
        <w:rPr>
          <w:sz w:val="20"/>
          <w:szCs w:val="20"/>
          <w:color w:val="auto"/>
        </w:rPr>
      </w:pPr>
    </w:p>
    <w:p>
      <w:pPr>
        <w:ind w:left="200" w:right="840" w:firstLine="441"/>
        <w:spacing w:after="0"/>
        <w:rPr>
          <w:sz w:val="20"/>
          <w:szCs w:val="20"/>
          <w:color w:val="auto"/>
        </w:rPr>
      </w:pPr>
      <w:r>
        <w:rPr>
          <w:rFonts w:ascii="Arial" w:cs="Arial" w:eastAsia="Arial" w:hAnsi="Arial"/>
          <w:sz w:val="18"/>
          <w:szCs w:val="18"/>
          <w:color w:val="auto"/>
        </w:rPr>
        <w:t>The Company makes no representations or warranty and shall have no liability to the Participant or any other person if any provisions of or payments, compensation or other benefits under the Plan are determined to constitute nonqualified deferred compensation subject to Section 409A but do not to satisfy the conditions of that section.</w:t>
      </w:r>
    </w:p>
    <w:p>
      <w:pPr>
        <w:spacing w:after="0" w:line="203" w:lineRule="exact"/>
        <w:rPr>
          <w:sz w:val="20"/>
          <w:szCs w:val="20"/>
          <w:color w:val="auto"/>
        </w:rPr>
      </w:pPr>
    </w:p>
    <w:p>
      <w:pPr>
        <w:ind w:left="200" w:right="120" w:firstLine="444"/>
        <w:spacing w:after="0" w:line="236" w:lineRule="auto"/>
        <w:tabs>
          <w:tab w:leader="none" w:pos="1061"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Limitations on Liability</w:t>
      </w:r>
      <w:r>
        <w:rPr>
          <w:rFonts w:ascii="Arial" w:cs="Arial" w:eastAsia="Arial" w:hAnsi="Arial"/>
          <w:sz w:val="18"/>
          <w:szCs w:val="18"/>
          <w:color w:val="auto"/>
        </w:rPr>
        <w:t>. Notwithstanding any other provisions of the Plan, no individual acting as a director, officer, employee or agent of the Company will be liable to any Participant, former Participant, spouse, beneficiary, or any other person for any claim, loss, liability, or expense incurred in connection with the Plan, nor will such individual be personally liable with respect to the Plan because of any contract or other instrument he or she executes in his or her capacity as a director, officer, employee or agent of the Company. The Company will indemnify and hold harmless each director, officer, employee or agent of the Company to whom any duty or power relating to the administration or interpretation of the Plan has been or will be delegated, against any cost or expense (including attorneys’ fees) or liability (including any sum paid in settlement of a claim with the Board’s approval) arising out of any act or omission to act concerning the Plan unless arising out of such person’s own fraud or bad faith.</w:t>
      </w:r>
    </w:p>
    <w:p>
      <w:pPr>
        <w:spacing w:after="0" w:line="208" w:lineRule="exact"/>
        <w:rPr>
          <w:rFonts w:ascii="Arial" w:cs="Arial" w:eastAsia="Arial" w:hAnsi="Arial"/>
          <w:sz w:val="18"/>
          <w:szCs w:val="18"/>
          <w:color w:val="auto"/>
        </w:rPr>
      </w:pPr>
    </w:p>
    <w:p>
      <w:pPr>
        <w:ind w:left="200" w:right="20" w:firstLine="444"/>
        <w:spacing w:after="0"/>
        <w:tabs>
          <w:tab w:leader="none" w:pos="1061"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provisions of the Plan and all Awards made hereunder shall be governed by and interpreted in accordance with the laws of the Commonwealth of Massachusetts, excluding choice-of-law principles of the law of such state that would require the application of the laws of a jurisdiction other than the Commonwealth of Massachusetts.</w:t>
      </w:r>
    </w:p>
    <w:p>
      <w:pPr>
        <w:spacing w:after="0" w:line="135" w:lineRule="exact"/>
        <w:rPr>
          <w:sz w:val="20"/>
          <w:szCs w:val="20"/>
          <w:color w:val="auto"/>
        </w:rPr>
      </w:pPr>
    </w:p>
    <w:p>
      <w:pPr>
        <w:ind w:left="200"/>
        <w:spacing w:after="0"/>
        <w:tabs>
          <w:tab w:leader="none" w:pos="760" w:val="left"/>
        </w:tabs>
        <w:rPr>
          <w:sz w:val="20"/>
          <w:szCs w:val="20"/>
          <w:color w:val="auto"/>
        </w:rPr>
      </w:pPr>
      <w:r>
        <w:rPr>
          <w:rFonts w:ascii="Arial" w:cs="Arial" w:eastAsia="Arial" w:hAnsi="Arial"/>
          <w:sz w:val="18"/>
          <w:szCs w:val="18"/>
          <w:color w:val="999999"/>
        </w:rPr>
        <w:t>B-14</w:t>
      </w:r>
      <w:r>
        <w:rPr>
          <w:sz w:val="20"/>
          <w:szCs w:val="20"/>
          <w:color w:val="auto"/>
        </w:rPr>
        <w:tab/>
      </w:r>
      <w:r>
        <w:rPr>
          <w:rFonts w:ascii="Arial" w:cs="Arial" w:eastAsia="Arial" w:hAnsi="Arial"/>
          <w:sz w:val="14"/>
          <w:szCs w:val="14"/>
          <w:b w:val="1"/>
          <w:bCs w:val="1"/>
          <w:color w:val="052B82"/>
        </w:rPr>
        <w:t>Analog Devices, Inc.</w:t>
      </w:r>
    </w:p>
    <w:p>
      <w:pPr>
        <w:sectPr>
          <w:pgSz w:w="11900" w:h="16838" w:orient="portrait"/>
          <w:cols w:equalWidth="0" w:num="1">
            <w:col w:w="11220"/>
          </w:cols>
          <w:pgMar w:left="240" w:top="459" w:right="4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205740</wp:posOffset>
            </wp:positionV>
            <wp:extent cx="2649855" cy="13716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auto"/>
        </w:rPr>
        <w:t>INTERNATIONAL SUBPLANS</w:t>
      </w:r>
    </w:p>
    <w:p>
      <w:pPr>
        <w:spacing w:after="0" w:line="226"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auto"/>
        </w:rPr>
        <w:t>TO THE</w:t>
      </w:r>
    </w:p>
    <w:p>
      <w:pPr>
        <w:spacing w:after="0" w:line="226"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auto"/>
        </w:rPr>
        <w:t>ANALOG DEVICES, INC.</w:t>
      </w:r>
    </w:p>
    <w:p>
      <w:pPr>
        <w:spacing w:after="0" w:line="226"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auto"/>
        </w:rPr>
        <w:t>2020 EQUITY INCENTIVE PLAN</w:t>
      </w:r>
    </w:p>
    <w:p>
      <w:pPr>
        <w:spacing w:after="0" w:line="188" w:lineRule="exact"/>
        <w:rPr>
          <w:sz w:val="20"/>
          <w:szCs w:val="20"/>
          <w:color w:val="auto"/>
        </w:rPr>
      </w:pPr>
    </w:p>
    <w:p>
      <w:pPr>
        <w:jc w:val="right"/>
        <w:spacing w:after="0"/>
        <w:tabs>
          <w:tab w:leader="none" w:pos="360" w:val="left"/>
        </w:tabs>
        <w:rPr>
          <w:sz w:val="20"/>
          <w:szCs w:val="20"/>
          <w:color w:val="auto"/>
        </w:rPr>
      </w:pPr>
      <w:r>
        <w:rPr>
          <w:rFonts w:ascii="Arial" w:cs="Arial" w:eastAsia="Arial" w:hAnsi="Arial"/>
          <w:sz w:val="14"/>
          <w:szCs w:val="14"/>
          <w:b w:val="1"/>
          <w:bCs w:val="1"/>
          <w:color w:val="052B82"/>
        </w:rPr>
        <w:t>2020 Proxy Statement</w:t>
      </w:r>
      <w:r>
        <w:rPr>
          <w:sz w:val="20"/>
          <w:szCs w:val="20"/>
          <w:color w:val="auto"/>
        </w:rPr>
        <w:tab/>
      </w:r>
      <w:r>
        <w:rPr>
          <w:rFonts w:ascii="Arial" w:cs="Arial" w:eastAsia="Arial" w:hAnsi="Arial"/>
          <w:sz w:val="17"/>
          <w:szCs w:val="17"/>
          <w:color w:val="999999"/>
        </w:rPr>
        <w:t>B-15</w:t>
      </w:r>
    </w:p>
    <w:p>
      <w:pPr>
        <w:sectPr>
          <w:pgSz w:w="11900" w:h="16838" w:orient="portrait"/>
          <w:cols w:equalWidth="0" w:num="1">
            <w:col w:w="11220"/>
          </w:cols>
          <w:pgMar w:left="240" w:top="459" w:right="4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2649855" cy="13716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RULES OF THE ANALOG DEVICES, INC.</w:t>
      </w:r>
    </w:p>
    <w:p>
      <w:pPr>
        <w:spacing w:after="0" w:line="226"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2020 EQUITY INCENTIVE PLAN</w:t>
      </w:r>
    </w:p>
    <w:p>
      <w:pPr>
        <w:spacing w:after="0" w:line="226"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FRENCH SUB-PLAN</w:t>
      </w:r>
    </w:p>
    <w:p>
      <w:pPr>
        <w:spacing w:after="0" w:line="161" w:lineRule="exact"/>
        <w:rPr>
          <w:sz w:val="20"/>
          <w:szCs w:val="20"/>
          <w:color w:val="auto"/>
        </w:rPr>
      </w:pPr>
    </w:p>
    <w:p>
      <w:pPr>
        <w:ind w:left="640" w:hanging="436"/>
        <w:spacing w:after="0"/>
        <w:tabs>
          <w:tab w:leader="none" w:pos="640"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GENERAL</w:t>
      </w:r>
    </w:p>
    <w:p>
      <w:pPr>
        <w:spacing w:after="0" w:line="117" w:lineRule="exact"/>
        <w:rPr>
          <w:sz w:val="20"/>
          <w:szCs w:val="20"/>
          <w:color w:val="auto"/>
        </w:rPr>
      </w:pPr>
    </w:p>
    <w:p>
      <w:pPr>
        <w:ind w:left="640" w:hanging="436"/>
        <w:spacing w:after="0"/>
        <w:tabs>
          <w:tab w:leader="none" w:pos="640"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Introduction</w:t>
      </w:r>
    </w:p>
    <w:p>
      <w:pPr>
        <w:spacing w:after="0" w:line="104" w:lineRule="exact"/>
        <w:rPr>
          <w:sz w:val="20"/>
          <w:szCs w:val="20"/>
          <w:color w:val="auto"/>
        </w:rPr>
      </w:pPr>
    </w:p>
    <w:p>
      <w:pPr>
        <w:ind w:left="200" w:right="100" w:firstLine="441"/>
        <w:spacing w:after="0"/>
        <w:rPr>
          <w:sz w:val="20"/>
          <w:szCs w:val="20"/>
          <w:color w:val="auto"/>
        </w:rPr>
      </w:pPr>
      <w:r>
        <w:rPr>
          <w:rFonts w:ascii="Arial" w:cs="Arial" w:eastAsia="Arial" w:hAnsi="Arial"/>
          <w:sz w:val="18"/>
          <w:szCs w:val="18"/>
          <w:color w:val="auto"/>
        </w:rPr>
        <w:t>The Board of Directors of Analog Devices, Inc. (the “Company”) has established the 2020 Equity Incentive Plan (the “U.S. Plan”) for the benefit of certain employees of the Company and its Subsidiaries, including its Subsidiaries in France (the “French Subsidiaries”) of which the Company holds directly or indirectly at least 10% of the share capital.</w:t>
      </w:r>
    </w:p>
    <w:p>
      <w:pPr>
        <w:spacing w:after="0" w:line="203" w:lineRule="exact"/>
        <w:rPr>
          <w:sz w:val="20"/>
          <w:szCs w:val="20"/>
          <w:color w:val="auto"/>
        </w:rPr>
      </w:pPr>
    </w:p>
    <w:p>
      <w:pPr>
        <w:ind w:left="200" w:right="20" w:firstLine="441"/>
        <w:spacing w:after="0" w:line="236" w:lineRule="auto"/>
        <w:rPr>
          <w:sz w:val="20"/>
          <w:szCs w:val="20"/>
          <w:color w:val="auto"/>
        </w:rPr>
      </w:pPr>
      <w:r>
        <w:rPr>
          <w:rFonts w:ascii="Arial" w:cs="Arial" w:eastAsia="Arial" w:hAnsi="Arial"/>
          <w:sz w:val="18"/>
          <w:szCs w:val="18"/>
          <w:color w:val="auto"/>
        </w:rPr>
        <w:t>Sections 3 and 12(e) of the U.S. Plan authorize the Board of Directors and a Committee as appointed by the Board of Directors (the “Committee”) to adopt, amend and repeal such administrative rules, guidelines and practices relating to the U.S. Plan as it shall deem advisable, and to establish one or more sub-plans under the U.S. Plan for purposes of satisfying applicable securities, tax or other laws of various jurisdictions. Pursuant to the foregoing authority, the Committee, therefore, intends to establish a sub-plan of the U.S. Plan for the purpose of granting stock options which qualify for the favorable tax and social security treatment in France applicable to options granted under Sections L. 225-177 to L. 225-186-1 of the French Commercial Code, as amended (“French-qualified Options”), and restricted stock units (including performance awards) which qualify for the favorable tax and social security treatment in France applicable to shares granted for no consideration under Sections L. 225-197-1 to L. 225-197-6 of the French Commercial Code, as amended (“French-qualified RSUs”), to qualifying participants in France who are resident in France for French tax purposes and/or subject to the French social security regime (“French Participants”).</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terms of the U.S. Plan as attached hereto, shall, subject to the limitations set forth herein, constitute the Analog Devices, Inc.</w:t>
      </w:r>
    </w:p>
    <w:p>
      <w:pPr>
        <w:ind w:left="200"/>
        <w:spacing w:after="0"/>
        <w:rPr>
          <w:sz w:val="20"/>
          <w:szCs w:val="20"/>
          <w:color w:val="auto"/>
        </w:rPr>
      </w:pPr>
      <w:r>
        <w:rPr>
          <w:rFonts w:ascii="Arial" w:cs="Arial" w:eastAsia="Arial" w:hAnsi="Arial"/>
          <w:sz w:val="18"/>
          <w:szCs w:val="18"/>
          <w:color w:val="auto"/>
        </w:rPr>
        <w:t>2020 Equity Incentive Plan French Sub-Plan (the “French Sub-Plan”).</w:t>
      </w:r>
    </w:p>
    <w:p>
      <w:pPr>
        <w:spacing w:after="0" w:line="212" w:lineRule="exact"/>
        <w:rPr>
          <w:sz w:val="20"/>
          <w:szCs w:val="20"/>
          <w:color w:val="auto"/>
        </w:rPr>
      </w:pPr>
    </w:p>
    <w:p>
      <w:pPr>
        <w:ind w:left="200" w:right="360" w:firstLine="441"/>
        <w:spacing w:after="0" w:line="246" w:lineRule="auto"/>
        <w:rPr>
          <w:sz w:val="20"/>
          <w:szCs w:val="20"/>
          <w:color w:val="auto"/>
        </w:rPr>
      </w:pPr>
      <w:r>
        <w:rPr>
          <w:rFonts w:ascii="Arial" w:cs="Arial" w:eastAsia="Arial" w:hAnsi="Arial"/>
          <w:sz w:val="18"/>
          <w:szCs w:val="18"/>
          <w:color w:val="auto"/>
        </w:rPr>
        <w:t>Under the French Sub-Plan, the French Participants will be granted only French-qualified Options and French-qualified RSUs as defined below under Section 1.</w:t>
      </w:r>
    </w:p>
    <w:p>
      <w:pPr>
        <w:spacing w:after="0" w:line="345" w:lineRule="exact"/>
        <w:rPr>
          <w:sz w:val="20"/>
          <w:szCs w:val="20"/>
          <w:color w:val="auto"/>
        </w:rPr>
      </w:pPr>
    </w:p>
    <w:p>
      <w:pPr>
        <w:ind w:left="640" w:hanging="436"/>
        <w:spacing w:after="0"/>
        <w:tabs>
          <w:tab w:leader="none" w:pos="640"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104" w:lineRule="exact"/>
        <w:rPr>
          <w:sz w:val="20"/>
          <w:szCs w:val="20"/>
          <w:color w:val="auto"/>
        </w:rPr>
      </w:pPr>
    </w:p>
    <w:p>
      <w:pPr>
        <w:ind w:left="200" w:firstLine="441"/>
        <w:spacing w:after="0" w:line="246" w:lineRule="auto"/>
        <w:rPr>
          <w:sz w:val="20"/>
          <w:szCs w:val="20"/>
          <w:color w:val="auto"/>
        </w:rPr>
      </w:pPr>
      <w:r>
        <w:rPr>
          <w:rFonts w:ascii="Arial" w:cs="Arial" w:eastAsia="Arial" w:hAnsi="Arial"/>
          <w:sz w:val="18"/>
          <w:szCs w:val="18"/>
          <w:color w:val="auto"/>
        </w:rPr>
        <w:t>Capitalized terms not otherwise defined herein shall have the same meanings as set forth in the U.S. Plan. The terms set forth below shall have the following meanings:</w:t>
      </w:r>
    </w:p>
    <w:p>
      <w:pPr>
        <w:spacing w:after="0" w:line="197" w:lineRule="exact"/>
        <w:rPr>
          <w:sz w:val="20"/>
          <w:szCs w:val="20"/>
          <w:color w:val="auto"/>
        </w:rPr>
      </w:pPr>
    </w:p>
    <w:p>
      <w:pPr>
        <w:ind w:left="200" w:right="100" w:firstLine="444"/>
        <w:spacing w:after="0"/>
        <w:tabs>
          <w:tab w:leader="none" w:pos="1157" w:val="left"/>
        </w:tabs>
        <w:numPr>
          <w:ilvl w:val="1"/>
          <w:numId w:val="165"/>
        </w:numPr>
        <w:rPr>
          <w:rFonts w:ascii="Arial" w:cs="Arial" w:eastAsia="Arial" w:hAnsi="Arial"/>
          <w:sz w:val="18"/>
          <w:szCs w:val="18"/>
          <w:color w:val="auto"/>
        </w:rPr>
      </w:pPr>
      <w:r>
        <w:rPr>
          <w:rFonts w:ascii="Arial" w:cs="Arial" w:eastAsia="Arial" w:hAnsi="Arial"/>
          <w:sz w:val="18"/>
          <w:szCs w:val="18"/>
          <w:color w:val="auto"/>
        </w:rPr>
        <w:t>The term “Closed Period” applicable to French-qualified Options shall mean the specific periods as set forth in Section L. 225-177 of the French Commercial Code, as amended, during which French-qualified Options cannot be granted as described in Section II.1 below, including:</w:t>
      </w:r>
    </w:p>
    <w:p>
      <w:pPr>
        <w:spacing w:after="0" w:line="108" w:lineRule="exact"/>
        <w:rPr>
          <w:rFonts w:ascii="Arial" w:cs="Arial" w:eastAsia="Arial" w:hAnsi="Arial"/>
          <w:sz w:val="18"/>
          <w:szCs w:val="18"/>
          <w:color w:val="auto"/>
        </w:rPr>
      </w:pPr>
    </w:p>
    <w:p>
      <w:pPr>
        <w:ind w:left="1180" w:right="240" w:hanging="544"/>
        <w:spacing w:after="0" w:line="246" w:lineRule="auto"/>
        <w:tabs>
          <w:tab w:leader="none" w:pos="118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twenty (20) trading days following the issuance of a coupon granting the right to receive dividends or to purchase Shares of the Company;</w:t>
      </w:r>
    </w:p>
    <w:p>
      <w:pPr>
        <w:spacing w:after="0" w:line="102" w:lineRule="exact"/>
        <w:rPr>
          <w:rFonts w:ascii="Arial" w:cs="Arial" w:eastAsia="Arial" w:hAnsi="Arial"/>
          <w:sz w:val="18"/>
          <w:szCs w:val="18"/>
          <w:color w:val="auto"/>
        </w:rPr>
      </w:pPr>
    </w:p>
    <w:p>
      <w:pPr>
        <w:ind w:left="1180" w:right="380" w:hanging="544"/>
        <w:spacing w:after="0" w:line="246" w:lineRule="auto"/>
        <w:tabs>
          <w:tab w:leader="none" w:pos="118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ten (10) quotation days preceding the date on which the annual and intermediate consolidated financial statements or the annual and half-yearly accounts of the Company are made public, including the day of publication; or</w:t>
      </w:r>
    </w:p>
    <w:p>
      <w:pPr>
        <w:spacing w:after="0" w:line="102" w:lineRule="exact"/>
        <w:rPr>
          <w:rFonts w:ascii="Arial" w:cs="Arial" w:eastAsia="Arial" w:hAnsi="Arial"/>
          <w:sz w:val="18"/>
          <w:szCs w:val="18"/>
          <w:color w:val="auto"/>
        </w:rPr>
      </w:pPr>
    </w:p>
    <w:p>
      <w:pPr>
        <w:jc w:val="both"/>
        <w:ind w:left="1180" w:right="20" w:hanging="544"/>
        <w:spacing w:after="0"/>
        <w:tabs>
          <w:tab w:leader="none" w:pos="118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Any period during which the corporate management of the Company possesses confidential information within the meaning of Article 7 of the Regulation (EU) No 596/2014 of the European Parliament and of the Council of 16 April 2014 on market abuse (“Market Abuse Regulation”), until the date on which this information is made public.</w:t>
      </w:r>
    </w:p>
    <w:p>
      <w:pPr>
        <w:spacing w:after="0" w:line="203" w:lineRule="exact"/>
        <w:rPr>
          <w:sz w:val="20"/>
          <w:szCs w:val="20"/>
          <w:color w:val="auto"/>
        </w:rPr>
      </w:pPr>
    </w:p>
    <w:p>
      <w:pPr>
        <w:jc w:val="both"/>
        <w:ind w:left="200" w:firstLine="441"/>
        <w:spacing w:after="0"/>
        <w:rPr>
          <w:sz w:val="20"/>
          <w:szCs w:val="20"/>
          <w:color w:val="auto"/>
        </w:rPr>
      </w:pPr>
      <w:r>
        <w:rPr>
          <w:rFonts w:ascii="Arial" w:cs="Arial" w:eastAsia="Arial" w:hAnsi="Arial"/>
          <w:sz w:val="18"/>
          <w:szCs w:val="18"/>
          <w:color w:val="auto"/>
        </w:rPr>
        <w:t>The term “Closed Period” applicable to French-qualified RSUs shall mean the specific periods as set forth by Section L. 225-197-1 of the French Commercial Code as amended from time to time, during which the sale or transfer of Shares acquired at vesting of the French-qualified RSUs as described in Section III.1(b) below cannot be sold or transferred:</w:t>
      </w:r>
    </w:p>
    <w:p>
      <w:pPr>
        <w:spacing w:after="0" w:line="108" w:lineRule="exact"/>
        <w:rPr>
          <w:sz w:val="20"/>
          <w:szCs w:val="20"/>
          <w:color w:val="auto"/>
        </w:rPr>
      </w:pPr>
    </w:p>
    <w:p>
      <w:pPr>
        <w:ind w:left="1180" w:right="40" w:hanging="544"/>
        <w:spacing w:after="0" w:line="246" w:lineRule="auto"/>
        <w:tabs>
          <w:tab w:leader="none" w:pos="11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Thirty (30) calendar days before the announcement of an intermediate financial report or end-of-year report that the Company is required to make public.</w:t>
      </w:r>
    </w:p>
    <w:p>
      <w:pPr>
        <w:spacing w:after="0" w:line="129" w:lineRule="exact"/>
        <w:rPr>
          <w:sz w:val="20"/>
          <w:szCs w:val="20"/>
          <w:color w:val="auto"/>
        </w:rPr>
      </w:pPr>
    </w:p>
    <w:p>
      <w:pPr>
        <w:ind w:left="200"/>
        <w:spacing w:after="0"/>
        <w:tabs>
          <w:tab w:leader="none" w:pos="760" w:val="left"/>
        </w:tabs>
        <w:rPr>
          <w:sz w:val="20"/>
          <w:szCs w:val="20"/>
          <w:color w:val="auto"/>
        </w:rPr>
      </w:pPr>
      <w:r>
        <w:rPr>
          <w:rFonts w:ascii="Arial" w:cs="Arial" w:eastAsia="Arial" w:hAnsi="Arial"/>
          <w:sz w:val="18"/>
          <w:szCs w:val="18"/>
          <w:color w:val="999999"/>
        </w:rPr>
        <w:t>B-16</w:t>
      </w:r>
      <w:r>
        <w:rPr>
          <w:sz w:val="20"/>
          <w:szCs w:val="20"/>
          <w:color w:val="auto"/>
        </w:rPr>
        <w:tab/>
      </w:r>
      <w:r>
        <w:rPr>
          <w:rFonts w:ascii="Arial" w:cs="Arial" w:eastAsia="Arial" w:hAnsi="Arial"/>
          <w:sz w:val="14"/>
          <w:szCs w:val="14"/>
          <w:b w:val="1"/>
          <w:bCs w:val="1"/>
          <w:color w:val="052B82"/>
        </w:rPr>
        <w:t>Analog Devices, Inc.</w:t>
      </w:r>
    </w:p>
    <w:p>
      <w:pPr>
        <w:sectPr>
          <w:pgSz w:w="11900" w:h="16838" w:orient="portrait"/>
          <w:cols w:equalWidth="0" w:num="1">
            <w:col w:w="11200"/>
          </w:cols>
          <w:pgMar w:left="240" w:top="459" w:right="4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205740</wp:posOffset>
            </wp:positionV>
            <wp:extent cx="2649855" cy="13716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180" w:right="60" w:hanging="544"/>
        <w:spacing w:after="0" w:line="241" w:lineRule="auto"/>
        <w:tabs>
          <w:tab w:leader="none" w:pos="11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Any period during which the Chief Executive Officer (</w:t>
      </w:r>
      <w:r>
        <w:rPr>
          <w:rFonts w:ascii="Arial" w:cs="Arial" w:eastAsia="Arial" w:hAnsi="Arial"/>
          <w:sz w:val="18"/>
          <w:szCs w:val="18"/>
          <w:i w:val="1"/>
          <w:iCs w:val="1"/>
          <w:color w:val="auto"/>
        </w:rPr>
        <w:t>directeur général</w:t>
      </w:r>
      <w:r>
        <w:rPr>
          <w:rFonts w:ascii="Arial" w:cs="Arial" w:eastAsia="Arial" w:hAnsi="Arial"/>
          <w:sz w:val="18"/>
          <w:szCs w:val="18"/>
          <w:color w:val="auto"/>
        </w:rPr>
        <w:t>), any deputy chief executive officer (</w:t>
      </w:r>
      <w:r>
        <w:rPr>
          <w:rFonts w:ascii="Arial" w:cs="Arial" w:eastAsia="Arial" w:hAnsi="Arial"/>
          <w:sz w:val="18"/>
          <w:szCs w:val="18"/>
          <w:i w:val="1"/>
          <w:iCs w:val="1"/>
          <w:color w:val="auto"/>
        </w:rPr>
        <w:t>directeur général</w:t>
      </w:r>
      <w:r>
        <w:rPr>
          <w:rFonts w:ascii="Arial" w:cs="Arial" w:eastAsia="Arial" w:hAnsi="Arial"/>
          <w:sz w:val="18"/>
          <w:szCs w:val="18"/>
          <w:color w:val="auto"/>
        </w:rPr>
        <w:t xml:space="preserve"> </w:t>
      </w:r>
      <w:r>
        <w:rPr>
          <w:rFonts w:ascii="Arial" w:cs="Arial" w:eastAsia="Arial" w:hAnsi="Arial"/>
          <w:sz w:val="18"/>
          <w:szCs w:val="18"/>
          <w:i w:val="1"/>
          <w:iCs w:val="1"/>
          <w:color w:val="auto"/>
        </w:rPr>
        <w:t>délégué</w:t>
      </w:r>
      <w:r>
        <w:rPr>
          <w:rFonts w:ascii="Arial" w:cs="Arial" w:eastAsia="Arial" w:hAnsi="Arial"/>
          <w:sz w:val="18"/>
          <w:szCs w:val="18"/>
          <w:color w:val="auto"/>
        </w:rPr>
        <w:t>), or any member of the Board of Directors (</w:t>
      </w:r>
      <w:r>
        <w:rPr>
          <w:rFonts w:ascii="Arial" w:cs="Arial" w:eastAsia="Arial" w:hAnsi="Arial"/>
          <w:sz w:val="18"/>
          <w:szCs w:val="18"/>
          <w:i w:val="1"/>
          <w:iCs w:val="1"/>
          <w:color w:val="auto"/>
        </w:rPr>
        <w:t>conseil d’administration</w:t>
      </w:r>
      <w:r>
        <w:rPr>
          <w:rFonts w:ascii="Arial" w:cs="Arial" w:eastAsia="Arial" w:hAnsi="Arial"/>
          <w:sz w:val="18"/>
          <w:szCs w:val="18"/>
          <w:color w:val="auto"/>
        </w:rPr>
        <w:t>), the supervisory board (</w:t>
      </w:r>
      <w:r>
        <w:rPr>
          <w:rFonts w:ascii="Arial" w:cs="Arial" w:eastAsia="Arial" w:hAnsi="Arial"/>
          <w:sz w:val="18"/>
          <w:szCs w:val="18"/>
          <w:i w:val="1"/>
          <w:iCs w:val="1"/>
          <w:color w:val="auto"/>
        </w:rPr>
        <w:t>conseil de surveillance</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or the executive board (</w:t>
      </w:r>
      <w:r>
        <w:rPr>
          <w:rFonts w:ascii="Arial" w:cs="Arial" w:eastAsia="Arial" w:hAnsi="Arial"/>
          <w:sz w:val="18"/>
          <w:szCs w:val="18"/>
          <w:i w:val="1"/>
          <w:iCs w:val="1"/>
          <w:color w:val="auto"/>
        </w:rPr>
        <w:t>directoire</w:t>
      </w:r>
      <w:r>
        <w:rPr>
          <w:rFonts w:ascii="Arial" w:cs="Arial" w:eastAsia="Arial" w:hAnsi="Arial"/>
          <w:sz w:val="18"/>
          <w:szCs w:val="18"/>
          <w:color w:val="auto"/>
        </w:rPr>
        <w:t>) of the Company, or any employee possesses knowledge of inside information (within the meaning of Article 7 of the Regulation (EU) No 596/2014 of the European Parliament and of the Council of April 16, 2014 on market abuse (Market Abuse Regulation) and cancelling the Directive 2003/6/UE and Directives 2003/124/CE Parliament and 2004/72/CE of the Commission) which has not been disclosed to the public.</w:t>
      </w:r>
    </w:p>
    <w:p>
      <w:pPr>
        <w:spacing w:after="0" w:line="202" w:lineRule="exact"/>
        <w:rPr>
          <w:sz w:val="20"/>
          <w:szCs w:val="20"/>
          <w:color w:val="auto"/>
        </w:rPr>
      </w:pPr>
    </w:p>
    <w:p>
      <w:pPr>
        <w:ind w:left="200" w:right="280" w:firstLine="441"/>
        <w:spacing w:after="0" w:line="261" w:lineRule="auto"/>
        <w:rPr>
          <w:sz w:val="20"/>
          <w:szCs w:val="20"/>
          <w:color w:val="auto"/>
        </w:rPr>
      </w:pPr>
      <w:r>
        <w:rPr>
          <w:rFonts w:ascii="Arial" w:cs="Arial" w:eastAsia="Arial" w:hAnsi="Arial"/>
          <w:sz w:val="17"/>
          <w:szCs w:val="17"/>
          <w:color w:val="auto"/>
        </w:rPr>
        <w:t>If French law or regulations are amended after adoption of the French Sub-Plan to modify the definition and/or applicability of the Closed Periods to French-qualified Options and/or French-qualified RSUs, such amendments shall become applicable to any French-qualified Options and French-qualified RSUs granted under this French Sub-Plan, to the extent permitted or required under French law.</w:t>
      </w:r>
    </w:p>
    <w:p>
      <w:pPr>
        <w:spacing w:after="0" w:line="186" w:lineRule="exact"/>
        <w:rPr>
          <w:sz w:val="20"/>
          <w:szCs w:val="20"/>
          <w:color w:val="auto"/>
        </w:rPr>
      </w:pPr>
    </w:p>
    <w:p>
      <w:pPr>
        <w:ind w:left="200" w:right="40" w:firstLine="441"/>
        <w:spacing w:after="0"/>
        <w:rPr>
          <w:sz w:val="20"/>
          <w:szCs w:val="20"/>
          <w:color w:val="auto"/>
        </w:rPr>
      </w:pPr>
      <w:r>
        <w:rPr>
          <w:rFonts w:ascii="Arial" w:cs="Arial" w:eastAsia="Arial" w:hAnsi="Arial"/>
          <w:sz w:val="18"/>
          <w:szCs w:val="18"/>
          <w:color w:val="auto"/>
        </w:rPr>
        <w:t>For French-qualified Options only, if the Company grants options on a date during an applicable Closed Period, the Grant Date for French Participants shall be the first date following the expiration of the Closed Period, provided such date is not prohibited under the U.S. Plan rules.</w:t>
      </w:r>
    </w:p>
    <w:p>
      <w:pPr>
        <w:spacing w:after="0" w:line="203" w:lineRule="exact"/>
        <w:rPr>
          <w:sz w:val="20"/>
          <w:szCs w:val="20"/>
          <w:color w:val="auto"/>
        </w:rPr>
      </w:pPr>
    </w:p>
    <w:p>
      <w:pPr>
        <w:ind w:left="1160" w:hanging="516"/>
        <w:spacing w:after="0"/>
        <w:tabs>
          <w:tab w:leader="none" w:pos="1160" w:val="left"/>
        </w:tabs>
        <w:numPr>
          <w:ilvl w:val="2"/>
          <w:numId w:val="171"/>
        </w:numPr>
        <w:rPr>
          <w:rFonts w:ascii="Arial" w:cs="Arial" w:eastAsia="Arial" w:hAnsi="Arial"/>
          <w:sz w:val="18"/>
          <w:szCs w:val="18"/>
          <w:color w:val="auto"/>
        </w:rPr>
      </w:pPr>
      <w:r>
        <w:rPr>
          <w:rFonts w:ascii="Arial" w:cs="Arial" w:eastAsia="Arial" w:hAnsi="Arial"/>
          <w:sz w:val="18"/>
          <w:szCs w:val="18"/>
          <w:color w:val="auto"/>
        </w:rPr>
        <w:t>The term “Exercise Price” shall be the price to purchase each Share.</w:t>
      </w:r>
    </w:p>
    <w:p>
      <w:pPr>
        <w:spacing w:after="0" w:line="211" w:lineRule="exact"/>
        <w:rPr>
          <w:rFonts w:ascii="Arial" w:cs="Arial" w:eastAsia="Arial" w:hAnsi="Arial"/>
          <w:sz w:val="18"/>
          <w:szCs w:val="18"/>
          <w:color w:val="auto"/>
        </w:rPr>
      </w:pPr>
    </w:p>
    <w:p>
      <w:pPr>
        <w:ind w:left="200" w:firstLine="444"/>
        <w:spacing w:after="0" w:line="239" w:lineRule="auto"/>
        <w:tabs>
          <w:tab w:leader="none" w:pos="1147" w:val="left"/>
        </w:tabs>
        <w:numPr>
          <w:ilvl w:val="2"/>
          <w:numId w:val="171"/>
        </w:numPr>
        <w:rPr>
          <w:rFonts w:ascii="Arial" w:cs="Arial" w:eastAsia="Arial" w:hAnsi="Arial"/>
          <w:sz w:val="18"/>
          <w:szCs w:val="18"/>
          <w:color w:val="auto"/>
        </w:rPr>
      </w:pPr>
      <w:r>
        <w:rPr>
          <w:rFonts w:ascii="Arial" w:cs="Arial" w:eastAsia="Arial" w:hAnsi="Arial"/>
          <w:sz w:val="18"/>
          <w:szCs w:val="18"/>
          <w:color w:val="auto"/>
        </w:rPr>
        <w:t>The term “Disability” shall mean a disability as determined in categories 2 and 3 under Section L. 341-4 of the French Social Security Code, as amended, and subject to the fulfillment of related conditions and the applicable Award Agreement. To the extent a French Participant’s disability meets the requirements as defined in the applicable Award Agreement and not the requirements of Disability set forth herein, the French Participant may not be entitled to the favorable tax and social security treatment under the French Sub-Plan.</w:t>
      </w:r>
    </w:p>
    <w:p>
      <w:pPr>
        <w:spacing w:after="0" w:line="201" w:lineRule="exact"/>
        <w:rPr>
          <w:rFonts w:ascii="Arial" w:cs="Arial" w:eastAsia="Arial" w:hAnsi="Arial"/>
          <w:sz w:val="18"/>
          <w:szCs w:val="18"/>
          <w:color w:val="auto"/>
        </w:rPr>
      </w:pPr>
    </w:p>
    <w:p>
      <w:pPr>
        <w:ind w:left="200" w:right="40" w:firstLine="444"/>
        <w:spacing w:after="0" w:line="246" w:lineRule="auto"/>
        <w:tabs>
          <w:tab w:leader="none" w:pos="1157" w:val="left"/>
        </w:tabs>
        <w:numPr>
          <w:ilvl w:val="2"/>
          <w:numId w:val="171"/>
        </w:numPr>
        <w:rPr>
          <w:rFonts w:ascii="Arial" w:cs="Arial" w:eastAsia="Arial" w:hAnsi="Arial"/>
          <w:sz w:val="18"/>
          <w:szCs w:val="18"/>
          <w:color w:val="auto"/>
        </w:rPr>
      </w:pPr>
      <w:r>
        <w:rPr>
          <w:rFonts w:ascii="Arial" w:cs="Arial" w:eastAsia="Arial" w:hAnsi="Arial"/>
          <w:sz w:val="18"/>
          <w:szCs w:val="18"/>
          <w:color w:val="auto"/>
        </w:rPr>
        <w:t>The term “Forced Retirement” shall mean forced retirement as determined under Section L. 1237-5 of the French Labor Code, as amended, and subject to the fulfillment of related conditions.</w:t>
      </w:r>
    </w:p>
    <w:p>
      <w:pPr>
        <w:spacing w:after="0" w:line="192" w:lineRule="exact"/>
        <w:rPr>
          <w:rFonts w:ascii="Arial" w:cs="Arial" w:eastAsia="Arial" w:hAnsi="Arial"/>
          <w:sz w:val="18"/>
          <w:szCs w:val="18"/>
          <w:color w:val="auto"/>
        </w:rPr>
      </w:pPr>
    </w:p>
    <w:p>
      <w:pPr>
        <w:ind w:left="1160" w:hanging="516"/>
        <w:spacing w:after="0"/>
        <w:tabs>
          <w:tab w:leader="none" w:pos="1160" w:val="left"/>
        </w:tabs>
        <w:numPr>
          <w:ilvl w:val="2"/>
          <w:numId w:val="171"/>
        </w:numPr>
        <w:rPr>
          <w:rFonts w:ascii="Arial" w:cs="Arial" w:eastAsia="Arial" w:hAnsi="Arial"/>
          <w:sz w:val="18"/>
          <w:szCs w:val="18"/>
          <w:color w:val="auto"/>
        </w:rPr>
      </w:pPr>
      <w:r>
        <w:rPr>
          <w:rFonts w:ascii="Arial" w:cs="Arial" w:eastAsia="Arial" w:hAnsi="Arial"/>
          <w:sz w:val="18"/>
          <w:szCs w:val="18"/>
          <w:color w:val="auto"/>
        </w:rPr>
        <w:t>The term “Grant Date” shall mean the date on which the Committee both (i) designates the French Participants, and</w:t>
      </w:r>
    </w:p>
    <w:p>
      <w:pPr>
        <w:ind w:left="200" w:right="80" w:firstLine="4"/>
        <w:spacing w:after="0" w:line="239" w:lineRule="auto"/>
        <w:tabs>
          <w:tab w:leader="none" w:pos="45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specifies the terms and conditions of the French-qualified Options or French-qualified RSUs, such as the number of Shares subject to the French-qualified Options or French-qualified RSUs, the conditions for vesting of the French-qualified Options or French-qualified RSUs, the conditions for exercising the French-qualified Options and any restrictions on the sale of Shares subject to the French-qualified Options or French-qualified RSUs.</w:t>
      </w:r>
    </w:p>
    <w:p>
      <w:pPr>
        <w:spacing w:after="0" w:line="201" w:lineRule="exact"/>
        <w:rPr>
          <w:rFonts w:ascii="Arial" w:cs="Arial" w:eastAsia="Arial" w:hAnsi="Arial"/>
          <w:sz w:val="18"/>
          <w:szCs w:val="18"/>
          <w:color w:val="auto"/>
        </w:rPr>
      </w:pPr>
    </w:p>
    <w:p>
      <w:pPr>
        <w:ind w:left="1160" w:hanging="516"/>
        <w:spacing w:after="0"/>
        <w:tabs>
          <w:tab w:leader="none" w:pos="1160" w:val="left"/>
        </w:tabs>
        <w:numPr>
          <w:ilvl w:val="2"/>
          <w:numId w:val="172"/>
        </w:numPr>
        <w:rPr>
          <w:rFonts w:ascii="Arial" w:cs="Arial" w:eastAsia="Arial" w:hAnsi="Arial"/>
          <w:sz w:val="18"/>
          <w:szCs w:val="18"/>
          <w:color w:val="auto"/>
        </w:rPr>
      </w:pPr>
      <w:r>
        <w:rPr>
          <w:rFonts w:ascii="Arial" w:cs="Arial" w:eastAsia="Arial" w:hAnsi="Arial"/>
          <w:sz w:val="18"/>
          <w:szCs w:val="18"/>
          <w:color w:val="auto"/>
        </w:rPr>
        <w:t>The term “Options” shall, in addition to the meaning set forth in the U.S. Plan under Section 5(a), include the following:</w:t>
      </w:r>
    </w:p>
    <w:p>
      <w:pPr>
        <w:spacing w:after="0" w:line="117" w:lineRule="exact"/>
        <w:rPr>
          <w:rFonts w:ascii="Arial" w:cs="Arial" w:eastAsia="Arial" w:hAnsi="Arial"/>
          <w:sz w:val="18"/>
          <w:szCs w:val="18"/>
          <w:color w:val="auto"/>
        </w:rPr>
      </w:pPr>
    </w:p>
    <w:p>
      <w:pPr>
        <w:ind w:left="1180" w:right="400" w:hanging="544"/>
        <w:spacing w:after="0" w:line="246" w:lineRule="auto"/>
        <w:tabs>
          <w:tab w:leader="none" w:pos="1180" w:val="left"/>
        </w:tabs>
        <w:numPr>
          <w:ilvl w:val="2"/>
          <w:numId w:val="173"/>
        </w:numPr>
        <w:rPr>
          <w:rFonts w:ascii="Arial" w:cs="Arial" w:eastAsia="Arial" w:hAnsi="Arial"/>
          <w:sz w:val="18"/>
          <w:szCs w:val="18"/>
          <w:color w:val="auto"/>
        </w:rPr>
      </w:pPr>
      <w:r>
        <w:rPr>
          <w:rFonts w:ascii="Arial" w:cs="Arial" w:eastAsia="Arial" w:hAnsi="Arial"/>
          <w:sz w:val="18"/>
          <w:szCs w:val="18"/>
          <w:color w:val="auto"/>
        </w:rPr>
        <w:t>purchase options, which are rights to acquire Shares repurchased by the Company prior to the date on which the Options become exercisable; or</w:t>
      </w:r>
    </w:p>
    <w:p>
      <w:pPr>
        <w:spacing w:after="0" w:line="102" w:lineRule="exact"/>
        <w:rPr>
          <w:rFonts w:ascii="Arial" w:cs="Arial" w:eastAsia="Arial" w:hAnsi="Arial"/>
          <w:sz w:val="18"/>
          <w:szCs w:val="18"/>
          <w:color w:val="auto"/>
        </w:rPr>
      </w:pPr>
    </w:p>
    <w:p>
      <w:pPr>
        <w:ind w:left="1180" w:hanging="544"/>
        <w:spacing w:after="0"/>
        <w:tabs>
          <w:tab w:leader="none" w:pos="1180" w:val="left"/>
        </w:tabs>
        <w:numPr>
          <w:ilvl w:val="2"/>
          <w:numId w:val="174"/>
        </w:numPr>
        <w:rPr>
          <w:rFonts w:ascii="Arial" w:cs="Arial" w:eastAsia="Arial" w:hAnsi="Arial"/>
          <w:sz w:val="18"/>
          <w:szCs w:val="18"/>
          <w:color w:val="auto"/>
        </w:rPr>
      </w:pPr>
      <w:r>
        <w:rPr>
          <w:rFonts w:ascii="Arial" w:cs="Arial" w:eastAsia="Arial" w:hAnsi="Arial"/>
          <w:sz w:val="18"/>
          <w:szCs w:val="18"/>
          <w:color w:val="auto"/>
        </w:rPr>
        <w:t>subscription options, which are rights to subscribe newly-issued Shares.</w:t>
      </w:r>
    </w:p>
    <w:p>
      <w:pPr>
        <w:spacing w:after="0" w:line="211" w:lineRule="exact"/>
        <w:rPr>
          <w:rFonts w:ascii="Arial" w:cs="Arial" w:eastAsia="Arial" w:hAnsi="Arial"/>
          <w:sz w:val="18"/>
          <w:szCs w:val="18"/>
          <w:color w:val="auto"/>
        </w:rPr>
      </w:pPr>
    </w:p>
    <w:p>
      <w:pPr>
        <w:ind w:left="200" w:right="100" w:firstLine="444"/>
        <w:spacing w:after="0" w:line="238" w:lineRule="auto"/>
        <w:tabs>
          <w:tab w:leader="none" w:pos="1157" w:val="left"/>
        </w:tabs>
        <w:numPr>
          <w:ilvl w:val="2"/>
          <w:numId w:val="175"/>
        </w:numPr>
        <w:rPr>
          <w:rFonts w:ascii="Arial" w:cs="Arial" w:eastAsia="Arial" w:hAnsi="Arial"/>
          <w:sz w:val="18"/>
          <w:szCs w:val="18"/>
          <w:color w:val="auto"/>
        </w:rPr>
      </w:pPr>
      <w:r>
        <w:rPr>
          <w:rFonts w:ascii="Arial" w:cs="Arial" w:eastAsia="Arial" w:hAnsi="Arial"/>
          <w:sz w:val="18"/>
          <w:szCs w:val="18"/>
          <w:color w:val="auto"/>
        </w:rPr>
        <w:t>The term “RSU” shall mean, in addition to the meaning set forth under Section 7(a) in the U.S. Plan, a promise by the Company to issue to the French Participant, at a future date, at no cash consideration, a Share for each unit granted to a French Participant, provided that any conditions established by the Committee for the vesting restrictions with respect to such unit have been satisfied and for which any dividend and voting rights attach only upon the issuance of Shares. For the avoidance of doubt, RSUs may be subject to performance-based vesting conditions, as set forth in Section 9 of the U.S. Plan.</w:t>
      </w:r>
    </w:p>
    <w:p>
      <w:pPr>
        <w:spacing w:after="0" w:line="202" w:lineRule="exact"/>
        <w:rPr>
          <w:rFonts w:ascii="Arial" w:cs="Arial" w:eastAsia="Arial" w:hAnsi="Arial"/>
          <w:sz w:val="18"/>
          <w:szCs w:val="18"/>
          <w:color w:val="auto"/>
        </w:rPr>
      </w:pPr>
    </w:p>
    <w:p>
      <w:pPr>
        <w:ind w:left="200" w:right="460" w:firstLine="444"/>
        <w:spacing w:after="0" w:line="246" w:lineRule="auto"/>
        <w:tabs>
          <w:tab w:leader="none" w:pos="1157" w:val="left"/>
        </w:tabs>
        <w:numPr>
          <w:ilvl w:val="2"/>
          <w:numId w:val="175"/>
        </w:numPr>
        <w:rPr>
          <w:rFonts w:ascii="Arial" w:cs="Arial" w:eastAsia="Arial" w:hAnsi="Arial"/>
          <w:sz w:val="18"/>
          <w:szCs w:val="18"/>
          <w:color w:val="auto"/>
        </w:rPr>
      </w:pPr>
      <w:r>
        <w:rPr>
          <w:rFonts w:ascii="Arial" w:cs="Arial" w:eastAsia="Arial" w:hAnsi="Arial"/>
          <w:sz w:val="18"/>
          <w:szCs w:val="18"/>
          <w:color w:val="auto"/>
        </w:rPr>
        <w:t>The term “Vesting Date” shall mean the relevant date on which RSUs are vested, as specified by the Committee, and the French Participants are entitled to receive the Shares underlying the RSUs for no cash consideration.</w:t>
      </w:r>
    </w:p>
    <w:p>
      <w:pPr>
        <w:spacing w:after="0" w:line="129" w:lineRule="exact"/>
        <w:rPr>
          <w:sz w:val="20"/>
          <w:szCs w:val="20"/>
          <w:color w:val="auto"/>
        </w:rPr>
      </w:pPr>
    </w:p>
    <w:p>
      <w:pPr>
        <w:jc w:val="right"/>
        <w:spacing w:after="0"/>
        <w:tabs>
          <w:tab w:leader="none" w:pos="360" w:val="left"/>
        </w:tabs>
        <w:rPr>
          <w:sz w:val="20"/>
          <w:szCs w:val="20"/>
          <w:color w:val="auto"/>
        </w:rPr>
      </w:pPr>
      <w:r>
        <w:rPr>
          <w:rFonts w:ascii="Arial" w:cs="Arial" w:eastAsia="Arial" w:hAnsi="Arial"/>
          <w:sz w:val="14"/>
          <w:szCs w:val="14"/>
          <w:b w:val="1"/>
          <w:bCs w:val="1"/>
          <w:color w:val="052B82"/>
        </w:rPr>
        <w:t>2020 Proxy Statement</w:t>
      </w:r>
      <w:r>
        <w:rPr>
          <w:sz w:val="20"/>
          <w:szCs w:val="20"/>
          <w:color w:val="auto"/>
        </w:rPr>
        <w:tab/>
      </w:r>
      <w:r>
        <w:rPr>
          <w:rFonts w:ascii="Arial" w:cs="Arial" w:eastAsia="Arial" w:hAnsi="Arial"/>
          <w:sz w:val="17"/>
          <w:szCs w:val="17"/>
          <w:color w:val="999999"/>
        </w:rPr>
        <w:t>B-17</w:t>
      </w:r>
    </w:p>
    <w:p>
      <w:pPr>
        <w:sectPr>
          <w:pgSz w:w="11900" w:h="16838" w:orient="portrait"/>
          <w:cols w:equalWidth="0" w:num="1">
            <w:col w:w="11220"/>
          </w:cols>
          <w:pgMar w:left="240" w:top="459" w:right="4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2649855" cy="13716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640" w:hanging="436"/>
        <w:spacing w:after="0"/>
        <w:tabs>
          <w:tab w:leader="none" w:pos="640"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Eligibility</w:t>
      </w:r>
    </w:p>
    <w:p>
      <w:pPr>
        <w:spacing w:after="0" w:line="104" w:lineRule="exact"/>
        <w:rPr>
          <w:sz w:val="20"/>
          <w:szCs w:val="20"/>
          <w:color w:val="auto"/>
        </w:rPr>
      </w:pPr>
    </w:p>
    <w:p>
      <w:pPr>
        <w:ind w:left="200" w:right="160" w:firstLine="441"/>
        <w:spacing w:after="0"/>
        <w:rPr>
          <w:sz w:val="20"/>
          <w:szCs w:val="20"/>
          <w:color w:val="auto"/>
        </w:rPr>
      </w:pPr>
      <w:r>
        <w:rPr>
          <w:rFonts w:ascii="Arial" w:cs="Arial" w:eastAsia="Arial" w:hAnsi="Arial"/>
          <w:sz w:val="18"/>
          <w:szCs w:val="18"/>
          <w:color w:val="auto"/>
        </w:rPr>
        <w:t>Notwithstanding any other term of this French Sub-Plan, French-qualified Options and French-Qualified RSUs may be granted only to employees or corporate directors of the French Subsidiaries who hold less than ten percent (10%) of the outstanding Shares of the Company and who otherwise satisfy the eligibility conditions of Section 2 of the U.S. Plan.</w:t>
      </w:r>
    </w:p>
    <w:p>
      <w:pPr>
        <w:spacing w:after="0" w:line="203" w:lineRule="exact"/>
        <w:rPr>
          <w:sz w:val="20"/>
          <w:szCs w:val="20"/>
          <w:color w:val="auto"/>
        </w:rPr>
      </w:pPr>
    </w:p>
    <w:p>
      <w:pPr>
        <w:ind w:left="200" w:right="60" w:firstLine="441"/>
        <w:spacing w:after="0" w:line="238" w:lineRule="auto"/>
        <w:rPr>
          <w:sz w:val="20"/>
          <w:szCs w:val="20"/>
          <w:color w:val="auto"/>
        </w:rPr>
      </w:pPr>
      <w:r>
        <w:rPr>
          <w:rFonts w:ascii="Arial" w:cs="Arial" w:eastAsia="Arial" w:hAnsi="Arial"/>
          <w:sz w:val="18"/>
          <w:szCs w:val="18"/>
          <w:color w:val="auto"/>
        </w:rPr>
        <w:t>Subject to the paragraph below, any French Participant who, on the Grant Date of the Option and/or RSU, and to the extent required under French law, is employed under the terms and conditions of an employment contract (“contrat de travail”) by a French Subsidiary or who is a corporate officer of a French Subsidiary shall be eligible to receive, at the discretion of the Committee, French-qualified Options and/or French-qualified RSUs under this French Sub-Plan, provided he or she also satisfies the eligibility conditions of Section 2 of the U.S. Plan.</w:t>
      </w:r>
    </w:p>
    <w:p>
      <w:pPr>
        <w:spacing w:after="0" w:line="203" w:lineRule="exact"/>
        <w:rPr>
          <w:sz w:val="20"/>
          <w:szCs w:val="20"/>
          <w:color w:val="auto"/>
        </w:rPr>
      </w:pPr>
    </w:p>
    <w:p>
      <w:pPr>
        <w:ind w:left="200" w:right="240" w:firstLine="441"/>
        <w:spacing w:after="0" w:line="261" w:lineRule="auto"/>
        <w:rPr>
          <w:sz w:val="20"/>
          <w:szCs w:val="20"/>
          <w:color w:val="auto"/>
        </w:rPr>
      </w:pPr>
      <w:r>
        <w:rPr>
          <w:rFonts w:ascii="Arial" w:cs="Arial" w:eastAsia="Arial" w:hAnsi="Arial"/>
          <w:sz w:val="17"/>
          <w:szCs w:val="17"/>
          <w:color w:val="auto"/>
        </w:rPr>
        <w:t xml:space="preserve">French-qualified Options and French-qualified RSUs may not be issued to corporate executives of French Subsidiaries, other than the managing directors </w:t>
      </w:r>
      <w:r>
        <w:rPr>
          <w:rFonts w:ascii="Arial" w:cs="Arial" w:eastAsia="Arial" w:hAnsi="Arial"/>
          <w:sz w:val="17"/>
          <w:szCs w:val="17"/>
          <w:i w:val="1"/>
          <w:iCs w:val="1"/>
          <w:color w:val="auto"/>
        </w:rPr>
        <w:t>(Président du Conseil d’Administration, Directeur Général, Directeur Général Délégué, Membre du Directoire,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Gérant de Sociétés par actions) </w:t>
      </w:r>
      <w:r>
        <w:rPr>
          <w:rFonts w:ascii="Arial" w:cs="Arial" w:eastAsia="Arial" w:hAnsi="Arial"/>
          <w:sz w:val="17"/>
          <w:szCs w:val="17"/>
          <w:color w:val="auto"/>
        </w:rPr>
        <w:t>unless the corporate executive is an employee of a French Subsidiary, as defined by French law.</w:t>
      </w:r>
    </w:p>
    <w:p>
      <w:pPr>
        <w:spacing w:after="0" w:line="335" w:lineRule="exact"/>
        <w:rPr>
          <w:sz w:val="20"/>
          <w:szCs w:val="20"/>
          <w:color w:val="auto"/>
        </w:rPr>
      </w:pPr>
    </w:p>
    <w:p>
      <w:pPr>
        <w:ind w:left="640" w:hanging="436"/>
        <w:spacing w:after="0"/>
        <w:tabs>
          <w:tab w:leader="none" w:pos="640"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Employment Rights</w:t>
      </w:r>
    </w:p>
    <w:p>
      <w:pPr>
        <w:spacing w:after="0" w:line="104" w:lineRule="exact"/>
        <w:rPr>
          <w:sz w:val="20"/>
          <w:szCs w:val="20"/>
          <w:color w:val="auto"/>
        </w:rPr>
      </w:pPr>
    </w:p>
    <w:p>
      <w:pPr>
        <w:jc w:val="both"/>
        <w:ind w:left="200" w:right="320" w:firstLine="441"/>
        <w:spacing w:after="0" w:line="275" w:lineRule="auto"/>
        <w:rPr>
          <w:sz w:val="20"/>
          <w:szCs w:val="20"/>
          <w:color w:val="auto"/>
        </w:rPr>
      </w:pPr>
      <w:r>
        <w:rPr>
          <w:rFonts w:ascii="Arial" w:cs="Arial" w:eastAsia="Arial" w:hAnsi="Arial"/>
          <w:sz w:val="17"/>
          <w:szCs w:val="17"/>
          <w:color w:val="auto"/>
        </w:rPr>
        <w:t>The adoption of this French Sub-Plan shall not confer upon the French Participant, or any employees of a French Subsidiary, any employment rights and shall not be construed as a part of any employment contracts that a French Subsidiary has with its employees.</w:t>
      </w:r>
    </w:p>
    <w:p>
      <w:pPr>
        <w:spacing w:after="0" w:line="322" w:lineRule="exact"/>
        <w:rPr>
          <w:sz w:val="20"/>
          <w:szCs w:val="20"/>
          <w:color w:val="auto"/>
        </w:rPr>
      </w:pPr>
    </w:p>
    <w:p>
      <w:pPr>
        <w:ind w:left="640" w:hanging="436"/>
        <w:spacing w:after="0"/>
        <w:tabs>
          <w:tab w:leader="none" w:pos="640"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Delivery of Shares Only</w:t>
      </w:r>
    </w:p>
    <w:p>
      <w:pPr>
        <w:spacing w:after="0" w:line="104" w:lineRule="exact"/>
        <w:rPr>
          <w:sz w:val="20"/>
          <w:szCs w:val="20"/>
          <w:color w:val="auto"/>
        </w:rPr>
      </w:pPr>
    </w:p>
    <w:p>
      <w:pPr>
        <w:ind w:left="200" w:right="460" w:firstLine="441"/>
        <w:spacing w:after="0" w:line="246" w:lineRule="auto"/>
        <w:rPr>
          <w:sz w:val="20"/>
          <w:szCs w:val="20"/>
          <w:color w:val="auto"/>
        </w:rPr>
      </w:pPr>
      <w:r>
        <w:rPr>
          <w:rFonts w:ascii="Arial" w:cs="Arial" w:eastAsia="Arial" w:hAnsi="Arial"/>
          <w:sz w:val="18"/>
          <w:szCs w:val="18"/>
          <w:color w:val="auto"/>
        </w:rPr>
        <w:t>Only Shares and not cash payments may be delivered to any French Participant as a result of the French-qualified Options and French-qualified RSUs granted under this French Sub-Plan.</w:t>
      </w:r>
    </w:p>
    <w:p>
      <w:pPr>
        <w:spacing w:after="0" w:line="345" w:lineRule="exact"/>
        <w:rPr>
          <w:sz w:val="20"/>
          <w:szCs w:val="20"/>
          <w:color w:val="auto"/>
        </w:rPr>
      </w:pPr>
    </w:p>
    <w:p>
      <w:pPr>
        <w:ind w:left="640" w:hanging="436"/>
        <w:spacing w:after="0"/>
        <w:tabs>
          <w:tab w:leader="none" w:pos="640"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Non-Transferability</w:t>
      </w:r>
    </w:p>
    <w:p>
      <w:pPr>
        <w:spacing w:after="0" w:line="104" w:lineRule="exact"/>
        <w:rPr>
          <w:sz w:val="20"/>
          <w:szCs w:val="20"/>
          <w:color w:val="auto"/>
        </w:rPr>
      </w:pPr>
    </w:p>
    <w:p>
      <w:pPr>
        <w:ind w:left="200" w:firstLine="441"/>
        <w:spacing w:after="0" w:line="238" w:lineRule="auto"/>
        <w:rPr>
          <w:sz w:val="20"/>
          <w:szCs w:val="20"/>
          <w:color w:val="auto"/>
        </w:rPr>
      </w:pPr>
      <w:r>
        <w:rPr>
          <w:rFonts w:ascii="Arial" w:cs="Arial" w:eastAsia="Arial" w:hAnsi="Arial"/>
          <w:sz w:val="18"/>
          <w:szCs w:val="18"/>
          <w:color w:val="auto"/>
        </w:rPr>
        <w:t>Notwithstanding any provision in the U.S. Plan to the contrary and, except in the case of death, French-qualified Options and French-qualified RSUs cannot be transferred to any third party. In addition, during the lifetime of the French Participant, the French-qualified Options are exercisable only by the French Participant, subject to Sections II.3(c) and II.4 below. The Shares underlying the French-qualified RSUs may not be transferred to any third party and shall be issued only to the French Participant during his or her lifetime, subject to Sections III.1(a) and III.3 below.</w:t>
      </w:r>
    </w:p>
    <w:p>
      <w:pPr>
        <w:spacing w:after="0" w:line="351" w:lineRule="exact"/>
        <w:rPr>
          <w:sz w:val="20"/>
          <w:szCs w:val="20"/>
          <w:color w:val="auto"/>
        </w:rPr>
      </w:pPr>
    </w:p>
    <w:p>
      <w:pPr>
        <w:ind w:left="640" w:hanging="436"/>
        <w:spacing w:after="0"/>
        <w:tabs>
          <w:tab w:leader="none" w:pos="640"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Disqualification of French-qualified Options and French-qualified RSUs</w:t>
      </w:r>
    </w:p>
    <w:p>
      <w:pPr>
        <w:spacing w:after="0" w:line="104" w:lineRule="exact"/>
        <w:rPr>
          <w:sz w:val="20"/>
          <w:szCs w:val="20"/>
          <w:color w:val="auto"/>
        </w:rPr>
      </w:pPr>
    </w:p>
    <w:p>
      <w:pPr>
        <w:ind w:left="200" w:right="60" w:firstLine="441"/>
        <w:spacing w:after="0"/>
        <w:rPr>
          <w:sz w:val="20"/>
          <w:szCs w:val="20"/>
          <w:color w:val="auto"/>
        </w:rPr>
      </w:pPr>
      <w:r>
        <w:rPr>
          <w:rFonts w:ascii="Arial" w:cs="Arial" w:eastAsia="Arial" w:hAnsi="Arial"/>
          <w:sz w:val="18"/>
          <w:szCs w:val="18"/>
          <w:color w:val="auto"/>
        </w:rPr>
        <w:t>In the event changes are made to the terms and conditions of the French-qualified Options and/or French-qualified RSUs due to any requirements under the applicable laws, or by decision of the Company’s shareholders, the Board or the Committee, the Options and/or RSUs may no longer qualify as French-qualified Options and French-qualified RSUs.</w:t>
      </w:r>
    </w:p>
    <w:p>
      <w:pPr>
        <w:spacing w:after="0" w:line="203" w:lineRule="exact"/>
        <w:rPr>
          <w:sz w:val="20"/>
          <w:szCs w:val="20"/>
          <w:color w:val="auto"/>
        </w:rPr>
      </w:pPr>
    </w:p>
    <w:p>
      <w:pPr>
        <w:ind w:left="200" w:right="260" w:firstLine="441"/>
        <w:spacing w:after="0" w:line="237" w:lineRule="auto"/>
        <w:rPr>
          <w:sz w:val="20"/>
          <w:szCs w:val="20"/>
          <w:color w:val="auto"/>
        </w:rPr>
      </w:pPr>
      <w:r>
        <w:rPr>
          <w:rFonts w:ascii="Arial" w:cs="Arial" w:eastAsia="Arial" w:hAnsi="Arial"/>
          <w:sz w:val="18"/>
          <w:szCs w:val="18"/>
          <w:color w:val="auto"/>
        </w:rPr>
        <w:t>If the Options and/or RSUs no longer qualify as French-qualified Options and/or French-qualified RSUs, the Committee may, in its sole discretion, determine to lift, shorten or terminate certain restrictions applicable to the vesting or exercisability of the Options, the vesting of the RSUs or to the sale of the Shares underlying the Options and/or RSUs which have been imposed under this French Sub-Plan or in the applicable Award Agreement delivered to the French Participant in order to achieve the favorable tax and social security treatment applicable to French-qualified Options and/or French-qualified RSUs. Should the awards no longer be qualified the French Participant shall be liable to French tax and social security to the extent permissible under French law.</w:t>
      </w:r>
    </w:p>
    <w:p>
      <w:pPr>
        <w:spacing w:after="0" w:line="138" w:lineRule="exact"/>
        <w:rPr>
          <w:sz w:val="20"/>
          <w:szCs w:val="20"/>
          <w:color w:val="auto"/>
        </w:rPr>
      </w:pPr>
    </w:p>
    <w:p>
      <w:pPr>
        <w:ind w:left="200"/>
        <w:spacing w:after="0"/>
        <w:tabs>
          <w:tab w:leader="none" w:pos="760" w:val="left"/>
        </w:tabs>
        <w:rPr>
          <w:sz w:val="20"/>
          <w:szCs w:val="20"/>
          <w:color w:val="auto"/>
        </w:rPr>
      </w:pPr>
      <w:r>
        <w:rPr>
          <w:rFonts w:ascii="Arial" w:cs="Arial" w:eastAsia="Arial" w:hAnsi="Arial"/>
          <w:sz w:val="18"/>
          <w:szCs w:val="18"/>
          <w:color w:val="999999"/>
        </w:rPr>
        <w:t>B-18</w:t>
      </w:r>
      <w:r>
        <w:rPr>
          <w:sz w:val="20"/>
          <w:szCs w:val="20"/>
          <w:color w:val="auto"/>
        </w:rPr>
        <w:tab/>
      </w:r>
      <w:r>
        <w:rPr>
          <w:rFonts w:ascii="Arial" w:cs="Arial" w:eastAsia="Arial" w:hAnsi="Arial"/>
          <w:sz w:val="14"/>
          <w:szCs w:val="14"/>
          <w:b w:val="1"/>
          <w:bCs w:val="1"/>
          <w:color w:val="052B82"/>
        </w:rPr>
        <w:t>Analog Devices, Inc.</w:t>
      </w:r>
    </w:p>
    <w:p>
      <w:pPr>
        <w:sectPr>
          <w:pgSz w:w="11900" w:h="16838" w:orient="portrait"/>
          <w:cols w:equalWidth="0" w:num="1">
            <w:col w:w="11220"/>
          </w:cols>
          <w:pgMar w:left="240" w:top="459" w:right="4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205740</wp:posOffset>
            </wp:positionV>
            <wp:extent cx="2649855" cy="13716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640" w:hanging="436"/>
        <w:spacing w:after="0"/>
        <w:tabs>
          <w:tab w:leader="none" w:pos="640"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Amendments</w:t>
      </w:r>
    </w:p>
    <w:p>
      <w:pPr>
        <w:spacing w:after="0" w:line="9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Subject to the terms of the U.S. Plan, the Board or Committee reserves the right to amend or terminate the French Sub-Plan at any</w:t>
      </w:r>
    </w:p>
    <w:p>
      <w:pPr>
        <w:ind w:left="200"/>
        <w:spacing w:after="0"/>
        <w:rPr>
          <w:sz w:val="20"/>
          <w:szCs w:val="20"/>
          <w:color w:val="auto"/>
        </w:rPr>
      </w:pPr>
      <w:r>
        <w:rPr>
          <w:rFonts w:ascii="Arial" w:cs="Arial" w:eastAsia="Arial" w:hAnsi="Arial"/>
          <w:sz w:val="18"/>
          <w:szCs w:val="18"/>
          <w:color w:val="auto"/>
        </w:rPr>
        <w:t>time.</w:t>
      </w:r>
    </w:p>
    <w:p>
      <w:pPr>
        <w:spacing w:after="0" w:line="360" w:lineRule="exact"/>
        <w:rPr>
          <w:sz w:val="20"/>
          <w:szCs w:val="20"/>
          <w:color w:val="auto"/>
        </w:rPr>
      </w:pPr>
    </w:p>
    <w:p>
      <w:pPr>
        <w:ind w:left="640" w:hanging="436"/>
        <w:spacing w:after="0"/>
        <w:tabs>
          <w:tab w:leader="none" w:pos="640"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FRENCH-QUALIFIED OPTIONS</w:t>
      </w:r>
    </w:p>
    <w:p>
      <w:pPr>
        <w:spacing w:after="0" w:line="117" w:lineRule="exact"/>
        <w:rPr>
          <w:sz w:val="20"/>
          <w:szCs w:val="20"/>
          <w:color w:val="auto"/>
        </w:rPr>
      </w:pPr>
    </w:p>
    <w:p>
      <w:pPr>
        <w:ind w:left="640" w:hanging="436"/>
        <w:spacing w:after="0"/>
        <w:tabs>
          <w:tab w:leader="none" w:pos="640"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Closed Period</w:t>
      </w:r>
    </w:p>
    <w:p>
      <w:pPr>
        <w:spacing w:after="0" w:line="104" w:lineRule="exact"/>
        <w:rPr>
          <w:sz w:val="20"/>
          <w:szCs w:val="20"/>
          <w:color w:val="auto"/>
        </w:rPr>
      </w:pPr>
    </w:p>
    <w:p>
      <w:pPr>
        <w:ind w:left="200" w:right="180" w:firstLine="441"/>
        <w:spacing w:after="0" w:line="239" w:lineRule="auto"/>
        <w:rPr>
          <w:sz w:val="20"/>
          <w:szCs w:val="20"/>
          <w:color w:val="auto"/>
        </w:rPr>
      </w:pPr>
      <w:r>
        <w:rPr>
          <w:rFonts w:ascii="Arial" w:cs="Arial" w:eastAsia="Arial" w:hAnsi="Arial"/>
          <w:sz w:val="18"/>
          <w:szCs w:val="18"/>
          <w:color w:val="auto"/>
        </w:rPr>
        <w:t>French-qualified Options may not be granted during a Closed Period to the extent such Closed Periods are applicable to French-qualified Options granted by the Company. If the Company grants options on a date during an applicable Closed Period, the Grant Date for French Participants shall be the first date following the expiration of the Closed Period, provided such date is not prohibited under the U.S. Plan rules.</w:t>
      </w:r>
    </w:p>
    <w:p>
      <w:pPr>
        <w:spacing w:after="0" w:line="350" w:lineRule="exact"/>
        <w:rPr>
          <w:sz w:val="20"/>
          <w:szCs w:val="20"/>
          <w:color w:val="auto"/>
        </w:rPr>
      </w:pPr>
    </w:p>
    <w:p>
      <w:pPr>
        <w:ind w:left="640" w:hanging="436"/>
        <w:spacing w:after="0"/>
        <w:tabs>
          <w:tab w:leader="none" w:pos="640" w:val="left"/>
        </w:tabs>
        <w:numPr>
          <w:ilvl w:val="0"/>
          <w:numId w:val="184"/>
        </w:numPr>
        <w:rPr>
          <w:rFonts w:ascii="Arial" w:cs="Arial" w:eastAsia="Arial" w:hAnsi="Arial"/>
          <w:sz w:val="18"/>
          <w:szCs w:val="18"/>
          <w:color w:val="auto"/>
        </w:rPr>
      </w:pPr>
      <w:r>
        <w:rPr>
          <w:rFonts w:ascii="Arial" w:cs="Arial" w:eastAsia="Arial" w:hAnsi="Arial"/>
          <w:sz w:val="18"/>
          <w:szCs w:val="18"/>
          <w:u w:val="single" w:color="auto"/>
          <w:color w:val="auto"/>
        </w:rPr>
        <w:t>Conditions of the French-qualified Options</w:t>
      </w:r>
    </w:p>
    <w:p>
      <w:pPr>
        <w:spacing w:after="0" w:line="103" w:lineRule="exact"/>
        <w:rPr>
          <w:rFonts w:ascii="Arial" w:cs="Arial" w:eastAsia="Arial" w:hAnsi="Arial"/>
          <w:sz w:val="18"/>
          <w:szCs w:val="18"/>
          <w:color w:val="auto"/>
        </w:rPr>
      </w:pPr>
    </w:p>
    <w:p>
      <w:pPr>
        <w:ind w:left="200" w:right="40" w:firstLine="444"/>
        <w:spacing w:after="0"/>
        <w:tabs>
          <w:tab w:leader="none" w:pos="1157" w:val="left"/>
        </w:tabs>
        <w:numPr>
          <w:ilvl w:val="2"/>
          <w:numId w:val="184"/>
        </w:numPr>
        <w:rPr>
          <w:rFonts w:ascii="Arial" w:cs="Arial" w:eastAsia="Arial" w:hAnsi="Arial"/>
          <w:sz w:val="18"/>
          <w:szCs w:val="18"/>
          <w:color w:val="auto"/>
        </w:rPr>
      </w:pPr>
      <w:r>
        <w:rPr>
          <w:rFonts w:ascii="Arial" w:cs="Arial" w:eastAsia="Arial" w:hAnsi="Arial"/>
          <w:sz w:val="18"/>
          <w:szCs w:val="18"/>
          <w:color w:val="auto"/>
        </w:rPr>
        <w:t>The Exercise Price and number of underlying Shares shall not be modified after the Grant Date, except as provided in Sections II.5 of this French Sub-Plan, or as otherwise authorized by French law. Any other modification permitted under the U.S. Plan may result in the Option no longer qualifying as a French-qualified Option.</w:t>
      </w:r>
    </w:p>
    <w:p>
      <w:pPr>
        <w:spacing w:after="0" w:line="202" w:lineRule="exact"/>
        <w:rPr>
          <w:rFonts w:ascii="Arial" w:cs="Arial" w:eastAsia="Arial" w:hAnsi="Arial"/>
          <w:sz w:val="18"/>
          <w:szCs w:val="18"/>
          <w:color w:val="auto"/>
        </w:rPr>
      </w:pPr>
    </w:p>
    <w:p>
      <w:pPr>
        <w:ind w:left="200" w:right="40" w:firstLine="444"/>
        <w:spacing w:after="0" w:line="246" w:lineRule="auto"/>
        <w:tabs>
          <w:tab w:leader="none" w:pos="1157" w:val="left"/>
        </w:tabs>
        <w:numPr>
          <w:ilvl w:val="2"/>
          <w:numId w:val="184"/>
        </w:numPr>
        <w:rPr>
          <w:rFonts w:ascii="Arial" w:cs="Arial" w:eastAsia="Arial" w:hAnsi="Arial"/>
          <w:sz w:val="18"/>
          <w:szCs w:val="18"/>
          <w:color w:val="auto"/>
        </w:rPr>
      </w:pPr>
      <w:r>
        <w:rPr>
          <w:rFonts w:ascii="Arial" w:cs="Arial" w:eastAsia="Arial" w:hAnsi="Arial"/>
          <w:sz w:val="18"/>
          <w:szCs w:val="18"/>
          <w:color w:val="auto"/>
        </w:rPr>
        <w:t>The French-qualified Options will vest and become exercisable pursuant to the terms and conditions set forth in the U.S. Plan, this French Sub-Plan, and the applicable Award Agreement delivered to each French Participant.</w:t>
      </w:r>
    </w:p>
    <w:p>
      <w:pPr>
        <w:spacing w:after="0" w:line="196" w:lineRule="exact"/>
        <w:rPr>
          <w:rFonts w:ascii="Arial" w:cs="Arial" w:eastAsia="Arial" w:hAnsi="Arial"/>
          <w:sz w:val="18"/>
          <w:szCs w:val="18"/>
          <w:color w:val="auto"/>
        </w:rPr>
      </w:pPr>
    </w:p>
    <w:p>
      <w:pPr>
        <w:ind w:left="200" w:right="80" w:firstLine="444"/>
        <w:spacing w:after="0" w:line="246" w:lineRule="auto"/>
        <w:tabs>
          <w:tab w:leader="none" w:pos="1147" w:val="left"/>
        </w:tabs>
        <w:numPr>
          <w:ilvl w:val="2"/>
          <w:numId w:val="184"/>
        </w:numPr>
        <w:rPr>
          <w:rFonts w:ascii="Arial" w:cs="Arial" w:eastAsia="Arial" w:hAnsi="Arial"/>
          <w:sz w:val="18"/>
          <w:szCs w:val="18"/>
          <w:color w:val="auto"/>
        </w:rPr>
      </w:pPr>
      <w:r>
        <w:rPr>
          <w:rFonts w:ascii="Arial" w:cs="Arial" w:eastAsia="Arial" w:hAnsi="Arial"/>
          <w:sz w:val="18"/>
          <w:szCs w:val="18"/>
          <w:color w:val="auto"/>
        </w:rPr>
        <w:t>The Exercise Price per Share payable pursuant to French-qualified Options granted under this French Sub-Plan shall be fixed by the Committee on the Grant Date. In no event shall the Exercise Price be less than the greatest of:</w:t>
      </w:r>
    </w:p>
    <w:p>
      <w:pPr>
        <w:spacing w:after="0" w:line="102" w:lineRule="exact"/>
        <w:rPr>
          <w:rFonts w:ascii="Arial" w:cs="Arial" w:eastAsia="Arial" w:hAnsi="Arial"/>
          <w:sz w:val="18"/>
          <w:szCs w:val="18"/>
          <w:color w:val="auto"/>
        </w:rPr>
      </w:pPr>
    </w:p>
    <w:p>
      <w:pPr>
        <w:ind w:left="1180" w:hanging="544"/>
        <w:spacing w:after="0"/>
        <w:tabs>
          <w:tab w:leader="none" w:pos="1180" w:val="left"/>
        </w:tabs>
        <w:numPr>
          <w:ilvl w:val="2"/>
          <w:numId w:val="185"/>
        </w:numPr>
        <w:rPr>
          <w:rFonts w:ascii="Arial" w:cs="Arial" w:eastAsia="Arial" w:hAnsi="Arial"/>
          <w:sz w:val="18"/>
          <w:szCs w:val="18"/>
          <w:color w:val="auto"/>
        </w:rPr>
      </w:pPr>
      <w:r>
        <w:rPr>
          <w:rFonts w:ascii="Arial" w:cs="Arial" w:eastAsia="Arial" w:hAnsi="Arial"/>
          <w:sz w:val="18"/>
          <w:szCs w:val="18"/>
          <w:color w:val="auto"/>
        </w:rPr>
        <w:t>with respect to purchase stock options: the higher of either 80% of the average of the closing price of the Shares during the 20 days of quotation immediately preceding the Grant Date or 80% of the average of the purchase price paid for such Shares by the Company;</w:t>
      </w:r>
    </w:p>
    <w:p>
      <w:pPr>
        <w:spacing w:after="0" w:line="108" w:lineRule="exact"/>
        <w:rPr>
          <w:rFonts w:ascii="Arial" w:cs="Arial" w:eastAsia="Arial" w:hAnsi="Arial"/>
          <w:sz w:val="18"/>
          <w:szCs w:val="18"/>
          <w:color w:val="auto"/>
        </w:rPr>
      </w:pPr>
    </w:p>
    <w:p>
      <w:pPr>
        <w:ind w:left="1180" w:right="580" w:hanging="544"/>
        <w:spacing w:after="0" w:line="246" w:lineRule="auto"/>
        <w:tabs>
          <w:tab w:leader="none" w:pos="1180" w:val="left"/>
        </w:tabs>
        <w:numPr>
          <w:ilvl w:val="2"/>
          <w:numId w:val="186"/>
        </w:numPr>
        <w:rPr>
          <w:rFonts w:ascii="Arial" w:cs="Arial" w:eastAsia="Arial" w:hAnsi="Arial"/>
          <w:sz w:val="18"/>
          <w:szCs w:val="18"/>
          <w:color w:val="auto"/>
        </w:rPr>
      </w:pPr>
      <w:r>
        <w:rPr>
          <w:rFonts w:ascii="Arial" w:cs="Arial" w:eastAsia="Arial" w:hAnsi="Arial"/>
          <w:sz w:val="18"/>
          <w:szCs w:val="18"/>
          <w:color w:val="auto"/>
        </w:rPr>
        <w:t>with respect to subscription stock options: 80% of the average of the closing price of such Shares during the 20 days of quotation immediately preceding the Grant Date; and</w:t>
      </w:r>
    </w:p>
    <w:p>
      <w:pPr>
        <w:spacing w:after="0" w:line="102" w:lineRule="exact"/>
        <w:rPr>
          <w:rFonts w:ascii="Arial" w:cs="Arial" w:eastAsia="Arial" w:hAnsi="Arial"/>
          <w:sz w:val="18"/>
          <w:szCs w:val="18"/>
          <w:color w:val="auto"/>
        </w:rPr>
      </w:pPr>
    </w:p>
    <w:p>
      <w:pPr>
        <w:ind w:left="1180" w:hanging="544"/>
        <w:spacing w:after="0"/>
        <w:tabs>
          <w:tab w:leader="none" w:pos="1180" w:val="left"/>
        </w:tabs>
        <w:numPr>
          <w:ilvl w:val="2"/>
          <w:numId w:val="187"/>
        </w:numPr>
        <w:rPr>
          <w:rFonts w:ascii="Arial" w:cs="Arial" w:eastAsia="Arial" w:hAnsi="Arial"/>
          <w:sz w:val="18"/>
          <w:szCs w:val="18"/>
          <w:color w:val="auto"/>
        </w:rPr>
      </w:pPr>
      <w:r>
        <w:rPr>
          <w:rFonts w:ascii="Arial" w:cs="Arial" w:eastAsia="Arial" w:hAnsi="Arial"/>
          <w:sz w:val="18"/>
          <w:szCs w:val="18"/>
          <w:color w:val="auto"/>
        </w:rPr>
        <w:t>100% of the Fair Market Value per Share as defined under the U.S. Plan, as determined on the Grant Date.</w:t>
      </w:r>
    </w:p>
    <w:p>
      <w:pPr>
        <w:spacing w:after="0" w:line="360" w:lineRule="exact"/>
        <w:rPr>
          <w:rFonts w:ascii="Arial" w:cs="Arial" w:eastAsia="Arial" w:hAnsi="Arial"/>
          <w:sz w:val="18"/>
          <w:szCs w:val="18"/>
          <w:color w:val="auto"/>
        </w:rPr>
      </w:pPr>
    </w:p>
    <w:p>
      <w:pPr>
        <w:ind w:left="640" w:hanging="436"/>
        <w:spacing w:after="0"/>
        <w:tabs>
          <w:tab w:leader="none" w:pos="640"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Exercise of a French-qualified Option</w:t>
      </w:r>
    </w:p>
    <w:p>
      <w:pPr>
        <w:spacing w:after="0" w:line="103" w:lineRule="exact"/>
        <w:rPr>
          <w:rFonts w:ascii="Arial" w:cs="Arial" w:eastAsia="Arial" w:hAnsi="Arial"/>
          <w:sz w:val="18"/>
          <w:szCs w:val="18"/>
          <w:color w:val="auto"/>
        </w:rPr>
      </w:pPr>
    </w:p>
    <w:p>
      <w:pPr>
        <w:jc w:val="both"/>
        <w:ind w:left="200" w:right="120" w:firstLine="444"/>
        <w:spacing w:after="0" w:line="239" w:lineRule="auto"/>
        <w:tabs>
          <w:tab w:leader="none" w:pos="1151" w:val="left"/>
        </w:tabs>
        <w:numPr>
          <w:ilvl w:val="2"/>
          <w:numId w:val="188"/>
        </w:numPr>
        <w:rPr>
          <w:rFonts w:ascii="Arial" w:cs="Arial" w:eastAsia="Arial" w:hAnsi="Arial"/>
          <w:sz w:val="18"/>
          <w:szCs w:val="18"/>
          <w:color w:val="auto"/>
        </w:rPr>
      </w:pPr>
      <w:r>
        <w:rPr>
          <w:rFonts w:ascii="Arial" w:cs="Arial" w:eastAsia="Arial" w:hAnsi="Arial"/>
          <w:sz w:val="18"/>
          <w:szCs w:val="18"/>
          <w:color w:val="auto"/>
        </w:rPr>
        <w:t>At the time a French-qualified Option is effectively granted, the Committee shall fix the period, if any, within which the French-qualified Option vests and may be exercised and shall determine any conditions that must be satisfied before the French-qualified Option may be exercised. Such restriction period for the vesting or the exercise of a French-qualified Option shall be set forth in the applicable Award Agreement.</w:t>
      </w:r>
    </w:p>
    <w:p>
      <w:pPr>
        <w:spacing w:after="0" w:line="201" w:lineRule="exact"/>
        <w:rPr>
          <w:rFonts w:ascii="Arial" w:cs="Arial" w:eastAsia="Arial" w:hAnsi="Arial"/>
          <w:sz w:val="18"/>
          <w:szCs w:val="18"/>
          <w:color w:val="auto"/>
        </w:rPr>
      </w:pPr>
    </w:p>
    <w:p>
      <w:pPr>
        <w:ind w:left="200" w:right="160" w:firstLine="444"/>
        <w:spacing w:after="0" w:line="239" w:lineRule="auto"/>
        <w:tabs>
          <w:tab w:leader="none" w:pos="1161" w:val="left"/>
        </w:tabs>
        <w:numPr>
          <w:ilvl w:val="2"/>
          <w:numId w:val="188"/>
        </w:numPr>
        <w:rPr>
          <w:rFonts w:ascii="Arial" w:cs="Arial" w:eastAsia="Arial" w:hAnsi="Arial"/>
          <w:sz w:val="18"/>
          <w:szCs w:val="18"/>
          <w:color w:val="auto"/>
        </w:rPr>
      </w:pPr>
      <w:r>
        <w:rPr>
          <w:rFonts w:ascii="Arial" w:cs="Arial" w:eastAsia="Arial" w:hAnsi="Arial"/>
          <w:sz w:val="18"/>
          <w:szCs w:val="18"/>
          <w:color w:val="auto"/>
        </w:rPr>
        <w:t>Upon exercise of a French-qualified Option, the full Exercise Price and any required withholding tax or social security contributions, if any, shall be paid by the French Participant as set forth in the applicable Award Agreement. Under a cashless exercise program, the French Participant may give irrevocable instructions to a stockbroker to properly deliver the Exercise Price to the Company. No delivery, surrender or attestation to the ownership of previously owned Shares may be used to pay the Exercise Price.</w:t>
      </w:r>
    </w:p>
    <w:p>
      <w:pPr>
        <w:spacing w:after="0" w:line="201" w:lineRule="exact"/>
        <w:rPr>
          <w:rFonts w:ascii="Arial" w:cs="Arial" w:eastAsia="Arial" w:hAnsi="Arial"/>
          <w:sz w:val="18"/>
          <w:szCs w:val="18"/>
          <w:color w:val="auto"/>
        </w:rPr>
      </w:pPr>
    </w:p>
    <w:p>
      <w:pPr>
        <w:ind w:left="200" w:right="320" w:firstLine="444"/>
        <w:spacing w:after="0" w:line="246" w:lineRule="auto"/>
        <w:tabs>
          <w:tab w:leader="none" w:pos="1151" w:val="left"/>
        </w:tabs>
        <w:numPr>
          <w:ilvl w:val="2"/>
          <w:numId w:val="188"/>
        </w:numPr>
        <w:rPr>
          <w:rFonts w:ascii="Arial" w:cs="Arial" w:eastAsia="Arial" w:hAnsi="Arial"/>
          <w:sz w:val="18"/>
          <w:szCs w:val="18"/>
          <w:color w:val="auto"/>
        </w:rPr>
      </w:pPr>
      <w:r>
        <w:rPr>
          <w:rFonts w:ascii="Arial" w:cs="Arial" w:eastAsia="Arial" w:hAnsi="Arial"/>
          <w:sz w:val="18"/>
          <w:szCs w:val="18"/>
          <w:color w:val="auto"/>
        </w:rPr>
        <w:t>In the event of the death of a French Participant, his or her French-qualified Options shall thereafter be immediately vested and exercisable in full under the conditions set forth by Section II.4 of this French Sub-Plan.</w:t>
      </w:r>
    </w:p>
    <w:p>
      <w:pPr>
        <w:spacing w:after="0" w:line="129" w:lineRule="exact"/>
        <w:rPr>
          <w:sz w:val="20"/>
          <w:szCs w:val="20"/>
          <w:color w:val="auto"/>
        </w:rPr>
      </w:pPr>
    </w:p>
    <w:p>
      <w:pPr>
        <w:jc w:val="right"/>
        <w:spacing w:after="0"/>
        <w:tabs>
          <w:tab w:leader="none" w:pos="360" w:val="left"/>
        </w:tabs>
        <w:rPr>
          <w:sz w:val="20"/>
          <w:szCs w:val="20"/>
          <w:color w:val="auto"/>
        </w:rPr>
      </w:pPr>
      <w:r>
        <w:rPr>
          <w:rFonts w:ascii="Arial" w:cs="Arial" w:eastAsia="Arial" w:hAnsi="Arial"/>
          <w:sz w:val="14"/>
          <w:szCs w:val="14"/>
          <w:b w:val="1"/>
          <w:bCs w:val="1"/>
          <w:color w:val="052B82"/>
        </w:rPr>
        <w:t>2020 Proxy Statement</w:t>
      </w:r>
      <w:r>
        <w:rPr>
          <w:sz w:val="20"/>
          <w:szCs w:val="20"/>
          <w:color w:val="auto"/>
        </w:rPr>
        <w:tab/>
      </w:r>
      <w:r>
        <w:rPr>
          <w:rFonts w:ascii="Arial" w:cs="Arial" w:eastAsia="Arial" w:hAnsi="Arial"/>
          <w:sz w:val="17"/>
          <w:szCs w:val="17"/>
          <w:color w:val="999999"/>
        </w:rPr>
        <w:t>B-19</w:t>
      </w:r>
    </w:p>
    <w:p>
      <w:pPr>
        <w:sectPr>
          <w:pgSz w:w="11900" w:h="16838" w:orient="portrait"/>
          <w:cols w:equalWidth="0" w:num="1">
            <w:col w:w="11220"/>
          </w:cols>
          <w:pgMar w:left="240" w:top="459" w:right="4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2649855" cy="13716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0" w:right="140" w:firstLine="444"/>
        <w:spacing w:after="0" w:line="246" w:lineRule="auto"/>
        <w:tabs>
          <w:tab w:leader="none" w:pos="1161"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If a French Participant is terminated or ceases to provide services to the Company or a French Subsidiary, his or her French-qualified Options will be exercisable according to the provisions of the Award Agreement.</w:t>
      </w:r>
    </w:p>
    <w:p>
      <w:pPr>
        <w:spacing w:after="0" w:line="196" w:lineRule="exact"/>
        <w:rPr>
          <w:rFonts w:ascii="Arial" w:cs="Arial" w:eastAsia="Arial" w:hAnsi="Arial"/>
          <w:sz w:val="18"/>
          <w:szCs w:val="18"/>
          <w:color w:val="auto"/>
        </w:rPr>
      </w:pPr>
    </w:p>
    <w:p>
      <w:pPr>
        <w:ind w:left="200" w:firstLine="444"/>
        <w:spacing w:after="0" w:line="236" w:lineRule="auto"/>
        <w:tabs>
          <w:tab w:leader="none" w:pos="1161"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If a French Participant ceases to be employed by the Company or a French Subsidiary by reason of his or her Forced Retirement (as defined in this French Sub-Plan) or dismissal as defined by Section 91-ter of Exhibit II to the French Tax Code, as amended, and as construed by the French tax circulars and subject to the fulfillment of related conditions, his or her French-qualified Options may benefit from favorable tax and social security treatment, provided the exercise of the French-qualified Options was authorized under the applicable Award Agreement prior to the time of Forced Retirement or dismissal and the French-qualified Options were exercised at least three (3) months prior to the effective date of the Forced Retirement or at least three (3) months prior to the sending of the letter of dismissal to the French Participant as defined by French law and as construed by French tax and social security guidelines and court decisions of French Labor Courts.</w:t>
      </w:r>
    </w:p>
    <w:p>
      <w:pPr>
        <w:spacing w:after="0" w:line="208" w:lineRule="exact"/>
        <w:rPr>
          <w:rFonts w:ascii="Arial" w:cs="Arial" w:eastAsia="Arial" w:hAnsi="Arial"/>
          <w:sz w:val="18"/>
          <w:szCs w:val="18"/>
          <w:color w:val="auto"/>
        </w:rPr>
      </w:pPr>
    </w:p>
    <w:p>
      <w:pPr>
        <w:ind w:left="200" w:right="160" w:firstLine="444"/>
        <w:spacing w:after="0"/>
        <w:tabs>
          <w:tab w:leader="none" w:pos="1157"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Shares acquired upon exercise of a French-qualified Option shall be fully owned by the French Participant and recorded in an account in his or her name and must be held with the Company or a broker or in such manner as the Company may otherwise determine to ensure compliance with French laws.</w:t>
      </w:r>
    </w:p>
    <w:p>
      <w:pPr>
        <w:spacing w:after="0" w:line="203" w:lineRule="exact"/>
        <w:rPr>
          <w:sz w:val="20"/>
          <w:szCs w:val="20"/>
          <w:color w:val="auto"/>
        </w:rPr>
      </w:pPr>
    </w:p>
    <w:p>
      <w:pPr>
        <w:ind w:left="200" w:right="80" w:firstLine="441"/>
        <w:spacing w:after="0" w:line="246" w:lineRule="auto"/>
        <w:rPr>
          <w:sz w:val="20"/>
          <w:szCs w:val="20"/>
          <w:color w:val="auto"/>
        </w:rPr>
      </w:pPr>
      <w:r>
        <w:rPr>
          <w:rFonts w:ascii="Arial" w:cs="Arial" w:eastAsia="Arial" w:hAnsi="Arial"/>
          <w:sz w:val="18"/>
          <w:szCs w:val="18"/>
          <w:color w:val="auto"/>
        </w:rPr>
        <w:t>To the extent and as long as applicable to French-qualified Options granted by the Company, a restriction on exercise of the Options shall be imposed in the Award Agreement for any French Participant who qualifies as a managing director of the Company.</w:t>
      </w:r>
    </w:p>
    <w:p>
      <w:pPr>
        <w:spacing w:after="0" w:line="345" w:lineRule="exact"/>
        <w:rPr>
          <w:sz w:val="20"/>
          <w:szCs w:val="20"/>
          <w:color w:val="auto"/>
        </w:rPr>
      </w:pPr>
    </w:p>
    <w:p>
      <w:pPr>
        <w:ind w:left="640" w:hanging="436"/>
        <w:spacing w:after="0"/>
        <w:tabs>
          <w:tab w:leader="none" w:pos="640"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Death</w:t>
      </w:r>
    </w:p>
    <w:p>
      <w:pPr>
        <w:spacing w:after="0" w:line="104"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In the event of the death of a French Participant while he or she is actively employed by the Company or a French Subsidiary, all French-qualified Options shall become immediately vested and exercisable and may be exercised in full by the French Participant’s heirs or the legal representative of his or her estate for the six (6) month period following the date of the French Participant’s death or such other period as may be required to comply with French law. In the event of the death of a French Participant after termination of active employment with the Company or a French Subsidiary, the treatment of French-qualified Options will be as set forth in the Award Agreement. Any French-qualified Option that remains unexercised shall expire six (6) months following the date of the French Participant’s death or after expiration of such other period as may be required to comply with French law. The six (6) month exercise period (or such other period as may be required to comply with French law) will apply without regard to the term of the French-qualified Option as described in Section II.6 of this French Sub-Plan.</w:t>
      </w:r>
    </w:p>
    <w:p>
      <w:pPr>
        <w:spacing w:after="0" w:line="356" w:lineRule="exact"/>
        <w:rPr>
          <w:sz w:val="20"/>
          <w:szCs w:val="20"/>
          <w:color w:val="auto"/>
        </w:rPr>
      </w:pPr>
    </w:p>
    <w:p>
      <w:pPr>
        <w:ind w:left="640" w:hanging="436"/>
        <w:spacing w:after="0"/>
        <w:tabs>
          <w:tab w:leader="none" w:pos="640"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Adjustments - Change in Control</w:t>
      </w:r>
    </w:p>
    <w:p>
      <w:pPr>
        <w:spacing w:after="0" w:line="104" w:lineRule="exact"/>
        <w:rPr>
          <w:sz w:val="20"/>
          <w:szCs w:val="20"/>
          <w:color w:val="auto"/>
        </w:rPr>
      </w:pPr>
    </w:p>
    <w:p>
      <w:pPr>
        <w:ind w:left="200" w:right="60" w:firstLine="441"/>
        <w:spacing w:after="0" w:line="237" w:lineRule="auto"/>
        <w:rPr>
          <w:sz w:val="20"/>
          <w:szCs w:val="20"/>
          <w:color w:val="auto"/>
        </w:rPr>
      </w:pPr>
      <w:r>
        <w:rPr>
          <w:rFonts w:ascii="Arial" w:cs="Arial" w:eastAsia="Arial" w:hAnsi="Arial"/>
          <w:sz w:val="18"/>
          <w:szCs w:val="18"/>
          <w:color w:val="auto"/>
        </w:rPr>
        <w:t>Adjustments of French-qualified Options issued hereunder shall be made to preclude the dilution or enlargement of benefits under the French-qualified Option only in the event of the transactions by the Company listed under Section L. 225-181 of the French Commercial Code, as amended, and in case of a repurchase of Shares by the Company at a price which is higher than the stock quotation price in the open market, and according to the provisions of Section L. 228-99 of the French Commercial Code, as amended, as well as according to specific decrees. In the event of an adjustment other than as described above, the Options may no longer qualify for favorable tax and social security treatment under French law.</w:t>
      </w:r>
    </w:p>
    <w:p>
      <w:pPr>
        <w:spacing w:after="0" w:line="205" w:lineRule="exact"/>
        <w:rPr>
          <w:sz w:val="20"/>
          <w:szCs w:val="20"/>
          <w:color w:val="auto"/>
        </w:rPr>
      </w:pPr>
    </w:p>
    <w:p>
      <w:pPr>
        <w:ind w:left="200" w:right="180" w:firstLine="441"/>
        <w:spacing w:after="0"/>
        <w:rPr>
          <w:sz w:val="20"/>
          <w:szCs w:val="20"/>
          <w:color w:val="auto"/>
        </w:rPr>
      </w:pPr>
      <w:r>
        <w:rPr>
          <w:rFonts w:ascii="Arial" w:cs="Arial" w:eastAsia="Arial" w:hAnsi="Arial"/>
          <w:sz w:val="18"/>
          <w:szCs w:val="18"/>
          <w:color w:val="auto"/>
        </w:rPr>
        <w:t>Nevertheless, the Board or the Committee, at its discretion, may decide to make adjustments in the case of a transaction as described in Section 10 of the U.S. Plan, for which adjustments may not be authorized under French law, in which case, the options may no longer qualify as French-qualified Options and the favorable tax and social security treatment may be lost.</w:t>
      </w:r>
    </w:p>
    <w:p>
      <w:pPr>
        <w:spacing w:after="0" w:line="351" w:lineRule="exact"/>
        <w:rPr>
          <w:sz w:val="20"/>
          <w:szCs w:val="20"/>
          <w:color w:val="auto"/>
        </w:rPr>
      </w:pPr>
    </w:p>
    <w:p>
      <w:pPr>
        <w:ind w:left="640" w:hanging="436"/>
        <w:spacing w:after="0"/>
        <w:tabs>
          <w:tab w:leader="none" w:pos="640"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Term of Option</w:t>
      </w:r>
    </w:p>
    <w:p>
      <w:pPr>
        <w:spacing w:after="0" w:line="104" w:lineRule="exact"/>
        <w:rPr>
          <w:sz w:val="20"/>
          <w:szCs w:val="20"/>
          <w:color w:val="auto"/>
        </w:rPr>
      </w:pPr>
    </w:p>
    <w:p>
      <w:pPr>
        <w:ind w:left="200" w:right="380" w:firstLine="441"/>
        <w:spacing w:after="0" w:line="246" w:lineRule="auto"/>
        <w:rPr>
          <w:sz w:val="20"/>
          <w:szCs w:val="20"/>
          <w:color w:val="auto"/>
        </w:rPr>
      </w:pPr>
      <w:r>
        <w:rPr>
          <w:rFonts w:ascii="Arial" w:cs="Arial" w:eastAsia="Arial" w:hAnsi="Arial"/>
          <w:sz w:val="18"/>
          <w:szCs w:val="18"/>
          <w:color w:val="auto"/>
        </w:rPr>
        <w:t>French-qualified Options granted pursuant to this French Sub-Plan will expire no later than nine and a half (9 1/2) years from the Grant Date, unless otherwise specified in the applicable Award Agreement. The</w:t>
      </w:r>
    </w:p>
    <w:p>
      <w:pPr>
        <w:spacing w:after="0" w:line="129" w:lineRule="exact"/>
        <w:rPr>
          <w:sz w:val="20"/>
          <w:szCs w:val="20"/>
          <w:color w:val="auto"/>
        </w:rPr>
      </w:pPr>
    </w:p>
    <w:p>
      <w:pPr>
        <w:ind w:left="200"/>
        <w:spacing w:after="0"/>
        <w:tabs>
          <w:tab w:leader="none" w:pos="760" w:val="left"/>
        </w:tabs>
        <w:rPr>
          <w:sz w:val="20"/>
          <w:szCs w:val="20"/>
          <w:color w:val="auto"/>
        </w:rPr>
      </w:pPr>
      <w:r>
        <w:rPr>
          <w:rFonts w:ascii="Arial" w:cs="Arial" w:eastAsia="Arial" w:hAnsi="Arial"/>
          <w:sz w:val="18"/>
          <w:szCs w:val="18"/>
          <w:color w:val="999999"/>
        </w:rPr>
        <w:t>B-20</w:t>
      </w:r>
      <w:r>
        <w:rPr>
          <w:sz w:val="20"/>
          <w:szCs w:val="20"/>
          <w:color w:val="auto"/>
        </w:rPr>
        <w:tab/>
      </w:r>
      <w:r>
        <w:rPr>
          <w:rFonts w:ascii="Arial" w:cs="Arial" w:eastAsia="Arial" w:hAnsi="Arial"/>
          <w:sz w:val="14"/>
          <w:szCs w:val="14"/>
          <w:b w:val="1"/>
          <w:bCs w:val="1"/>
          <w:color w:val="052B82"/>
        </w:rPr>
        <w:t>Analog Devices, Inc.</w:t>
      </w:r>
    </w:p>
    <w:p>
      <w:pPr>
        <w:sectPr>
          <w:pgSz w:w="11900" w:h="16838" w:orient="portrait"/>
          <w:cols w:equalWidth="0" w:num="1">
            <w:col w:w="11220"/>
          </w:cols>
          <w:pgMar w:left="240" w:top="459" w:right="4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205740</wp:posOffset>
            </wp:positionV>
            <wp:extent cx="2649855" cy="13716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0" w:right="160"/>
        <w:spacing w:after="0"/>
        <w:rPr>
          <w:sz w:val="20"/>
          <w:szCs w:val="20"/>
          <w:color w:val="auto"/>
        </w:rPr>
      </w:pPr>
      <w:r>
        <w:rPr>
          <w:rFonts w:ascii="Arial" w:cs="Arial" w:eastAsia="Arial" w:hAnsi="Arial"/>
          <w:sz w:val="18"/>
          <w:szCs w:val="18"/>
          <w:color w:val="auto"/>
        </w:rPr>
        <w:t>French-qualified Option term will be extended only in the event of the death of a French Participant, but in no event will any French-qualified Option be exercisable beyond nine (9) months following the date of death of the French Participant or such other period as may be required to comply with French law.</w:t>
      </w:r>
    </w:p>
    <w:p>
      <w:pPr>
        <w:spacing w:after="0" w:line="351" w:lineRule="exact"/>
        <w:rPr>
          <w:sz w:val="20"/>
          <w:szCs w:val="20"/>
          <w:color w:val="auto"/>
        </w:rPr>
      </w:pPr>
    </w:p>
    <w:p>
      <w:pPr>
        <w:ind w:left="640" w:hanging="436"/>
        <w:spacing w:after="0"/>
        <w:tabs>
          <w:tab w:leader="none" w:pos="640"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Interpretation</w:t>
      </w:r>
    </w:p>
    <w:p>
      <w:pPr>
        <w:spacing w:after="0" w:line="104" w:lineRule="exact"/>
        <w:rPr>
          <w:sz w:val="20"/>
          <w:szCs w:val="20"/>
          <w:color w:val="auto"/>
        </w:rPr>
      </w:pPr>
    </w:p>
    <w:p>
      <w:pPr>
        <w:ind w:left="200" w:right="60" w:firstLine="441"/>
        <w:spacing w:after="0" w:line="246" w:lineRule="auto"/>
        <w:rPr>
          <w:sz w:val="20"/>
          <w:szCs w:val="20"/>
          <w:color w:val="auto"/>
        </w:rPr>
      </w:pPr>
      <w:r>
        <w:rPr>
          <w:rFonts w:ascii="Arial" w:cs="Arial" w:eastAsia="Arial" w:hAnsi="Arial"/>
          <w:sz w:val="18"/>
          <w:szCs w:val="18"/>
          <w:color w:val="auto"/>
        </w:rPr>
        <w:t>In the event of any conflict between the provisions of this French Sub-Plan and the U.S. Plan, the provisions of this French Sub-Plan shall control for any grants of French-qualified Options made to French Participants.</w:t>
      </w:r>
    </w:p>
    <w:p>
      <w:pPr>
        <w:spacing w:after="0" w:line="197" w:lineRule="exact"/>
        <w:rPr>
          <w:sz w:val="20"/>
          <w:szCs w:val="20"/>
          <w:color w:val="auto"/>
        </w:rPr>
      </w:pPr>
    </w:p>
    <w:p>
      <w:pPr>
        <w:ind w:left="200" w:right="100" w:firstLine="441"/>
        <w:spacing w:after="0" w:line="237" w:lineRule="auto"/>
        <w:rPr>
          <w:sz w:val="20"/>
          <w:szCs w:val="20"/>
          <w:color w:val="auto"/>
        </w:rPr>
      </w:pPr>
      <w:r>
        <w:rPr>
          <w:rFonts w:ascii="Arial" w:cs="Arial" w:eastAsia="Arial" w:hAnsi="Arial"/>
          <w:sz w:val="18"/>
          <w:szCs w:val="18"/>
          <w:color w:val="auto"/>
        </w:rPr>
        <w:t>It is intended that Options granted under this French Sub-Plan shall qualify for the favorable tax and social security treatment applicable to stock options granted under Sections L. 225-177 to L. 225-186-1 of the French Commercial Code, as amended, and in accordance with the relevant provisions set forth by French tax law and the French tax administration, but no undertaking is made by the Company to maintain such status. The terms of this French Sub-Plan shall be interpreted accordingly and in accordance with the relevant provisions set forth by French tax and social security laws and relevant guidelines published by French tax and social security administrations and subject to the fulfillment of legal, tax and reporting obligations.</w:t>
      </w:r>
    </w:p>
    <w:p>
      <w:pPr>
        <w:spacing w:after="0" w:line="354" w:lineRule="exact"/>
        <w:rPr>
          <w:sz w:val="20"/>
          <w:szCs w:val="20"/>
          <w:color w:val="auto"/>
        </w:rPr>
      </w:pPr>
    </w:p>
    <w:p>
      <w:pPr>
        <w:ind w:left="640" w:hanging="436"/>
        <w:spacing w:after="0"/>
        <w:tabs>
          <w:tab w:leader="none" w:pos="640"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FRENCH-QUALIFIED RSUs</w:t>
      </w:r>
    </w:p>
    <w:p>
      <w:pPr>
        <w:spacing w:after="0" w:line="117" w:lineRule="exact"/>
        <w:rPr>
          <w:sz w:val="20"/>
          <w:szCs w:val="20"/>
          <w:color w:val="auto"/>
        </w:rPr>
      </w:pPr>
    </w:p>
    <w:p>
      <w:pPr>
        <w:ind w:left="640" w:hanging="436"/>
        <w:spacing w:after="0"/>
        <w:tabs>
          <w:tab w:leader="none" w:pos="640"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Conditions of the French-qualified RSUs</w:t>
      </w:r>
    </w:p>
    <w:p>
      <w:pPr>
        <w:spacing w:after="0" w:line="103" w:lineRule="exact"/>
        <w:rPr>
          <w:rFonts w:ascii="Arial" w:cs="Arial" w:eastAsia="Arial" w:hAnsi="Arial"/>
          <w:sz w:val="18"/>
          <w:szCs w:val="18"/>
          <w:color w:val="auto"/>
        </w:rPr>
      </w:pPr>
    </w:p>
    <w:p>
      <w:pPr>
        <w:ind w:left="1160" w:hanging="516"/>
        <w:spacing w:after="0"/>
        <w:tabs>
          <w:tab w:leader="none" w:pos="116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Vesting of French-Qualified RSUs</w:t>
      </w:r>
    </w:p>
    <w:p>
      <w:pPr>
        <w:spacing w:after="0" w:line="212" w:lineRule="exact"/>
        <w:rPr>
          <w:sz w:val="20"/>
          <w:szCs w:val="20"/>
          <w:color w:val="auto"/>
        </w:rPr>
      </w:pPr>
    </w:p>
    <w:p>
      <w:pPr>
        <w:ind w:left="200" w:right="20" w:firstLine="441"/>
        <w:spacing w:after="0" w:line="237" w:lineRule="auto"/>
        <w:rPr>
          <w:sz w:val="20"/>
          <w:szCs w:val="20"/>
          <w:color w:val="auto"/>
        </w:rPr>
      </w:pPr>
      <w:r>
        <w:rPr>
          <w:rFonts w:ascii="Arial" w:cs="Arial" w:eastAsia="Arial" w:hAnsi="Arial"/>
          <w:sz w:val="18"/>
          <w:szCs w:val="18"/>
          <w:color w:val="auto"/>
        </w:rPr>
        <w:t>Notwithstanding any other provision of the U.S. Plan, French-qualified RSUs shall not vest and the Shares underlying the French-qualified RSUs shall not be delivered to the French Participants prior to the expiration of a minimum one-year period as calculated from the Grant Date, or such other period as is required to comply with the minimum mandatory vesting period applicable to French-qualified RSUs under Section L. 225-197-1 of the French Commercial Code, as amended, or the relevant sections of the French Tax Code or the French Social Security Code, as amended, to benefit from the favorable tax and social security regime for French-qualified restricted stock units. However, notwithstanding the vesting requirements described above, in the event of the death of a French Participant, all of his or her outstanding French-qualified RSUs shall become vested under the conditions set forth in Section III.3 of this French Sub-Plan.</w:t>
      </w:r>
    </w:p>
    <w:p>
      <w:pPr>
        <w:spacing w:after="0" w:line="203" w:lineRule="exact"/>
        <w:rPr>
          <w:sz w:val="20"/>
          <w:szCs w:val="20"/>
          <w:color w:val="auto"/>
        </w:rPr>
      </w:pPr>
    </w:p>
    <w:p>
      <w:pPr>
        <w:ind w:left="1160" w:hanging="516"/>
        <w:spacing w:after="0"/>
        <w:tabs>
          <w:tab w:leader="none" w:pos="11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Holding of Shares</w:t>
      </w:r>
    </w:p>
    <w:p>
      <w:pPr>
        <w:spacing w:after="0" w:line="212" w:lineRule="exact"/>
        <w:rPr>
          <w:sz w:val="20"/>
          <w:szCs w:val="20"/>
          <w:color w:val="auto"/>
        </w:rPr>
      </w:pPr>
    </w:p>
    <w:p>
      <w:pPr>
        <w:ind w:left="200" w:right="220" w:firstLine="441"/>
        <w:spacing w:after="0" w:line="234" w:lineRule="auto"/>
        <w:rPr>
          <w:sz w:val="20"/>
          <w:szCs w:val="20"/>
          <w:color w:val="auto"/>
        </w:rPr>
      </w:pPr>
      <w:r>
        <w:rPr>
          <w:rFonts w:ascii="Arial" w:cs="Arial" w:eastAsia="Arial" w:hAnsi="Arial"/>
          <w:sz w:val="18"/>
          <w:szCs w:val="18"/>
          <w:color w:val="auto"/>
        </w:rPr>
        <w:t>The sale or transfer of Shares issued pursuant to the French-qualified RSUs may not occur prior to the relevant anniversary of the Grant Date specified by the Committee and in no case prior to the expiration of a minimum two-year period as calculated from the Grant Date (or, if later, the date on which the Shares underlying the French-qualified RSUs are issued to a French Participant), or such other period as is required to comply with the minimum mandatory holding period applicable to French-qualified RSUs under Section L.</w:t>
      </w:r>
    </w:p>
    <w:p>
      <w:pPr>
        <w:spacing w:after="0" w:line="3" w:lineRule="exact"/>
        <w:rPr>
          <w:sz w:val="20"/>
          <w:szCs w:val="20"/>
          <w:color w:val="auto"/>
        </w:rPr>
      </w:pPr>
    </w:p>
    <w:p>
      <w:pPr>
        <w:ind w:left="200" w:right="260"/>
        <w:spacing w:after="0"/>
        <w:rPr>
          <w:sz w:val="20"/>
          <w:szCs w:val="20"/>
          <w:color w:val="auto"/>
        </w:rPr>
      </w:pPr>
      <w:r>
        <w:rPr>
          <w:rFonts w:ascii="Arial" w:cs="Arial" w:eastAsia="Arial" w:hAnsi="Arial"/>
          <w:sz w:val="18"/>
          <w:szCs w:val="18"/>
          <w:color w:val="auto"/>
        </w:rPr>
        <w:t>225-197-1 of the French Commercial Code, as amended, or the relevant sections of the French Tax Code or the French Social Security Code, as amended, to benefit from the favorable tax and social security regime for French-qualified restricted stock units, even if the French Participant is no longer an employee or corporate officer of the Company or a French Subsidiary.</w:t>
      </w:r>
    </w:p>
    <w:p>
      <w:pPr>
        <w:spacing w:after="0" w:line="203" w:lineRule="exact"/>
        <w:rPr>
          <w:sz w:val="20"/>
          <w:szCs w:val="20"/>
          <w:color w:val="auto"/>
        </w:rPr>
      </w:pPr>
    </w:p>
    <w:p>
      <w:pPr>
        <w:ind w:left="200" w:right="80" w:firstLine="441"/>
        <w:spacing w:after="0" w:line="246" w:lineRule="auto"/>
        <w:rPr>
          <w:sz w:val="20"/>
          <w:szCs w:val="20"/>
          <w:color w:val="auto"/>
        </w:rPr>
      </w:pPr>
      <w:r>
        <w:rPr>
          <w:rFonts w:ascii="Arial" w:cs="Arial" w:eastAsia="Arial" w:hAnsi="Arial"/>
          <w:sz w:val="18"/>
          <w:szCs w:val="18"/>
          <w:color w:val="auto"/>
        </w:rPr>
        <w:t>In addition, the Shares issued pursuant to the French-qualified RSUs may not be sold or transferred during a Closed Period, so long as those Closed Periods are applicable to Shares underlying French-qualified RSUs.</w:t>
      </w:r>
    </w:p>
    <w:p>
      <w:pPr>
        <w:spacing w:after="0" w:line="197" w:lineRule="exact"/>
        <w:rPr>
          <w:sz w:val="20"/>
          <w:szCs w:val="20"/>
          <w:color w:val="auto"/>
        </w:rPr>
      </w:pPr>
    </w:p>
    <w:p>
      <w:pPr>
        <w:ind w:left="1160" w:hanging="516"/>
        <w:spacing w:after="0"/>
        <w:tabs>
          <w:tab w:leader="none" w:pos="11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Corporate Officer Restriction</w:t>
      </w:r>
    </w:p>
    <w:p>
      <w:pPr>
        <w:spacing w:after="0" w:line="212" w:lineRule="exact"/>
        <w:rPr>
          <w:sz w:val="20"/>
          <w:szCs w:val="20"/>
          <w:color w:val="auto"/>
        </w:rPr>
      </w:pPr>
    </w:p>
    <w:p>
      <w:pPr>
        <w:jc w:val="both"/>
        <w:ind w:left="200" w:right="200" w:firstLine="441"/>
        <w:spacing w:after="0"/>
        <w:rPr>
          <w:sz w:val="20"/>
          <w:szCs w:val="20"/>
          <w:color w:val="auto"/>
        </w:rPr>
      </w:pPr>
      <w:r>
        <w:rPr>
          <w:rFonts w:ascii="Arial" w:cs="Arial" w:eastAsia="Arial" w:hAnsi="Arial"/>
          <w:sz w:val="18"/>
          <w:szCs w:val="18"/>
          <w:color w:val="auto"/>
        </w:rPr>
        <w:t>To the extent and as long as applicable to French-qualified RSUs granted by the Company, a specific holding period for the sale or transfer of Shares shall be imposed in the applicable RSU Agreement for any French Participant who qualifies as a managing director of the Company.</w:t>
      </w:r>
    </w:p>
    <w:p>
      <w:pPr>
        <w:spacing w:after="0" w:line="135" w:lineRule="exact"/>
        <w:rPr>
          <w:sz w:val="20"/>
          <w:szCs w:val="20"/>
          <w:color w:val="auto"/>
        </w:rPr>
      </w:pPr>
    </w:p>
    <w:p>
      <w:pPr>
        <w:jc w:val="right"/>
        <w:spacing w:after="0"/>
        <w:tabs>
          <w:tab w:leader="none" w:pos="360" w:val="left"/>
        </w:tabs>
        <w:rPr>
          <w:sz w:val="20"/>
          <w:szCs w:val="20"/>
          <w:color w:val="auto"/>
        </w:rPr>
      </w:pPr>
      <w:r>
        <w:rPr>
          <w:rFonts w:ascii="Arial" w:cs="Arial" w:eastAsia="Arial" w:hAnsi="Arial"/>
          <w:sz w:val="14"/>
          <w:szCs w:val="14"/>
          <w:b w:val="1"/>
          <w:bCs w:val="1"/>
          <w:color w:val="052B82"/>
        </w:rPr>
        <w:t>2020 Proxy Statement</w:t>
      </w:r>
      <w:r>
        <w:rPr>
          <w:sz w:val="20"/>
          <w:szCs w:val="20"/>
          <w:color w:val="auto"/>
        </w:rPr>
        <w:tab/>
      </w:r>
      <w:r>
        <w:rPr>
          <w:rFonts w:ascii="Arial" w:cs="Arial" w:eastAsia="Arial" w:hAnsi="Arial"/>
          <w:sz w:val="17"/>
          <w:szCs w:val="17"/>
          <w:color w:val="999999"/>
        </w:rPr>
        <w:t>B-21</w:t>
      </w:r>
    </w:p>
    <w:p>
      <w:pPr>
        <w:sectPr>
          <w:pgSz w:w="11900" w:h="16838" w:orient="portrait"/>
          <w:cols w:equalWidth="0" w:num="1">
            <w:col w:w="11220"/>
          </w:cols>
          <w:pgMar w:left="240" w:top="459" w:right="4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2649855" cy="13716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160" w:hanging="516"/>
        <w:spacing w:after="0"/>
        <w:tabs>
          <w:tab w:leader="none" w:pos="11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French Participant’s Account</w:t>
      </w:r>
    </w:p>
    <w:p>
      <w:pPr>
        <w:spacing w:after="0" w:line="212" w:lineRule="exact"/>
        <w:rPr>
          <w:sz w:val="20"/>
          <w:szCs w:val="20"/>
          <w:color w:val="auto"/>
        </w:rPr>
      </w:pPr>
    </w:p>
    <w:p>
      <w:pPr>
        <w:ind w:left="200" w:firstLine="441"/>
        <w:spacing w:after="0"/>
        <w:rPr>
          <w:sz w:val="20"/>
          <w:szCs w:val="20"/>
          <w:color w:val="auto"/>
        </w:rPr>
      </w:pPr>
      <w:r>
        <w:rPr>
          <w:rFonts w:ascii="Arial" w:cs="Arial" w:eastAsia="Arial" w:hAnsi="Arial"/>
          <w:sz w:val="18"/>
          <w:szCs w:val="18"/>
          <w:color w:val="auto"/>
        </w:rPr>
        <w:t>The Shares issued pursuant to the French-qualified RSUs shall be fully owned by the French Participant and recorded and held in an account in his or her name with the Company or a broker or in such other manner as the Company may determine in order to ensure compliance with French laws, including any required holding periods.</w:t>
      </w:r>
    </w:p>
    <w:p>
      <w:pPr>
        <w:spacing w:after="0" w:line="351" w:lineRule="exact"/>
        <w:rPr>
          <w:sz w:val="20"/>
          <w:szCs w:val="20"/>
          <w:color w:val="auto"/>
        </w:rPr>
      </w:pPr>
    </w:p>
    <w:p>
      <w:pPr>
        <w:ind w:left="640" w:hanging="436"/>
        <w:spacing w:after="0"/>
        <w:tabs>
          <w:tab w:leader="none" w:pos="640"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Adjustments - Change in Control</w:t>
      </w:r>
    </w:p>
    <w:p>
      <w:pPr>
        <w:spacing w:after="0" w:line="104" w:lineRule="exact"/>
        <w:rPr>
          <w:sz w:val="20"/>
          <w:szCs w:val="20"/>
          <w:color w:val="auto"/>
        </w:rPr>
      </w:pPr>
    </w:p>
    <w:p>
      <w:pPr>
        <w:ind w:left="200" w:right="60" w:firstLine="441"/>
        <w:spacing w:after="0" w:line="239" w:lineRule="auto"/>
        <w:rPr>
          <w:sz w:val="20"/>
          <w:szCs w:val="20"/>
          <w:color w:val="auto"/>
        </w:rPr>
      </w:pPr>
      <w:r>
        <w:rPr>
          <w:rFonts w:ascii="Arial" w:cs="Arial" w:eastAsia="Arial" w:hAnsi="Arial"/>
          <w:sz w:val="18"/>
          <w:szCs w:val="18"/>
          <w:color w:val="auto"/>
        </w:rPr>
        <w:t>In the event of an adjustment due to a corporate transaction or event as set forth in Section 10 of the U.S. Plan, the adjustment to the terms and conditions of the French-qualified RSUs or underlying Shares shall be made in accordance with the U.S. Plan and pursuant to applicable French legal and tax rules. Nevertheless, should the Board or Committee make adjustments in the case of a transaction for which adjustments are not authorized under French law, the restricted stock units may no longer qualify as French-qualified RSUs.</w:t>
      </w:r>
    </w:p>
    <w:p>
      <w:pPr>
        <w:spacing w:after="0" w:line="350" w:lineRule="exact"/>
        <w:rPr>
          <w:sz w:val="20"/>
          <w:szCs w:val="20"/>
          <w:color w:val="auto"/>
        </w:rPr>
      </w:pPr>
    </w:p>
    <w:p>
      <w:pPr>
        <w:ind w:left="640" w:hanging="436"/>
        <w:spacing w:after="0"/>
        <w:tabs>
          <w:tab w:leader="none" w:pos="640"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Death and Disability</w:t>
      </w:r>
    </w:p>
    <w:p>
      <w:pPr>
        <w:spacing w:after="0" w:line="104" w:lineRule="exact"/>
        <w:rPr>
          <w:sz w:val="20"/>
          <w:szCs w:val="20"/>
          <w:color w:val="auto"/>
        </w:rPr>
      </w:pPr>
    </w:p>
    <w:p>
      <w:pPr>
        <w:ind w:left="200" w:right="100" w:firstLine="441"/>
        <w:spacing w:after="0" w:line="237" w:lineRule="auto"/>
        <w:rPr>
          <w:sz w:val="20"/>
          <w:szCs w:val="20"/>
          <w:color w:val="auto"/>
        </w:rPr>
      </w:pPr>
      <w:r>
        <w:rPr>
          <w:rFonts w:ascii="Arial" w:cs="Arial" w:eastAsia="Arial" w:hAnsi="Arial"/>
          <w:sz w:val="18"/>
          <w:szCs w:val="18"/>
          <w:color w:val="auto"/>
        </w:rPr>
        <w:t>In the event of the death of a French Participant, the French-qualified RSUs held by the French Participant at the time of death shall become immediately transferable to the French Participant’s heirs. The Company shall issue the underlying Shares to the French Participant’s heirs, at their request, provided the heirs contact the Company within six (6) months following the death of the French Participant or such other period as may be required to comply with French law. If the French Participant’s heirs do not request the issuance of the Shares underlying the French-qualified RSUs within six (6) months following the French Participant’s death (or such other period as may be required to comply with French law), the French-qualified RSUs will be forfeited.</w:t>
      </w:r>
    </w:p>
    <w:p>
      <w:pPr>
        <w:spacing w:after="0" w:line="205" w:lineRule="exact"/>
        <w:rPr>
          <w:sz w:val="20"/>
          <w:szCs w:val="20"/>
          <w:color w:val="auto"/>
        </w:rPr>
      </w:pPr>
    </w:p>
    <w:p>
      <w:pPr>
        <w:jc w:val="both"/>
        <w:ind w:left="200" w:right="40" w:firstLine="441"/>
        <w:spacing w:after="0"/>
        <w:rPr>
          <w:sz w:val="20"/>
          <w:szCs w:val="20"/>
          <w:color w:val="auto"/>
        </w:rPr>
      </w:pPr>
      <w:r>
        <w:rPr>
          <w:rFonts w:ascii="Arial" w:cs="Arial" w:eastAsia="Arial" w:hAnsi="Arial"/>
          <w:sz w:val="18"/>
          <w:szCs w:val="18"/>
          <w:color w:val="auto"/>
        </w:rPr>
        <w:t>If a French Participant dies or ceases to be employed by the Company or a French Subsidiary or any Affiliate by reason of his or her Disability (as defined in this French Sub -Plan), the French Participant’s heirs or the disabled French Participant, as applicable, shall not be subject to the restrictions on the sale or transfer of Shares set forth in Section III.1(b) of this French Sub-Plan.</w:t>
      </w:r>
    </w:p>
    <w:p>
      <w:pPr>
        <w:spacing w:after="0" w:line="351" w:lineRule="exact"/>
        <w:rPr>
          <w:sz w:val="20"/>
          <w:szCs w:val="20"/>
          <w:color w:val="auto"/>
        </w:rPr>
      </w:pPr>
    </w:p>
    <w:p>
      <w:pPr>
        <w:ind w:left="640" w:hanging="436"/>
        <w:spacing w:after="0"/>
        <w:tabs>
          <w:tab w:leader="none" w:pos="640"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Interpretation</w:t>
      </w:r>
    </w:p>
    <w:p>
      <w:pPr>
        <w:spacing w:after="0" w:line="104" w:lineRule="exact"/>
        <w:rPr>
          <w:sz w:val="20"/>
          <w:szCs w:val="20"/>
          <w:color w:val="auto"/>
        </w:rPr>
      </w:pPr>
    </w:p>
    <w:p>
      <w:pPr>
        <w:ind w:left="200" w:firstLine="441"/>
        <w:spacing w:after="0" w:line="239" w:lineRule="auto"/>
        <w:rPr>
          <w:sz w:val="20"/>
          <w:szCs w:val="20"/>
          <w:color w:val="auto"/>
        </w:rPr>
      </w:pPr>
      <w:r>
        <w:rPr>
          <w:rFonts w:ascii="Arial" w:cs="Arial" w:eastAsia="Arial" w:hAnsi="Arial"/>
          <w:sz w:val="18"/>
          <w:szCs w:val="18"/>
          <w:color w:val="auto"/>
        </w:rPr>
        <w:t>It is intended that French-qualified RSUs granted under the French Sub-Plan shall qualify for the favorable tax and social security treatment applicable to French-qualified RSUs granted under Sections L. 225-197-1 to L. 225-197-6 of the French Commercial Code, as amended, and in accordance with the relevant provisions set forth by French tax law and the French tax administration, but no undertaking is made to maintain such status.</w:t>
      </w:r>
    </w:p>
    <w:p>
      <w:pPr>
        <w:spacing w:after="0" w:line="202" w:lineRule="exact"/>
        <w:rPr>
          <w:sz w:val="20"/>
          <w:szCs w:val="20"/>
          <w:color w:val="auto"/>
        </w:rPr>
      </w:pPr>
    </w:p>
    <w:p>
      <w:pPr>
        <w:ind w:left="200" w:right="40" w:firstLine="441"/>
        <w:spacing w:after="0"/>
        <w:rPr>
          <w:sz w:val="20"/>
          <w:szCs w:val="20"/>
          <w:color w:val="auto"/>
        </w:rPr>
      </w:pPr>
      <w:r>
        <w:rPr>
          <w:rFonts w:ascii="Arial" w:cs="Arial" w:eastAsia="Arial" w:hAnsi="Arial"/>
          <w:sz w:val="18"/>
          <w:szCs w:val="18"/>
          <w:color w:val="auto"/>
        </w:rPr>
        <w:t>The terms of the French Sub-Plan shall be interpreted accordingly and in accordance with the relevant provisions set forth by French tax and social security laws, as well as the French tax and social security administrations and the relevant guidelines released by the French tax and social security authorities and subject to the fulfillment of legal, tax and reporting obligations.</w:t>
      </w:r>
    </w:p>
    <w:p>
      <w:pPr>
        <w:spacing w:after="0" w:line="203" w:lineRule="exact"/>
        <w:rPr>
          <w:sz w:val="20"/>
          <w:szCs w:val="20"/>
          <w:color w:val="auto"/>
        </w:rPr>
      </w:pPr>
    </w:p>
    <w:p>
      <w:pPr>
        <w:ind w:left="200" w:right="80" w:firstLine="441"/>
        <w:spacing w:after="0" w:line="246" w:lineRule="auto"/>
        <w:rPr>
          <w:sz w:val="20"/>
          <w:szCs w:val="20"/>
          <w:color w:val="auto"/>
        </w:rPr>
      </w:pPr>
      <w:r>
        <w:rPr>
          <w:rFonts w:ascii="Arial" w:cs="Arial" w:eastAsia="Arial" w:hAnsi="Arial"/>
          <w:sz w:val="18"/>
          <w:szCs w:val="18"/>
          <w:color w:val="auto"/>
        </w:rPr>
        <w:t>In the event of any conflict between the provisions of the French Sub-Plan and the U.S. Plan, the provisions of this French Sub-Plan shall control for any grants of French-qualified RSUs made thereunder to French Participants.</w:t>
      </w:r>
    </w:p>
    <w:p>
      <w:pPr>
        <w:spacing w:after="0" w:line="345"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8"/>
          <w:szCs w:val="18"/>
          <w:color w:val="auto"/>
        </w:rPr>
        <w:t>IV.</w:t>
      </w:r>
      <w:r>
        <w:rPr>
          <w:sz w:val="20"/>
          <w:szCs w:val="20"/>
          <w:color w:val="auto"/>
        </w:rPr>
        <w:tab/>
      </w:r>
      <w:r>
        <w:rPr>
          <w:rFonts w:ascii="Arial" w:cs="Arial" w:eastAsia="Arial" w:hAnsi="Arial"/>
          <w:sz w:val="18"/>
          <w:szCs w:val="18"/>
          <w:u w:val="single" w:color="auto"/>
          <w:color w:val="auto"/>
        </w:rPr>
        <w:t>ADOPTION</w:t>
      </w:r>
    </w:p>
    <w:p>
      <w:pPr>
        <w:spacing w:after="0" w:line="104" w:lineRule="exact"/>
        <w:rPr>
          <w:sz w:val="20"/>
          <w:szCs w:val="20"/>
          <w:color w:val="auto"/>
        </w:rPr>
      </w:pPr>
    </w:p>
    <w:p>
      <w:pPr>
        <w:ind w:left="200" w:right="380" w:firstLine="441"/>
        <w:spacing w:after="0" w:line="246" w:lineRule="auto"/>
        <w:rPr>
          <w:sz w:val="20"/>
          <w:szCs w:val="20"/>
          <w:color w:val="auto"/>
        </w:rPr>
      </w:pPr>
      <w:r>
        <w:rPr>
          <w:rFonts w:ascii="Arial" w:cs="Arial" w:eastAsia="Arial" w:hAnsi="Arial"/>
          <w:sz w:val="18"/>
          <w:szCs w:val="18"/>
          <w:color w:val="auto"/>
        </w:rPr>
        <w:t>The French Sub-Plan was adopted by the Board of Directors on December 11, 2019 and will become effective as of the date the Company’s stockholders approve the U.S. Plan.</w:t>
      </w:r>
    </w:p>
    <w:p>
      <w:pPr>
        <w:spacing w:after="0" w:line="129" w:lineRule="exact"/>
        <w:rPr>
          <w:sz w:val="20"/>
          <w:szCs w:val="20"/>
          <w:color w:val="auto"/>
        </w:rPr>
      </w:pPr>
    </w:p>
    <w:p>
      <w:pPr>
        <w:ind w:left="200"/>
        <w:spacing w:after="0"/>
        <w:tabs>
          <w:tab w:leader="none" w:pos="760" w:val="left"/>
        </w:tabs>
        <w:rPr>
          <w:sz w:val="20"/>
          <w:szCs w:val="20"/>
          <w:color w:val="auto"/>
        </w:rPr>
      </w:pPr>
      <w:r>
        <w:rPr>
          <w:rFonts w:ascii="Arial" w:cs="Arial" w:eastAsia="Arial" w:hAnsi="Arial"/>
          <w:sz w:val="18"/>
          <w:szCs w:val="18"/>
          <w:color w:val="999999"/>
        </w:rPr>
        <w:t>B-22</w:t>
      </w:r>
      <w:r>
        <w:rPr>
          <w:sz w:val="20"/>
          <w:szCs w:val="20"/>
          <w:color w:val="auto"/>
        </w:rPr>
        <w:tab/>
      </w:r>
      <w:r>
        <w:rPr>
          <w:rFonts w:ascii="Arial" w:cs="Arial" w:eastAsia="Arial" w:hAnsi="Arial"/>
          <w:sz w:val="14"/>
          <w:szCs w:val="14"/>
          <w:b w:val="1"/>
          <w:bCs w:val="1"/>
          <w:color w:val="052B82"/>
        </w:rPr>
        <w:t>Analog Devices, Inc.</w:t>
      </w:r>
    </w:p>
    <w:p>
      <w:pPr>
        <w:sectPr>
          <w:pgSz w:w="11900" w:h="16838" w:orient="portrait"/>
          <w:cols w:equalWidth="0" w:num="1">
            <w:col w:w="11220"/>
          </w:cols>
          <w:pgMar w:left="240" w:top="459" w:right="4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205740</wp:posOffset>
            </wp:positionV>
            <wp:extent cx="2649855" cy="13716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auto"/>
        </w:rPr>
        <w:t>RULES OF THE ANALOG DEVICES, INC.</w:t>
      </w:r>
    </w:p>
    <w:p>
      <w:pPr>
        <w:spacing w:after="0" w:line="42"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auto"/>
        </w:rPr>
        <w:t>2020 EQUITY INCENTIVE PLAN</w:t>
      </w:r>
    </w:p>
    <w:p>
      <w:pPr>
        <w:spacing w:after="0" w:line="10"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auto"/>
        </w:rPr>
        <w:t>ISRAELI SUB-PLAN</w:t>
      </w:r>
    </w:p>
    <w:p>
      <w:pPr>
        <w:spacing w:after="0" w:line="250" w:lineRule="exact"/>
        <w:rPr>
          <w:sz w:val="20"/>
          <w:szCs w:val="20"/>
          <w:color w:val="auto"/>
        </w:rPr>
      </w:pPr>
    </w:p>
    <w:p>
      <w:pPr>
        <w:ind w:left="640" w:hanging="436"/>
        <w:spacing w:after="0"/>
        <w:tabs>
          <w:tab w:leader="none" w:pos="64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GENERAL</w:t>
      </w:r>
    </w:p>
    <w:p>
      <w:pPr>
        <w:spacing w:after="0" w:line="104" w:lineRule="exact"/>
        <w:rPr>
          <w:sz w:val="20"/>
          <w:szCs w:val="20"/>
          <w:color w:val="auto"/>
        </w:rPr>
      </w:pPr>
    </w:p>
    <w:p>
      <w:pPr>
        <w:ind w:left="200" w:right="60" w:firstLine="441"/>
        <w:spacing w:after="0" w:line="238" w:lineRule="auto"/>
        <w:rPr>
          <w:sz w:val="20"/>
          <w:szCs w:val="20"/>
          <w:color w:val="auto"/>
        </w:rPr>
      </w:pPr>
      <w:r>
        <w:rPr>
          <w:rFonts w:ascii="Arial" w:cs="Arial" w:eastAsia="Arial" w:hAnsi="Arial"/>
          <w:sz w:val="18"/>
          <w:szCs w:val="18"/>
          <w:color w:val="auto"/>
        </w:rPr>
        <w:t>1.1. This Israeli Sub-plan (the “Israeli Sub-Plan”) to the Analog Devices, Inc. 2020 Equity Incentive Plan (the “U.S. Plan”) shall apply only to Eligible Participants who are Employees, advisors or consultants of Analog Devices, Inc. (the “Company”) or one of its Subsidiaries (as defined below) in Israel. The provisions specified hereunder apply only to persons who are residents of the State of Israel or who are deemed to be residents of the State of Israel for tax purposes, or are otherwise subject to taxation in Israel with respect to Awards (as defined below).</w:t>
      </w:r>
    </w:p>
    <w:p>
      <w:pPr>
        <w:spacing w:after="0" w:line="203" w:lineRule="exact"/>
        <w:rPr>
          <w:sz w:val="20"/>
          <w:szCs w:val="20"/>
          <w:color w:val="auto"/>
        </w:rPr>
      </w:pPr>
    </w:p>
    <w:p>
      <w:pPr>
        <w:ind w:left="200" w:right="140" w:firstLine="441"/>
        <w:spacing w:after="0" w:line="239" w:lineRule="auto"/>
        <w:rPr>
          <w:sz w:val="20"/>
          <w:szCs w:val="20"/>
          <w:color w:val="auto"/>
        </w:rPr>
      </w:pPr>
      <w:r>
        <w:rPr>
          <w:rFonts w:ascii="Arial" w:cs="Arial" w:eastAsia="Arial" w:hAnsi="Arial"/>
          <w:sz w:val="18"/>
          <w:szCs w:val="18"/>
          <w:color w:val="auto"/>
        </w:rPr>
        <w:t>1.2. This Israeli Sub-Plan is effective with respect to stock options (the “Options”) and restricted stock units (“RSUs”) granted at least 30 days after the this Israeli Sub-Plan and the U.S. Plan are duly submitted to the ITA (as defined below) in accordance with the provisions of Section 102, unless otherwise approved by the ITA or allowed under Section 102. This Israeli Sub-Plan shall comply with Amendment no. 132 of the Ordinance and all rules, regulations and guidelines promulgated thereunder.</w:t>
      </w:r>
    </w:p>
    <w:p>
      <w:pPr>
        <w:spacing w:after="0" w:line="202" w:lineRule="exact"/>
        <w:rPr>
          <w:sz w:val="20"/>
          <w:szCs w:val="20"/>
          <w:color w:val="auto"/>
        </w:rPr>
      </w:pPr>
    </w:p>
    <w:p>
      <w:pPr>
        <w:ind w:left="200" w:right="40" w:firstLine="441"/>
        <w:spacing w:after="0" w:line="238" w:lineRule="auto"/>
        <w:rPr>
          <w:sz w:val="20"/>
          <w:szCs w:val="20"/>
          <w:color w:val="auto"/>
        </w:rPr>
      </w:pPr>
      <w:r>
        <w:rPr>
          <w:rFonts w:ascii="Arial" w:cs="Arial" w:eastAsia="Arial" w:hAnsi="Arial"/>
          <w:sz w:val="18"/>
          <w:szCs w:val="18"/>
          <w:color w:val="auto"/>
        </w:rPr>
        <w:t>1.3. The purpose of this Israeli Sub-Plan is to establish certain rules and limitations applicable to Awards that may be granted under the U.S. Plan from time to time, in compliance with applicable laws currently in force in the State of Israel. Specifically, this Israeli Sub-Plan is made in order to conform the U.S. Plan to Section 102, so as to enable the grant of Awards under the U.S. Plan to an Eligible Participant. For the avoidance of doubt, this Israeli Sub-Plan does not add to or modify the U.S. Plan in any other respect if not specifically stated herein.</w:t>
      </w:r>
    </w:p>
    <w:p>
      <w:pPr>
        <w:spacing w:after="0" w:line="203" w:lineRule="exact"/>
        <w:rPr>
          <w:sz w:val="20"/>
          <w:szCs w:val="20"/>
          <w:color w:val="auto"/>
        </w:rPr>
      </w:pPr>
    </w:p>
    <w:p>
      <w:pPr>
        <w:ind w:left="200" w:right="20" w:firstLine="441"/>
        <w:spacing w:after="0" w:line="239" w:lineRule="auto"/>
        <w:rPr>
          <w:sz w:val="20"/>
          <w:szCs w:val="20"/>
          <w:color w:val="auto"/>
        </w:rPr>
      </w:pPr>
      <w:r>
        <w:rPr>
          <w:rFonts w:ascii="Arial" w:cs="Arial" w:eastAsia="Arial" w:hAnsi="Arial"/>
          <w:sz w:val="18"/>
          <w:szCs w:val="18"/>
          <w:color w:val="auto"/>
        </w:rPr>
        <w:t>1.4. The U.S. Plan and this Israeli Sub-Plan are complimentary to each other and shall be deemed as one. The U.S. Plan and this Israeli Sub-Plan shall be read together. In any case of contradiction, whether explicit or implied, between the provisions of this Israeli Sub-Plan and the U.S. Plan, the provisions of this Israeli Sub-Plan shall supersede and govern; provided, however, that this Israeli Sub-Plan shall not be construed to grant rights not consistent with the terms of the U.S. Plan, unless specifically set forth herein.</w:t>
      </w:r>
    </w:p>
    <w:p>
      <w:pPr>
        <w:spacing w:after="0" w:line="202" w:lineRule="exact"/>
        <w:rPr>
          <w:sz w:val="20"/>
          <w:szCs w:val="20"/>
          <w:color w:val="auto"/>
        </w:rPr>
      </w:pPr>
    </w:p>
    <w:p>
      <w:pPr>
        <w:ind w:left="200" w:right="140" w:firstLine="441"/>
        <w:spacing w:after="0" w:line="246" w:lineRule="auto"/>
        <w:rPr>
          <w:sz w:val="20"/>
          <w:szCs w:val="20"/>
          <w:color w:val="auto"/>
        </w:rPr>
      </w:pPr>
      <w:r>
        <w:rPr>
          <w:rFonts w:ascii="Arial" w:cs="Arial" w:eastAsia="Arial" w:hAnsi="Arial"/>
          <w:sz w:val="18"/>
          <w:szCs w:val="18"/>
          <w:color w:val="auto"/>
        </w:rPr>
        <w:t>1.5. Any capitalized term not specifically defined in this Israeli Sub-Plan shall be construed according to the interpretation given to it in the U.S. Plan.</w:t>
      </w:r>
    </w:p>
    <w:p>
      <w:pPr>
        <w:spacing w:after="0" w:line="345" w:lineRule="exact"/>
        <w:rPr>
          <w:sz w:val="20"/>
          <w:szCs w:val="20"/>
          <w:color w:val="auto"/>
        </w:rPr>
      </w:pPr>
    </w:p>
    <w:p>
      <w:pPr>
        <w:ind w:left="640" w:hanging="436"/>
        <w:spacing w:after="0"/>
        <w:tabs>
          <w:tab w:leader="none" w:pos="6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103"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2.1.“3(i) Award” means an Award granted pursuant to Section 3(i) of the Ordinance to any person who is a Non-Employee.</w:t>
      </w:r>
    </w:p>
    <w:p>
      <w:pPr>
        <w:spacing w:after="0" w:line="211"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2.2.“102 Award” means any Award granted to Employees pursuant to Section 102 of the Ordinance.</w:t>
      </w:r>
    </w:p>
    <w:p>
      <w:pPr>
        <w:spacing w:after="0" w:line="212" w:lineRule="exact"/>
        <w:rPr>
          <w:sz w:val="20"/>
          <w:szCs w:val="20"/>
          <w:color w:val="auto"/>
        </w:rPr>
      </w:pPr>
    </w:p>
    <w:p>
      <w:pPr>
        <w:ind w:left="200" w:right="240" w:firstLine="441"/>
        <w:spacing w:after="0" w:line="246" w:lineRule="auto"/>
        <w:rPr>
          <w:sz w:val="20"/>
          <w:szCs w:val="20"/>
          <w:color w:val="auto"/>
        </w:rPr>
      </w:pPr>
      <w:r>
        <w:rPr>
          <w:rFonts w:ascii="Arial" w:cs="Arial" w:eastAsia="Arial" w:hAnsi="Arial"/>
          <w:sz w:val="18"/>
          <w:szCs w:val="18"/>
          <w:color w:val="auto"/>
        </w:rPr>
        <w:t>2.3. “102 Capital Gains Track Grant” means a 102 Trustee Grant elected and designated by the Company to qualify under the capital gain tax treatment in accordance with the provisions of Section 102(b)(2) and 102(b)(3) of the Ordinance.</w:t>
      </w:r>
    </w:p>
    <w:p>
      <w:pPr>
        <w:spacing w:after="0" w:line="197" w:lineRule="exact"/>
        <w:rPr>
          <w:sz w:val="20"/>
          <w:szCs w:val="20"/>
          <w:color w:val="auto"/>
        </w:rPr>
      </w:pPr>
    </w:p>
    <w:p>
      <w:pPr>
        <w:ind w:left="200" w:right="280" w:firstLine="441"/>
        <w:spacing w:after="0" w:line="246" w:lineRule="auto"/>
        <w:rPr>
          <w:sz w:val="20"/>
          <w:szCs w:val="20"/>
          <w:color w:val="auto"/>
        </w:rPr>
      </w:pPr>
      <w:r>
        <w:rPr>
          <w:rFonts w:ascii="Arial" w:cs="Arial" w:eastAsia="Arial" w:hAnsi="Arial"/>
          <w:sz w:val="18"/>
          <w:szCs w:val="18"/>
          <w:color w:val="auto"/>
        </w:rPr>
        <w:t>2.4. “102 Ordinary Income Track Grant” means a 102 Trustee Grant elected and designated by the Company to qualify under the ordinary income tax treatment in accordance with the provisions of Section 102(b)(1) of the Ordinance.</w:t>
      </w:r>
    </w:p>
    <w:p>
      <w:pPr>
        <w:spacing w:after="0" w:line="197" w:lineRule="exact"/>
        <w:rPr>
          <w:sz w:val="20"/>
          <w:szCs w:val="20"/>
          <w:color w:val="auto"/>
        </w:rPr>
      </w:pPr>
    </w:p>
    <w:p>
      <w:pPr>
        <w:ind w:left="200" w:right="40" w:firstLine="441"/>
        <w:spacing w:after="0" w:line="246" w:lineRule="auto"/>
        <w:rPr>
          <w:sz w:val="20"/>
          <w:szCs w:val="20"/>
          <w:color w:val="auto"/>
        </w:rPr>
      </w:pPr>
      <w:r>
        <w:rPr>
          <w:rFonts w:ascii="Arial" w:cs="Arial" w:eastAsia="Arial" w:hAnsi="Arial"/>
          <w:sz w:val="18"/>
          <w:szCs w:val="18"/>
          <w:color w:val="auto"/>
        </w:rPr>
        <w:t>2.5. “102 Trustee Grant” means an Award granted pursuant to Section 102(b) of the Ordinance (includes both 102 Capital Gains Track Grants and 102 Ordinary Income Track Grants) held in trust by a Trustee for the benefit of the Employee.</w:t>
      </w:r>
    </w:p>
    <w:p>
      <w:pPr>
        <w:spacing w:after="0" w:line="197" w:lineRule="exact"/>
        <w:rPr>
          <w:sz w:val="20"/>
          <w:szCs w:val="20"/>
          <w:color w:val="auto"/>
        </w:rPr>
      </w:pPr>
    </w:p>
    <w:p>
      <w:pPr>
        <w:ind w:left="200" w:right="100" w:firstLine="441"/>
        <w:spacing w:after="0" w:line="246" w:lineRule="auto"/>
        <w:rPr>
          <w:sz w:val="20"/>
          <w:szCs w:val="20"/>
          <w:color w:val="auto"/>
        </w:rPr>
      </w:pPr>
      <w:r>
        <w:rPr>
          <w:rFonts w:ascii="Arial" w:cs="Arial" w:eastAsia="Arial" w:hAnsi="Arial"/>
          <w:sz w:val="18"/>
          <w:szCs w:val="18"/>
          <w:color w:val="auto"/>
        </w:rPr>
        <w:t>2.6. “Award” solely for purposes of this Israeli Sub-Plan, means an Option or RSU granted pursuant to the terms and conditions of the U.S. Plan and this Israeli Sub-Plan (including Performance Awards granted under Section 9 of the U.S. Plan).</w:t>
      </w:r>
    </w:p>
    <w:p>
      <w:pPr>
        <w:spacing w:after="0" w:line="129" w:lineRule="exact"/>
        <w:rPr>
          <w:sz w:val="20"/>
          <w:szCs w:val="20"/>
          <w:color w:val="auto"/>
        </w:rPr>
      </w:pPr>
    </w:p>
    <w:p>
      <w:pPr>
        <w:jc w:val="right"/>
        <w:spacing w:after="0"/>
        <w:tabs>
          <w:tab w:leader="none" w:pos="360" w:val="left"/>
        </w:tabs>
        <w:rPr>
          <w:sz w:val="20"/>
          <w:szCs w:val="20"/>
          <w:color w:val="auto"/>
        </w:rPr>
      </w:pPr>
      <w:r>
        <w:rPr>
          <w:rFonts w:ascii="Arial" w:cs="Arial" w:eastAsia="Arial" w:hAnsi="Arial"/>
          <w:sz w:val="14"/>
          <w:szCs w:val="14"/>
          <w:b w:val="1"/>
          <w:bCs w:val="1"/>
          <w:color w:val="052B82"/>
        </w:rPr>
        <w:t>2020 Proxy Statement</w:t>
      </w:r>
      <w:r>
        <w:rPr>
          <w:sz w:val="20"/>
          <w:szCs w:val="20"/>
          <w:color w:val="auto"/>
        </w:rPr>
        <w:tab/>
      </w:r>
      <w:r>
        <w:rPr>
          <w:rFonts w:ascii="Arial" w:cs="Arial" w:eastAsia="Arial" w:hAnsi="Arial"/>
          <w:sz w:val="17"/>
          <w:szCs w:val="17"/>
          <w:color w:val="999999"/>
        </w:rPr>
        <w:t>B-23</w:t>
      </w:r>
    </w:p>
    <w:p>
      <w:pPr>
        <w:sectPr>
          <w:pgSz w:w="11900" w:h="16838" w:orient="portrait"/>
          <w:cols w:equalWidth="0" w:num="1">
            <w:col w:w="11220"/>
          </w:cols>
          <w:pgMar w:left="240" w:top="459" w:right="4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2649855" cy="13716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0" w:firstLine="441"/>
        <w:spacing w:after="0" w:line="246" w:lineRule="auto"/>
        <w:rPr>
          <w:sz w:val="20"/>
          <w:szCs w:val="20"/>
          <w:color w:val="auto"/>
        </w:rPr>
      </w:pPr>
      <w:r>
        <w:rPr>
          <w:rFonts w:ascii="Arial" w:cs="Arial" w:eastAsia="Arial" w:hAnsi="Arial"/>
          <w:sz w:val="18"/>
          <w:szCs w:val="18"/>
          <w:color w:val="auto"/>
        </w:rPr>
        <w:t>2.7. “Award Agreement” means the agreement between the Company and a grantee that sets out the terms and conditions of an Option and/or RSU award.</w:t>
      </w:r>
    </w:p>
    <w:p>
      <w:pPr>
        <w:spacing w:after="0" w:line="197" w:lineRule="exact"/>
        <w:rPr>
          <w:sz w:val="20"/>
          <w:szCs w:val="20"/>
          <w:color w:val="auto"/>
        </w:rPr>
      </w:pPr>
    </w:p>
    <w:p>
      <w:pPr>
        <w:jc w:val="both"/>
        <w:ind w:left="200" w:firstLine="441"/>
        <w:spacing w:after="0" w:line="237" w:lineRule="auto"/>
        <w:rPr>
          <w:sz w:val="20"/>
          <w:szCs w:val="20"/>
          <w:color w:val="auto"/>
        </w:rPr>
      </w:pPr>
      <w:r>
        <w:rPr>
          <w:rFonts w:ascii="Arial" w:cs="Arial" w:eastAsia="Arial" w:hAnsi="Arial"/>
          <w:sz w:val="18"/>
          <w:szCs w:val="18"/>
          <w:color w:val="auto"/>
        </w:rPr>
        <w:t>2.8. “Controlling Shareholder” shall have the meaning ascribed to it in Section 32(9) of the Ordinance, as may be amended from time to time, but which is, as of the date of this Israeli Sub-Plan, as follows: an Employee who prior to the grant of any Award or as a result of such grant, holds or would hold, directly or indirectly, in his name or with a “relative” (as defined in section 76(d) of the ITO) (i) at least 10% of the outstanding shares of the Company; (ii) at least 10% of the voting power of the Company; (iii) the right to hold or purchase at least 10% of the outstanding equity or voting power of the Company; (iv) the right to obtain at least 10% of the profit of the Company; or (v) the right to appoint a director of the Company.</w:t>
      </w:r>
    </w:p>
    <w:p>
      <w:pPr>
        <w:spacing w:after="0" w:line="205" w:lineRule="exact"/>
        <w:rPr>
          <w:sz w:val="20"/>
          <w:szCs w:val="20"/>
          <w:color w:val="auto"/>
        </w:rPr>
      </w:pPr>
    </w:p>
    <w:p>
      <w:pPr>
        <w:ind w:left="200" w:right="240" w:firstLine="441"/>
        <w:spacing w:after="0"/>
        <w:rPr>
          <w:sz w:val="20"/>
          <w:szCs w:val="20"/>
          <w:color w:val="auto"/>
        </w:rPr>
      </w:pPr>
      <w:r>
        <w:rPr>
          <w:rFonts w:ascii="Arial" w:cs="Arial" w:eastAsia="Arial" w:hAnsi="Arial"/>
          <w:sz w:val="18"/>
          <w:szCs w:val="18"/>
          <w:color w:val="auto"/>
        </w:rPr>
        <w:t>2.9. “Employee” means a person who is employed by the Company or its Affiliates, including an individual who is serving as a director or an office holder, but excluding any employee who is deemed to be a Controlling Shareholder before a grant or immediately thereafter.</w:t>
      </w:r>
    </w:p>
    <w:p>
      <w:pPr>
        <w:spacing w:after="0" w:line="203" w:lineRule="exact"/>
        <w:rPr>
          <w:sz w:val="20"/>
          <w:szCs w:val="20"/>
          <w:color w:val="auto"/>
        </w:rPr>
      </w:pPr>
    </w:p>
    <w:p>
      <w:pPr>
        <w:ind w:left="200" w:right="20" w:firstLine="441"/>
        <w:spacing w:after="0" w:line="237" w:lineRule="auto"/>
        <w:rPr>
          <w:sz w:val="20"/>
          <w:szCs w:val="20"/>
          <w:color w:val="auto"/>
        </w:rPr>
      </w:pPr>
      <w:r>
        <w:rPr>
          <w:rFonts w:ascii="Arial" w:cs="Arial" w:eastAsia="Arial" w:hAnsi="Arial"/>
          <w:sz w:val="18"/>
          <w:szCs w:val="18"/>
          <w:color w:val="auto"/>
        </w:rPr>
        <w:t>2.10. “Israeli Fair Market Value” means, with respect to 102 Capital Gains Track Grants only, for the sole purpose of determining tax liability pursuant to Section 102(b)(3) of the Ordinance, if on grant date the Common Stock is listed on any established stock exchange or a national market system or if the Common Stock will be registered for trading within ninety (90) days following the grant date, the fair market value of the Common Stock at the grant date shall be determined in accordance with the average value of the Common Stock on the thirty (30) trading days preceding the grant date or on the thirty (30) trading days following the date of registration for trading, as the case may be.</w:t>
      </w:r>
    </w:p>
    <w:p>
      <w:pPr>
        <w:spacing w:after="0" w:line="205"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7"/>
          <w:szCs w:val="17"/>
          <w:color w:val="auto"/>
        </w:rPr>
        <w:t>“ITA” means the Israeli Tax Authority.</w:t>
      </w:r>
    </w:p>
    <w:p>
      <w:pPr>
        <w:spacing w:after="0" w:line="212" w:lineRule="exact"/>
        <w:rPr>
          <w:sz w:val="20"/>
          <w:szCs w:val="20"/>
          <w:color w:val="auto"/>
        </w:rPr>
      </w:pPr>
    </w:p>
    <w:p>
      <w:pPr>
        <w:ind w:left="200" w:right="200" w:firstLine="441"/>
        <w:spacing w:after="0" w:line="246" w:lineRule="auto"/>
        <w:rPr>
          <w:sz w:val="20"/>
          <w:szCs w:val="20"/>
          <w:color w:val="auto"/>
        </w:rPr>
      </w:pPr>
      <w:r>
        <w:rPr>
          <w:rFonts w:ascii="Arial" w:cs="Arial" w:eastAsia="Arial" w:hAnsi="Arial"/>
          <w:sz w:val="18"/>
          <w:szCs w:val="18"/>
          <w:color w:val="auto"/>
        </w:rPr>
        <w:t>2.12. “Non-Employee” means a consultant, adviser, service provider, Controlling Shareholder or any other person who is not an Employee.</w:t>
      </w:r>
    </w:p>
    <w:p>
      <w:pPr>
        <w:spacing w:after="0" w:line="197" w:lineRule="exact"/>
        <w:rPr>
          <w:sz w:val="20"/>
          <w:szCs w:val="20"/>
          <w:color w:val="auto"/>
        </w:rPr>
      </w:pPr>
    </w:p>
    <w:p>
      <w:pPr>
        <w:ind w:left="200" w:right="360" w:firstLine="441"/>
        <w:spacing w:after="0" w:line="246" w:lineRule="auto"/>
        <w:rPr>
          <w:sz w:val="20"/>
          <w:szCs w:val="20"/>
          <w:color w:val="auto"/>
        </w:rPr>
      </w:pPr>
      <w:r>
        <w:rPr>
          <w:rFonts w:ascii="Arial" w:cs="Arial" w:eastAsia="Arial" w:hAnsi="Arial"/>
          <w:sz w:val="18"/>
          <w:szCs w:val="18"/>
          <w:color w:val="auto"/>
        </w:rPr>
        <w:t>2.13. “Non-Trustee Grant” means a 102 Award granted pursuant to Section 102(c) of the Ordinance and not held in trust by a Trustee.</w:t>
      </w:r>
    </w:p>
    <w:p>
      <w:pPr>
        <w:spacing w:after="0" w:line="197"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7"/>
          <w:szCs w:val="17"/>
          <w:color w:val="auto"/>
        </w:rPr>
        <w:t>“Ordinance” means the 1961 Israeli Income Tax Ordinance [New Version] 1961 as now in effect or as hereafter amended.</w:t>
      </w:r>
    </w:p>
    <w:p>
      <w:pPr>
        <w:spacing w:after="0" w:line="212" w:lineRule="exact"/>
        <w:rPr>
          <w:sz w:val="20"/>
          <w:szCs w:val="20"/>
          <w:color w:val="auto"/>
        </w:rPr>
      </w:pPr>
    </w:p>
    <w:p>
      <w:pPr>
        <w:ind w:left="200" w:right="760" w:firstLine="441"/>
        <w:spacing w:after="0" w:line="246" w:lineRule="auto"/>
        <w:rPr>
          <w:sz w:val="20"/>
          <w:szCs w:val="20"/>
          <w:color w:val="auto"/>
        </w:rPr>
      </w:pPr>
      <w:r>
        <w:rPr>
          <w:rFonts w:ascii="Arial" w:cs="Arial" w:eastAsia="Arial" w:hAnsi="Arial"/>
          <w:sz w:val="18"/>
          <w:szCs w:val="18"/>
          <w:color w:val="auto"/>
        </w:rPr>
        <w:t>2.15. “Section 102” means section 102 of the Ordinance and any regulations, rules, orders or procedures, administrative guidelines and tax rulings promulgated there under as now in effect or as hereafter amended.</w:t>
      </w:r>
    </w:p>
    <w:p>
      <w:pPr>
        <w:spacing w:after="0" w:line="197"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7"/>
          <w:szCs w:val="17"/>
          <w:color w:val="auto"/>
        </w:rPr>
        <w:t>“Subsidiary” means any “employing company” within the meaning of Section 102(a) of the Ordinance.</w:t>
      </w:r>
    </w:p>
    <w:p>
      <w:pPr>
        <w:spacing w:after="0" w:line="212" w:lineRule="exact"/>
        <w:rPr>
          <w:sz w:val="20"/>
          <w:szCs w:val="20"/>
          <w:color w:val="auto"/>
        </w:rPr>
      </w:pPr>
    </w:p>
    <w:p>
      <w:pPr>
        <w:ind w:left="200" w:right="340" w:firstLine="441"/>
        <w:spacing w:after="0" w:line="246" w:lineRule="auto"/>
        <w:rPr>
          <w:sz w:val="20"/>
          <w:szCs w:val="20"/>
          <w:color w:val="auto"/>
        </w:rPr>
      </w:pPr>
      <w:r>
        <w:rPr>
          <w:rFonts w:ascii="Arial" w:cs="Arial" w:eastAsia="Arial" w:hAnsi="Arial"/>
          <w:sz w:val="18"/>
          <w:szCs w:val="18"/>
          <w:color w:val="auto"/>
        </w:rPr>
        <w:t>2.17. “Trustee” means any individual or entity appointed by the Company to serve as a trustee and approved by the ITA, all in accordance with the provisions of Section 102(a) of the Ordinance.</w:t>
      </w:r>
    </w:p>
    <w:p>
      <w:pPr>
        <w:spacing w:after="0" w:line="345" w:lineRule="exact"/>
        <w:rPr>
          <w:sz w:val="20"/>
          <w:szCs w:val="20"/>
          <w:color w:val="auto"/>
        </w:rPr>
      </w:pPr>
    </w:p>
    <w:p>
      <w:pPr>
        <w:ind w:left="640" w:hanging="436"/>
        <w:spacing w:after="0"/>
        <w:tabs>
          <w:tab w:leader="none" w:pos="6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ISSUANCE OF AWARDS</w:t>
      </w:r>
    </w:p>
    <w:p>
      <w:pPr>
        <w:spacing w:after="0" w:line="104" w:lineRule="exact"/>
        <w:rPr>
          <w:sz w:val="20"/>
          <w:szCs w:val="20"/>
          <w:color w:val="auto"/>
        </w:rPr>
      </w:pPr>
    </w:p>
    <w:p>
      <w:pPr>
        <w:ind w:left="200" w:right="140" w:firstLine="441"/>
        <w:spacing w:after="0"/>
        <w:rPr>
          <w:sz w:val="20"/>
          <w:szCs w:val="20"/>
          <w:color w:val="auto"/>
        </w:rPr>
      </w:pPr>
      <w:r>
        <w:rPr>
          <w:rFonts w:ascii="Arial" w:cs="Arial" w:eastAsia="Arial" w:hAnsi="Arial"/>
          <w:sz w:val="18"/>
          <w:szCs w:val="18"/>
          <w:color w:val="auto"/>
        </w:rPr>
        <w:t>3.1. The persons eligible for participation in the U.S. Plan shall include any Employees and/or Non-Employees of the Company or of any Affiliate; provided, however, that (i) Employees may only be granted 102 Awards; and (ii) Non-Employees and/or Controlling Shareholders may only be granted 3(i) Awards (Employees and Non-Employees together, “Eligible Participants”).</w:t>
      </w:r>
    </w:p>
    <w:p>
      <w:pPr>
        <w:spacing w:after="0" w:line="203" w:lineRule="exact"/>
        <w:rPr>
          <w:sz w:val="20"/>
          <w:szCs w:val="20"/>
          <w:color w:val="auto"/>
        </w:rPr>
      </w:pPr>
    </w:p>
    <w:p>
      <w:pPr>
        <w:ind w:left="200" w:right="20" w:firstLine="441"/>
        <w:spacing w:after="0" w:line="246" w:lineRule="auto"/>
        <w:rPr>
          <w:sz w:val="20"/>
          <w:szCs w:val="20"/>
          <w:color w:val="auto"/>
        </w:rPr>
      </w:pPr>
      <w:r>
        <w:rPr>
          <w:rFonts w:ascii="Arial" w:cs="Arial" w:eastAsia="Arial" w:hAnsi="Arial"/>
          <w:sz w:val="18"/>
          <w:szCs w:val="18"/>
          <w:color w:val="auto"/>
        </w:rPr>
        <w:t>3.2. The Company may designate Awards granted to Employees pursuant to Section 102 as 102 Trustee Grants or Non-Trustee Grants.</w:t>
      </w:r>
    </w:p>
    <w:p>
      <w:pPr>
        <w:spacing w:after="0" w:line="197" w:lineRule="exact"/>
        <w:rPr>
          <w:sz w:val="20"/>
          <w:szCs w:val="20"/>
          <w:color w:val="auto"/>
        </w:rPr>
      </w:pPr>
    </w:p>
    <w:p>
      <w:pPr>
        <w:ind w:left="200" w:firstLine="441"/>
        <w:spacing w:after="0" w:line="246" w:lineRule="auto"/>
        <w:rPr>
          <w:sz w:val="20"/>
          <w:szCs w:val="20"/>
          <w:color w:val="auto"/>
        </w:rPr>
      </w:pPr>
      <w:r>
        <w:rPr>
          <w:rFonts w:ascii="Arial" w:cs="Arial" w:eastAsia="Arial" w:hAnsi="Arial"/>
          <w:sz w:val="18"/>
          <w:szCs w:val="18"/>
          <w:color w:val="auto"/>
        </w:rPr>
        <w:t>3.3. 102 Trustee Grants shall be made under this Israeli Sub-Plan adopted by the Board, and shall be conditioned upon the filing of this Israeli Sub-Plan with the ITA and the provisions of Section 102.</w:t>
      </w:r>
    </w:p>
    <w:p>
      <w:pPr>
        <w:spacing w:after="0" w:line="129" w:lineRule="exact"/>
        <w:rPr>
          <w:sz w:val="20"/>
          <w:szCs w:val="20"/>
          <w:color w:val="auto"/>
        </w:rPr>
      </w:pPr>
    </w:p>
    <w:p>
      <w:pPr>
        <w:ind w:left="200"/>
        <w:spacing w:after="0"/>
        <w:tabs>
          <w:tab w:leader="none" w:pos="760" w:val="left"/>
        </w:tabs>
        <w:rPr>
          <w:sz w:val="20"/>
          <w:szCs w:val="20"/>
          <w:color w:val="auto"/>
        </w:rPr>
      </w:pPr>
      <w:r>
        <w:rPr>
          <w:rFonts w:ascii="Arial" w:cs="Arial" w:eastAsia="Arial" w:hAnsi="Arial"/>
          <w:sz w:val="18"/>
          <w:szCs w:val="18"/>
          <w:color w:val="999999"/>
        </w:rPr>
        <w:t>B-24</w:t>
      </w:r>
      <w:r>
        <w:rPr>
          <w:sz w:val="20"/>
          <w:szCs w:val="20"/>
          <w:color w:val="auto"/>
        </w:rPr>
        <w:tab/>
      </w:r>
      <w:r>
        <w:rPr>
          <w:rFonts w:ascii="Arial" w:cs="Arial" w:eastAsia="Arial" w:hAnsi="Arial"/>
          <w:sz w:val="14"/>
          <w:szCs w:val="14"/>
          <w:b w:val="1"/>
          <w:bCs w:val="1"/>
          <w:color w:val="052B82"/>
        </w:rPr>
        <w:t>Analog Devices, Inc.</w:t>
      </w:r>
    </w:p>
    <w:p>
      <w:pPr>
        <w:sectPr>
          <w:pgSz w:w="11900" w:h="16838" w:orient="portrait"/>
          <w:cols w:equalWidth="0" w:num="1">
            <w:col w:w="11200"/>
          </w:cols>
          <w:pgMar w:left="240" w:top="459" w:right="4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205740</wp:posOffset>
            </wp:positionV>
            <wp:extent cx="2649855" cy="13716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7"/>
          <w:szCs w:val="17"/>
          <w:color w:val="auto"/>
        </w:rPr>
        <w:t>102 Trustee Grants may either be classified as 102 Capital Gain Track Grants or 102 Ordinary Income Track Grants.</w:t>
      </w:r>
    </w:p>
    <w:p>
      <w:pPr>
        <w:spacing w:after="0" w:line="212" w:lineRule="exact"/>
        <w:rPr>
          <w:sz w:val="20"/>
          <w:szCs w:val="20"/>
          <w:color w:val="auto"/>
        </w:rPr>
      </w:pPr>
    </w:p>
    <w:p>
      <w:pPr>
        <w:ind w:left="200" w:firstLine="441"/>
        <w:spacing w:after="0" w:line="234" w:lineRule="auto"/>
        <w:rPr>
          <w:sz w:val="20"/>
          <w:szCs w:val="20"/>
          <w:color w:val="auto"/>
        </w:rPr>
      </w:pPr>
      <w:r>
        <w:rPr>
          <w:rFonts w:ascii="Arial" w:cs="Arial" w:eastAsia="Arial" w:hAnsi="Arial"/>
          <w:sz w:val="18"/>
          <w:szCs w:val="18"/>
          <w:color w:val="auto"/>
        </w:rPr>
        <w:t>3.5. No 102 Trustee Grants may be made under this Israeli Sub-Plan to any Eligible Participant, unless and until the Company’s election of the type of 102 Trustee Grants as 102 Capital Gains Track Grants or 102 Ordinary Income Track Grants (the “Election”), is appropriately filed with the ITA. Such Election shall become effective on the first grant date of a 102 Trustee Grant under this Israeli Sub-Plan and shall remain in effect until the end of the year following the year during which the Company first made 102 Trustee Grants. Once the Company has filed such an Election, it may change the type of 102 Trustee Grant that it chooses to make only after the lapse of at least 12 months from the end of the calendar year in which the first grant was made in accordance with the previous Election, and in accordance with Section 102 of the Ordinance. The Election shall obligate the Company to grant only the type of 102 Trustee Grants it has elected, and shall apply to all 102 Trustee Grants during the period indicated herein, all in accordance with the provisions of</w:t>
      </w:r>
    </w:p>
    <w:p>
      <w:pPr>
        <w:spacing w:after="0" w:line="6" w:lineRule="exact"/>
        <w:rPr>
          <w:sz w:val="20"/>
          <w:szCs w:val="20"/>
          <w:color w:val="auto"/>
        </w:rPr>
      </w:pPr>
    </w:p>
    <w:p>
      <w:pPr>
        <w:ind w:left="200" w:right="400"/>
        <w:spacing w:after="0" w:line="246" w:lineRule="auto"/>
        <w:rPr>
          <w:sz w:val="20"/>
          <w:szCs w:val="20"/>
          <w:color w:val="auto"/>
        </w:rPr>
      </w:pPr>
      <w:r>
        <w:rPr>
          <w:rFonts w:ascii="Arial" w:cs="Arial" w:eastAsia="Arial" w:hAnsi="Arial"/>
          <w:sz w:val="18"/>
          <w:szCs w:val="18"/>
          <w:color w:val="auto"/>
        </w:rPr>
        <w:t>Section 102(g) of the Ordinance. For the avoidance of doubt, such Election shall not prevent the Company from granting Non-Trustee Grants simultaneously.</w:t>
      </w:r>
    </w:p>
    <w:p>
      <w:pPr>
        <w:spacing w:after="0" w:line="197"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7"/>
          <w:szCs w:val="17"/>
          <w:color w:val="auto"/>
        </w:rPr>
        <w:t>All 102 Trustee Grants must be held in trust by a Trustee, as described in section 4 below.</w:t>
      </w:r>
    </w:p>
    <w:p>
      <w:pPr>
        <w:spacing w:after="0" w:line="212" w:lineRule="exact"/>
        <w:rPr>
          <w:sz w:val="20"/>
          <w:szCs w:val="20"/>
          <w:color w:val="auto"/>
        </w:rPr>
      </w:pPr>
    </w:p>
    <w:p>
      <w:pPr>
        <w:ind w:left="200" w:right="760" w:firstLine="441"/>
        <w:spacing w:after="0" w:line="246" w:lineRule="auto"/>
        <w:rPr>
          <w:sz w:val="20"/>
          <w:szCs w:val="20"/>
          <w:color w:val="auto"/>
        </w:rPr>
      </w:pPr>
      <w:r>
        <w:rPr>
          <w:rFonts w:ascii="Arial" w:cs="Arial" w:eastAsia="Arial" w:hAnsi="Arial"/>
          <w:sz w:val="18"/>
          <w:szCs w:val="18"/>
          <w:color w:val="auto"/>
        </w:rPr>
        <w:t>3.7. In the case the requirements for 102 Trustee Grants are not met, then the 102 Trustee Grants shall be regarded as Non-Trustee Grants, all in accordance with the provisions of Section 102.</w:t>
      </w:r>
    </w:p>
    <w:p>
      <w:pPr>
        <w:spacing w:after="0" w:line="197" w:lineRule="exact"/>
        <w:rPr>
          <w:sz w:val="20"/>
          <w:szCs w:val="20"/>
          <w:color w:val="auto"/>
        </w:rPr>
      </w:pPr>
    </w:p>
    <w:p>
      <w:pPr>
        <w:ind w:left="200" w:right="340" w:firstLine="441"/>
        <w:spacing w:after="0" w:line="246" w:lineRule="auto"/>
        <w:rPr>
          <w:sz w:val="20"/>
          <w:szCs w:val="20"/>
          <w:color w:val="auto"/>
        </w:rPr>
      </w:pPr>
      <w:r>
        <w:rPr>
          <w:rFonts w:ascii="Arial" w:cs="Arial" w:eastAsia="Arial" w:hAnsi="Arial"/>
          <w:sz w:val="18"/>
          <w:szCs w:val="18"/>
          <w:color w:val="auto"/>
        </w:rPr>
        <w:t>3.8. For the avoidance of doubt, the designation of 102 Trustee Grants and Non-Trustee Grants shall be subject to the terms and conditions set forth in Section 102.</w:t>
      </w:r>
    </w:p>
    <w:p>
      <w:pPr>
        <w:spacing w:after="0" w:line="345" w:lineRule="exact"/>
        <w:rPr>
          <w:sz w:val="20"/>
          <w:szCs w:val="20"/>
          <w:color w:val="auto"/>
        </w:rPr>
      </w:pPr>
    </w:p>
    <w:p>
      <w:pPr>
        <w:ind w:left="640" w:hanging="436"/>
        <w:spacing w:after="0"/>
        <w:tabs>
          <w:tab w:leader="none" w:pos="64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TRUSTEE</w:t>
      </w:r>
    </w:p>
    <w:p>
      <w:pPr>
        <w:spacing w:after="0" w:line="104" w:lineRule="exact"/>
        <w:rPr>
          <w:sz w:val="20"/>
          <w:szCs w:val="20"/>
          <w:color w:val="auto"/>
        </w:rPr>
      </w:pPr>
    </w:p>
    <w:p>
      <w:pPr>
        <w:ind w:left="200" w:right="40" w:firstLine="441"/>
        <w:spacing w:after="0" w:line="237" w:lineRule="auto"/>
        <w:rPr>
          <w:sz w:val="20"/>
          <w:szCs w:val="20"/>
          <w:color w:val="auto"/>
        </w:rPr>
      </w:pPr>
      <w:r>
        <w:rPr>
          <w:rFonts w:ascii="Arial" w:cs="Arial" w:eastAsia="Arial" w:hAnsi="Arial"/>
          <w:sz w:val="18"/>
          <w:szCs w:val="18"/>
          <w:color w:val="auto"/>
        </w:rPr>
        <w:t>4.1. 102 Trustee Grants under this Israeli Sub-Plan and/or any Common Stock allocated or issued upon exercise or vesting of such 102 Trustee Grants and/or other Common Stock received subsequently following any realization of rights, including bonus shares, shall be allocated or issued to the Trustee and held for the benefit of the Employee for such period of time as required by Section 102 (the “Holding Period”), unless the ITA approves otherwise in writing. If such an Award is exercised or vests after the Holding Period ends, the Common Stock issued upon such exercise or vesting shall, at the election of the Eligible Participant, either (i) be issued in the name of the Trustee; or (ii) be transferred to the Eligible Participant directly, provided that the Eligible Participant first complies with all applicable provisions of the U.S. Plan and this Israeli Sub-Plan including but not limited to payment of tax.</w:t>
      </w:r>
    </w:p>
    <w:p>
      <w:pPr>
        <w:spacing w:after="0" w:line="203" w:lineRule="exact"/>
        <w:rPr>
          <w:sz w:val="20"/>
          <w:szCs w:val="20"/>
          <w:color w:val="auto"/>
        </w:rPr>
      </w:pPr>
    </w:p>
    <w:p>
      <w:pPr>
        <w:ind w:left="200" w:right="180" w:firstLine="441"/>
        <w:spacing w:after="0" w:line="237" w:lineRule="auto"/>
        <w:rPr>
          <w:sz w:val="20"/>
          <w:szCs w:val="20"/>
          <w:color w:val="auto"/>
        </w:rPr>
      </w:pPr>
      <w:r>
        <w:rPr>
          <w:rFonts w:ascii="Arial" w:cs="Arial" w:eastAsia="Arial" w:hAnsi="Arial"/>
          <w:sz w:val="18"/>
          <w:szCs w:val="18"/>
          <w:color w:val="auto"/>
        </w:rPr>
        <w:t>4.2. After termination of the Holding Period, the Trustee may release the Award and any Common Stock issued with respect to the Award, provided that (i) the Trustee has received an acknowledgement from the ITA that the Employee has paid any applicable tax due pursuant to the Ordinance or (ii) the Trustee and/or the Company or the Affiliate withholds any applicable tax due pursuant to the Ordinance. Notwithstanding anything to the contrary, the Trustee shall not release any Common Stock allocated or issued upon exercise or vesting of 102 Trustee Grants prior to the full payment of the Employee’s tax liabilities arising from 102 Trustee Grants and/or any Common Stock allocated or issued upon exercise or vesting of such Awards.</w:t>
      </w:r>
    </w:p>
    <w:p>
      <w:pPr>
        <w:spacing w:after="0" w:line="205" w:lineRule="exact"/>
        <w:rPr>
          <w:sz w:val="20"/>
          <w:szCs w:val="20"/>
          <w:color w:val="auto"/>
        </w:rPr>
      </w:pPr>
    </w:p>
    <w:p>
      <w:pPr>
        <w:ind w:left="200" w:right="120" w:firstLine="441"/>
        <w:spacing w:after="0"/>
        <w:rPr>
          <w:sz w:val="20"/>
          <w:szCs w:val="20"/>
          <w:color w:val="auto"/>
        </w:rPr>
      </w:pPr>
      <w:r>
        <w:rPr>
          <w:rFonts w:ascii="Arial" w:cs="Arial" w:eastAsia="Arial" w:hAnsi="Arial"/>
          <w:sz w:val="18"/>
          <w:szCs w:val="18"/>
          <w:color w:val="auto"/>
        </w:rPr>
        <w:t>4.3. Upon receipt of 102 Trustee Grants, the Eligible Participant will sign an undertaking to release the Trustee from any liability in respect of any action or decision duly taken and bona fide executed in relation with this Israeli Sub-Plan, or any 102 Trustee Grant or Common Stock granted to him thereunder.</w:t>
      </w:r>
    </w:p>
    <w:p>
      <w:pPr>
        <w:spacing w:after="0" w:line="203" w:lineRule="exact"/>
        <w:rPr>
          <w:sz w:val="20"/>
          <w:szCs w:val="20"/>
          <w:color w:val="auto"/>
        </w:rPr>
      </w:pPr>
    </w:p>
    <w:p>
      <w:pPr>
        <w:ind w:left="200" w:right="200" w:firstLine="441"/>
        <w:spacing w:after="0" w:line="237" w:lineRule="auto"/>
        <w:rPr>
          <w:sz w:val="20"/>
          <w:szCs w:val="20"/>
          <w:color w:val="auto"/>
        </w:rPr>
      </w:pPr>
      <w:r>
        <w:rPr>
          <w:rFonts w:ascii="Arial" w:cs="Arial" w:eastAsia="Arial" w:hAnsi="Arial"/>
          <w:sz w:val="18"/>
          <w:szCs w:val="18"/>
          <w:color w:val="auto"/>
        </w:rPr>
        <w:t>4.4. With respect to any 102 Trustee Grant, subject to the provisions of Section 102, an Eligible Participant shall not sell or release from trust any Common Stock received upon the exercise or vesting of a 102 Trustee Grant and/or any Common Stock received subsequently following any realization of rights, including without limitation, bonus shares, until the lapse of the Holding Period required under Section 102 of the Ordinance. Notwithstanding the above, if any such sale or release occurs during the Holding Period, the sanctions under Section 102 of the Ordinance and under any rules or regulation or orders or procedures promulgated thereunder shall apply to and shall be borne by such Eligible Participant.</w:t>
      </w:r>
    </w:p>
    <w:p>
      <w:pPr>
        <w:spacing w:after="0" w:line="138" w:lineRule="exact"/>
        <w:rPr>
          <w:sz w:val="20"/>
          <w:szCs w:val="20"/>
          <w:color w:val="auto"/>
        </w:rPr>
      </w:pPr>
    </w:p>
    <w:p>
      <w:pPr>
        <w:jc w:val="right"/>
        <w:spacing w:after="0"/>
        <w:tabs>
          <w:tab w:leader="none" w:pos="360" w:val="left"/>
        </w:tabs>
        <w:rPr>
          <w:sz w:val="20"/>
          <w:szCs w:val="20"/>
          <w:color w:val="auto"/>
        </w:rPr>
      </w:pPr>
      <w:r>
        <w:rPr>
          <w:rFonts w:ascii="Arial" w:cs="Arial" w:eastAsia="Arial" w:hAnsi="Arial"/>
          <w:sz w:val="14"/>
          <w:szCs w:val="14"/>
          <w:b w:val="1"/>
          <w:bCs w:val="1"/>
          <w:color w:val="052B82"/>
        </w:rPr>
        <w:t>2020 Proxy Statement</w:t>
      </w:r>
      <w:r>
        <w:rPr>
          <w:sz w:val="20"/>
          <w:szCs w:val="20"/>
          <w:color w:val="auto"/>
        </w:rPr>
        <w:tab/>
      </w:r>
      <w:r>
        <w:rPr>
          <w:rFonts w:ascii="Arial" w:cs="Arial" w:eastAsia="Arial" w:hAnsi="Arial"/>
          <w:sz w:val="17"/>
          <w:szCs w:val="17"/>
          <w:color w:val="999999"/>
        </w:rPr>
        <w:t>B-25</w:t>
      </w:r>
    </w:p>
    <w:p>
      <w:pPr>
        <w:sectPr>
          <w:pgSz w:w="11900" w:h="16838" w:orient="portrait"/>
          <w:cols w:equalWidth="0" w:num="1">
            <w:col w:w="11220"/>
          </w:cols>
          <w:pgMar w:left="240" w:top="459" w:right="4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2649855" cy="13716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0" w:right="160" w:firstLine="441"/>
        <w:spacing w:after="0" w:line="239" w:lineRule="auto"/>
        <w:rPr>
          <w:sz w:val="20"/>
          <w:szCs w:val="20"/>
          <w:color w:val="auto"/>
        </w:rPr>
      </w:pPr>
      <w:r>
        <w:rPr>
          <w:rFonts w:ascii="Arial" w:cs="Arial" w:eastAsia="Arial" w:hAnsi="Arial"/>
          <w:sz w:val="18"/>
          <w:szCs w:val="18"/>
          <w:color w:val="auto"/>
        </w:rPr>
        <w:t>4.5. With respect to 102 Capital Gain Track Grants, to the extent that the Common Stock is listed on any established stock exchange or a national market system, the provisions of Section 102(b)(3) of the Ordinance will apply with respect to the Israeli tax rate applicable to such Awards (including Options with an exercise price that is lower than the Israeli Fair Market Value of the Common Stock on the grant date).</w:t>
      </w:r>
    </w:p>
    <w:p>
      <w:pPr>
        <w:spacing w:after="0" w:line="19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7"/>
          <w:szCs w:val="17"/>
          <w:color w:val="auto"/>
        </w:rPr>
        <w:t>To avoid doubt, and not withstanding any discretion or provision in the U.S. Plan to the contrary: (a) no Award granted as a</w:t>
      </w:r>
    </w:p>
    <w:p>
      <w:pPr>
        <w:ind w:left="200"/>
        <w:spacing w:after="0" w:line="234" w:lineRule="auto"/>
        <w:rPr>
          <w:sz w:val="20"/>
          <w:szCs w:val="20"/>
          <w:color w:val="auto"/>
        </w:rPr>
      </w:pPr>
      <w:r>
        <w:rPr>
          <w:rFonts w:ascii="Arial" w:cs="Arial" w:eastAsia="Arial" w:hAnsi="Arial"/>
          <w:sz w:val="18"/>
          <w:szCs w:val="18"/>
          <w:color w:val="auto"/>
        </w:rPr>
        <w:t>102 Trustee Grant may be settled for cash payment or any other form of consideration, unless and to the extent permitted under</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Section 102 or as expressly authorized by the ITA; (b) no Option qualifying as a 102 Trustee Grant shall be exercisable by the surrender of</w:t>
      </w:r>
    </w:p>
    <w:p>
      <w:pPr>
        <w:spacing w:after="0" w:line="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Common Stock or by “net exercise”, notwithstanding Section 5(f) of the U.S. Plan unless otherwise approved in writing by the ITA or under</w:t>
      </w:r>
    </w:p>
    <w:p>
      <w:pPr>
        <w:ind w:left="200"/>
        <w:spacing w:after="0" w:line="234" w:lineRule="auto"/>
        <w:rPr>
          <w:sz w:val="20"/>
          <w:szCs w:val="20"/>
          <w:color w:val="auto"/>
        </w:rPr>
      </w:pPr>
      <w:r>
        <w:rPr>
          <w:rFonts w:ascii="Arial" w:cs="Arial" w:eastAsia="Arial" w:hAnsi="Arial"/>
          <w:sz w:val="18"/>
          <w:szCs w:val="18"/>
          <w:color w:val="auto"/>
        </w:rPr>
        <w:t>Section 102, and (c) RSUs granted pursuant to the U.S. Plan shall only be settled in Common Stock, notwithstanding Section 7(d) of the</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U.S. Plan.</w:t>
      </w:r>
    </w:p>
    <w:p>
      <w:pPr>
        <w:spacing w:after="0" w:line="212" w:lineRule="exact"/>
        <w:rPr>
          <w:sz w:val="20"/>
          <w:szCs w:val="20"/>
          <w:color w:val="auto"/>
        </w:rPr>
      </w:pPr>
    </w:p>
    <w:p>
      <w:pPr>
        <w:ind w:left="200" w:right="20" w:firstLine="441"/>
        <w:spacing w:after="0" w:line="237" w:lineRule="auto"/>
        <w:rPr>
          <w:sz w:val="20"/>
          <w:szCs w:val="20"/>
          <w:color w:val="auto"/>
        </w:rPr>
      </w:pPr>
      <w:r>
        <w:rPr>
          <w:rFonts w:ascii="Arial" w:cs="Arial" w:eastAsia="Arial" w:hAnsi="Arial"/>
          <w:sz w:val="18"/>
          <w:szCs w:val="18"/>
          <w:color w:val="auto"/>
        </w:rPr>
        <w:t>4.7. In the event a stock dividend is declared and/or additional rights are granted with respect to Common Stock which derives from Awards granted as 102 Trustee Grants, such stock dividend and/or rights shall also be deposited with the Trustee and will be subject to the provisions of this section 4, and the Holding Period for such Common Stock and/or rights shall be measured from the commencement of the Holding Period for the Award with respect to which the stock dividend was declared and/or rights granted. In the event of a cash dividend on Common Stock or of the payment of Dividend Equivalents (as defined under the U.S. Plan) in cash, the Trustee shall transfer the dividend proceeds to the Eligible Participant after the deduction of taxes and mandatory payments in compliance with applicable withholding requirements, and subject to any other requirements imposed by the ITA.</w:t>
      </w:r>
    </w:p>
    <w:p>
      <w:pPr>
        <w:spacing w:after="0" w:line="352" w:lineRule="exact"/>
        <w:rPr>
          <w:sz w:val="20"/>
          <w:szCs w:val="20"/>
          <w:color w:val="auto"/>
        </w:rPr>
      </w:pPr>
    </w:p>
    <w:p>
      <w:pPr>
        <w:ind w:left="640" w:hanging="436"/>
        <w:spacing w:after="0"/>
        <w:tabs>
          <w:tab w:leader="none" w:pos="6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AWARDS</w:t>
      </w:r>
    </w:p>
    <w:p>
      <w:pPr>
        <w:spacing w:after="0" w:line="104" w:lineRule="exact"/>
        <w:rPr>
          <w:sz w:val="20"/>
          <w:szCs w:val="20"/>
          <w:color w:val="auto"/>
        </w:rPr>
      </w:pPr>
    </w:p>
    <w:p>
      <w:pPr>
        <w:ind w:left="200" w:right="320" w:firstLine="441"/>
        <w:spacing w:after="0" w:line="238" w:lineRule="auto"/>
        <w:rPr>
          <w:sz w:val="20"/>
          <w:szCs w:val="20"/>
          <w:color w:val="auto"/>
        </w:rPr>
      </w:pPr>
      <w:r>
        <w:rPr>
          <w:rFonts w:ascii="Arial" w:cs="Arial" w:eastAsia="Arial" w:hAnsi="Arial"/>
          <w:sz w:val="18"/>
          <w:szCs w:val="18"/>
          <w:color w:val="auto"/>
        </w:rPr>
        <w:t>5.1. The terms and conditions upon which the Awards shall be issued, exercised, and vest shall be as specified in the Award Agreement to be executed pursuant to the U.S. Plan and to this Israeli Sub-Plan. Each Award Agreement shall state, inter alia, the number of shares of Common Stock to which the Award relates, the vesting provisions, and for Options, the exercise price. The Award Agreement shall also indicate whether the grant is a 102 Trustee Grant, a Non-Trustee Grant, or a 3(i) Award; and if the grant is a 102 Trustee Grant, whether it is a 102 Capital Gains Track Grant or a 102 Ordinary Income Track Grant.</w:t>
      </w:r>
    </w:p>
    <w:p>
      <w:pPr>
        <w:spacing w:after="0" w:line="203" w:lineRule="exact"/>
        <w:rPr>
          <w:sz w:val="20"/>
          <w:szCs w:val="20"/>
          <w:color w:val="auto"/>
        </w:rPr>
      </w:pPr>
    </w:p>
    <w:p>
      <w:pPr>
        <w:jc w:val="both"/>
        <w:ind w:left="200" w:right="80" w:firstLine="441"/>
        <w:spacing w:after="0"/>
        <w:rPr>
          <w:sz w:val="20"/>
          <w:szCs w:val="20"/>
          <w:color w:val="auto"/>
        </w:rPr>
      </w:pPr>
      <w:r>
        <w:rPr>
          <w:rFonts w:ascii="Arial" w:cs="Arial" w:eastAsia="Arial" w:hAnsi="Arial"/>
          <w:sz w:val="18"/>
          <w:szCs w:val="18"/>
          <w:color w:val="auto"/>
        </w:rPr>
        <w:t>5.2. Each 102 Trustee Grant will be deemed granted on the date stated in the Award Agreement, provided that (i) the Company will provide notice to the Trustee of the Award; and (ii) the Eligible Participant will sign all documents required, all subject to the provisions of Section 102.</w:t>
      </w:r>
    </w:p>
    <w:p>
      <w:pPr>
        <w:spacing w:after="0" w:line="351" w:lineRule="exact"/>
        <w:rPr>
          <w:sz w:val="20"/>
          <w:szCs w:val="20"/>
          <w:color w:val="auto"/>
        </w:rPr>
      </w:pPr>
    </w:p>
    <w:p>
      <w:pPr>
        <w:ind w:left="640" w:hanging="436"/>
        <w:spacing w:after="0"/>
        <w:tabs>
          <w:tab w:leader="none" w:pos="64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EXERCISE OF OPTIONS</w:t>
      </w:r>
    </w:p>
    <w:p>
      <w:pPr>
        <w:spacing w:after="0" w:line="104" w:lineRule="exact"/>
        <w:rPr>
          <w:sz w:val="20"/>
          <w:szCs w:val="20"/>
          <w:color w:val="auto"/>
        </w:rPr>
      </w:pPr>
    </w:p>
    <w:p>
      <w:pPr>
        <w:ind w:left="200" w:right="120" w:firstLine="441"/>
        <w:spacing w:after="0" w:line="237" w:lineRule="auto"/>
        <w:rPr>
          <w:sz w:val="20"/>
          <w:szCs w:val="20"/>
          <w:color w:val="auto"/>
        </w:rPr>
      </w:pPr>
      <w:r>
        <w:rPr>
          <w:rFonts w:ascii="Arial" w:cs="Arial" w:eastAsia="Arial" w:hAnsi="Arial"/>
          <w:sz w:val="18"/>
          <w:szCs w:val="18"/>
          <w:color w:val="auto"/>
        </w:rPr>
        <w:t>6.1. Options shall be exercised by the optionee by giving notice to the Company and/or to any third party designated by the Company (the “Representative”), in such form and method as may be determined by the Company and, when applicable, by the Trustee, in accordance with the requirements of Section 102, which exercise shall be effective upon receipt of such notice by the Company and/or the Representative and the payment of the exercise price for the number of shares of Common Stock with respect to which the option is being exercised, at the Company’s or the Representative’s principal office. The notice shall specify the number of shares of Common Stock with respect to which the Option is being exercised.</w:t>
      </w:r>
    </w:p>
    <w:p>
      <w:pPr>
        <w:spacing w:after="0" w:line="354" w:lineRule="exact"/>
        <w:rPr>
          <w:sz w:val="20"/>
          <w:szCs w:val="20"/>
          <w:color w:val="auto"/>
        </w:rPr>
      </w:pPr>
    </w:p>
    <w:p>
      <w:pPr>
        <w:ind w:left="640" w:hanging="436"/>
        <w:spacing w:after="0"/>
        <w:tabs>
          <w:tab w:leader="none" w:pos="64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ASSIGNABILITY AND SALE OF AWARDS</w:t>
      </w:r>
    </w:p>
    <w:p>
      <w:pPr>
        <w:spacing w:after="0" w:line="104" w:lineRule="exact"/>
        <w:rPr>
          <w:sz w:val="20"/>
          <w:szCs w:val="20"/>
          <w:color w:val="auto"/>
        </w:rPr>
      </w:pPr>
    </w:p>
    <w:p>
      <w:pPr>
        <w:ind w:left="200" w:right="40" w:firstLine="441"/>
        <w:spacing w:after="0" w:line="238" w:lineRule="auto"/>
        <w:rPr>
          <w:sz w:val="20"/>
          <w:szCs w:val="20"/>
          <w:color w:val="auto"/>
        </w:rPr>
      </w:pPr>
      <w:r>
        <w:rPr>
          <w:rFonts w:ascii="Arial" w:cs="Arial" w:eastAsia="Arial" w:hAnsi="Arial"/>
          <w:sz w:val="18"/>
          <w:szCs w:val="18"/>
          <w:color w:val="auto"/>
        </w:rPr>
        <w:t>7.1. Notwithstanding any other provision of the U.S. Plan, no Award or any right with respect thereto, purchasable hereunder, whether fully paid or not, shall be assignable, transferable or given as collateral or any right with respect to them given to any third party whatsoever, and during the lifetime of the Eligible Participant each and all of such rights to purchase or receive Common Stock hereunder shall be exercisable only by the Eligible Participant or shall vest only to the Eligible Participant. Any such action made directly or indirectly, for an immediate validation or for a future one, shall be void.</w:t>
      </w:r>
    </w:p>
    <w:p>
      <w:pPr>
        <w:spacing w:after="0" w:line="135" w:lineRule="exact"/>
        <w:rPr>
          <w:sz w:val="20"/>
          <w:szCs w:val="20"/>
          <w:color w:val="auto"/>
        </w:rPr>
      </w:pPr>
    </w:p>
    <w:p>
      <w:pPr>
        <w:ind w:left="200"/>
        <w:spacing w:after="0"/>
        <w:tabs>
          <w:tab w:leader="none" w:pos="760" w:val="left"/>
        </w:tabs>
        <w:rPr>
          <w:sz w:val="20"/>
          <w:szCs w:val="20"/>
          <w:color w:val="auto"/>
        </w:rPr>
      </w:pPr>
      <w:r>
        <w:rPr>
          <w:rFonts w:ascii="Arial" w:cs="Arial" w:eastAsia="Arial" w:hAnsi="Arial"/>
          <w:sz w:val="18"/>
          <w:szCs w:val="18"/>
          <w:color w:val="999999"/>
        </w:rPr>
        <w:t>B-26</w:t>
      </w:r>
      <w:r>
        <w:rPr>
          <w:sz w:val="20"/>
          <w:szCs w:val="20"/>
          <w:color w:val="auto"/>
        </w:rPr>
        <w:tab/>
      </w:r>
      <w:r>
        <w:rPr>
          <w:rFonts w:ascii="Arial" w:cs="Arial" w:eastAsia="Arial" w:hAnsi="Arial"/>
          <w:sz w:val="14"/>
          <w:szCs w:val="14"/>
          <w:b w:val="1"/>
          <w:bCs w:val="1"/>
          <w:color w:val="052B82"/>
        </w:rPr>
        <w:t>Analog Devices, Inc.</w:t>
      </w:r>
    </w:p>
    <w:p>
      <w:pPr>
        <w:sectPr>
          <w:pgSz w:w="11900" w:h="16838" w:orient="portrait"/>
          <w:cols w:equalWidth="0" w:num="1">
            <w:col w:w="11200"/>
          </w:cols>
          <w:pgMar w:left="240" w:top="459" w:right="4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205740</wp:posOffset>
            </wp:positionV>
            <wp:extent cx="2649855" cy="13716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0" w:right="520" w:firstLine="441"/>
        <w:spacing w:after="0"/>
        <w:rPr>
          <w:sz w:val="20"/>
          <w:szCs w:val="20"/>
          <w:color w:val="auto"/>
        </w:rPr>
      </w:pPr>
      <w:r>
        <w:rPr>
          <w:rFonts w:ascii="Arial" w:cs="Arial" w:eastAsia="Arial" w:hAnsi="Arial"/>
          <w:sz w:val="18"/>
          <w:szCs w:val="18"/>
          <w:color w:val="auto"/>
        </w:rPr>
        <w:t>7.2. As long as Awards or Common Stock purchased or acquired pursuant thereto are held by the Trustee on behalf of the Eligible Participant, all rights of the Eligible Participant over the Common Stock are personal, and cannot be transferred, assigned, pledged or mortgaged, by the Eligible Participant or by the Trustee, other than by will or laws of descent and distribution.</w:t>
      </w:r>
    </w:p>
    <w:p>
      <w:pPr>
        <w:spacing w:after="0" w:line="351" w:lineRule="exact"/>
        <w:rPr>
          <w:sz w:val="20"/>
          <w:szCs w:val="20"/>
          <w:color w:val="auto"/>
        </w:rPr>
      </w:pPr>
    </w:p>
    <w:p>
      <w:pPr>
        <w:ind w:left="640" w:hanging="436"/>
        <w:spacing w:after="0"/>
        <w:tabs>
          <w:tab w:leader="none" w:pos="64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INTEGRATION OF SECTION 102</w:t>
      </w:r>
    </w:p>
    <w:p>
      <w:pPr>
        <w:spacing w:after="0" w:line="104" w:lineRule="exact"/>
        <w:rPr>
          <w:sz w:val="20"/>
          <w:szCs w:val="20"/>
          <w:color w:val="auto"/>
        </w:rPr>
      </w:pPr>
    </w:p>
    <w:p>
      <w:pPr>
        <w:ind w:left="200" w:right="160" w:firstLine="441"/>
        <w:spacing w:after="0" w:line="239" w:lineRule="auto"/>
        <w:rPr>
          <w:sz w:val="20"/>
          <w:szCs w:val="20"/>
          <w:color w:val="auto"/>
        </w:rPr>
      </w:pPr>
      <w:r>
        <w:rPr>
          <w:rFonts w:ascii="Arial" w:cs="Arial" w:eastAsia="Arial" w:hAnsi="Arial"/>
          <w:sz w:val="18"/>
          <w:szCs w:val="18"/>
          <w:color w:val="auto"/>
        </w:rPr>
        <w:t>8.1. With regard to 102 Trustee Grants, the provisions of the U.S. Plan, this Israeli Sub-Plan and/or the Award Agreement shall be subject to the provisions of Section 102 and the any written confirmation issued by the ITA with respect to this U.S. Plan and/or the Israeli Sub-Plan (the “Written Approval”), and the said provisions of any Written Approval shall be deemed an integral part of the U.S. Plan, the Israeli Sub-Plan, and the Award Agreement.</w:t>
      </w:r>
    </w:p>
    <w:p>
      <w:pPr>
        <w:spacing w:after="0" w:line="202" w:lineRule="exact"/>
        <w:rPr>
          <w:sz w:val="20"/>
          <w:szCs w:val="20"/>
          <w:color w:val="auto"/>
        </w:rPr>
      </w:pPr>
    </w:p>
    <w:p>
      <w:pPr>
        <w:jc w:val="both"/>
        <w:ind w:left="200" w:right="20" w:firstLine="441"/>
        <w:spacing w:after="0"/>
        <w:rPr>
          <w:sz w:val="20"/>
          <w:szCs w:val="20"/>
          <w:color w:val="auto"/>
        </w:rPr>
      </w:pPr>
      <w:r>
        <w:rPr>
          <w:rFonts w:ascii="Arial" w:cs="Arial" w:eastAsia="Arial" w:hAnsi="Arial"/>
          <w:sz w:val="18"/>
          <w:szCs w:val="18"/>
          <w:color w:val="auto"/>
        </w:rPr>
        <w:t>8.2. Any provision of Section 102 and/or any Written Approval which are necessary in order to receive and/or to maintain any tax benefit pursuant to Section 102, which is not expressly specified in the U.S. Plan or the Israeli Sub-Plan or the Award Agreement, shall be considered binding upon the Company and the Eligible Participants.</w:t>
      </w:r>
    </w:p>
    <w:p>
      <w:pPr>
        <w:spacing w:after="0" w:line="203" w:lineRule="exact"/>
        <w:rPr>
          <w:sz w:val="20"/>
          <w:szCs w:val="20"/>
          <w:color w:val="auto"/>
        </w:rPr>
      </w:pPr>
    </w:p>
    <w:p>
      <w:pPr>
        <w:ind w:left="200" w:right="560" w:firstLine="441"/>
        <w:spacing w:after="0" w:line="246" w:lineRule="auto"/>
        <w:rPr>
          <w:sz w:val="20"/>
          <w:szCs w:val="20"/>
          <w:color w:val="auto"/>
        </w:rPr>
      </w:pPr>
      <w:r>
        <w:rPr>
          <w:rFonts w:ascii="Arial" w:cs="Arial" w:eastAsia="Arial" w:hAnsi="Arial"/>
          <w:sz w:val="18"/>
          <w:szCs w:val="18"/>
          <w:color w:val="auto"/>
        </w:rPr>
        <w:t>8.3. The Eligible Participant agrees to execute any and all documents that the Company, the Affiliates, or the Trustee may reasonably determine to be necessary in order to comply with the provision of any applicable law, and particularly Section 102.</w:t>
      </w:r>
    </w:p>
    <w:p>
      <w:pPr>
        <w:spacing w:after="0" w:line="345" w:lineRule="exact"/>
        <w:rPr>
          <w:sz w:val="20"/>
          <w:szCs w:val="20"/>
          <w:color w:val="auto"/>
        </w:rPr>
      </w:pPr>
    </w:p>
    <w:p>
      <w:pPr>
        <w:ind w:left="640" w:hanging="436"/>
        <w:spacing w:after="0"/>
        <w:tabs>
          <w:tab w:leader="none" w:pos="64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TAX CONSEQUENCES</w:t>
      </w:r>
    </w:p>
    <w:p>
      <w:pPr>
        <w:spacing w:after="0" w:line="104" w:lineRule="exact"/>
        <w:rPr>
          <w:sz w:val="20"/>
          <w:szCs w:val="20"/>
          <w:color w:val="auto"/>
        </w:rPr>
      </w:pPr>
    </w:p>
    <w:p>
      <w:pPr>
        <w:ind w:left="200" w:right="20" w:firstLine="441"/>
        <w:spacing w:after="0" w:line="235" w:lineRule="auto"/>
        <w:rPr>
          <w:sz w:val="20"/>
          <w:szCs w:val="20"/>
          <w:color w:val="auto"/>
        </w:rPr>
      </w:pPr>
      <w:r>
        <w:rPr>
          <w:rFonts w:ascii="Arial" w:cs="Arial" w:eastAsia="Arial" w:hAnsi="Arial"/>
          <w:sz w:val="18"/>
          <w:szCs w:val="18"/>
          <w:color w:val="auto"/>
        </w:rPr>
        <w:t>9.1. Any tax consequences arising from the grant, exercise, or vesting of any Award, from the payment for Common Stock covered thereby or from any other event or act (of the Company, and/or its Affiliates, and the Trustee or the Eligible Participant), hereunder, shall be borne solely by the Eligible Participant. The Company and/or its Affiliates, and/or the Trustee shall withhold taxes according to the requirements under the applicable laws, rules, and regulations, including withholding taxes at source, any may make any provisions and take such steps as they may deem necessary or appropriate to meet the withholding requirements, including, but not limited to: (i) withholding from the Eligible Participant’s wages or other cash compensation paid to the Eligible Participant by the Company or the Affiliates; (ii) withholding otherwise deliverable Common Stock having a value no greater than the maximum amount statutorily required to be withheld; or (iii) selling a sufficient number of such Common Stock otherwise deliverable to the Eligible Participant through such means as the Trustee may determine in its sole discretion (whether through a broker or otherwise) equal to the amount required to be withheld either through a voluntary sale or through a mandatory sale arranged by the Company (on the Eligible Participant’s behalf pursuant to the Eligible Participant’s authorization), to the extent permitted by law or pursuant to the approval of the ITA. In addition, the Eligible Participant will be required to pay any amount, including penalties, that exceeds the tax to be withheld and transferred to the ITA, pursuant to applicable law, regulation and rules. Furthermore, the Eligible Participant shall agree to indemnify the Company and/or its Affiliates and/or the Trustee and hold them harmless against and from any and all liability for any such tax or interest or penalty thereon, including without limitation, liabilities relating to the necessity to withhold, or to have withheld, any such tax from any payment made to the Eligible Participant. The Company, the Affiliate and/or the Trustee shall not be required to release any Awards and or Common Stock to an Eligible Participant until all required taxes have been withheld.</w:t>
      </w:r>
    </w:p>
    <w:p>
      <w:pPr>
        <w:spacing w:after="0" w:line="214" w:lineRule="exact"/>
        <w:rPr>
          <w:sz w:val="20"/>
          <w:szCs w:val="20"/>
          <w:color w:val="auto"/>
        </w:rPr>
      </w:pPr>
    </w:p>
    <w:p>
      <w:pPr>
        <w:ind w:left="200" w:right="540" w:firstLine="441"/>
        <w:spacing w:after="0" w:line="246" w:lineRule="auto"/>
        <w:rPr>
          <w:sz w:val="20"/>
          <w:szCs w:val="20"/>
          <w:color w:val="auto"/>
        </w:rPr>
      </w:pPr>
      <w:r>
        <w:rPr>
          <w:rFonts w:ascii="Arial" w:cs="Arial" w:eastAsia="Arial" w:hAnsi="Arial"/>
          <w:sz w:val="18"/>
          <w:szCs w:val="18"/>
          <w:color w:val="auto"/>
        </w:rPr>
        <w:t>9.2. The Company and/or, when applicable, the Trustee shall not be required to release any share certificate to an Eligible Participant until all required payments have been fully made.</w:t>
      </w:r>
    </w:p>
    <w:p>
      <w:pPr>
        <w:spacing w:after="0" w:line="197" w:lineRule="exact"/>
        <w:rPr>
          <w:sz w:val="20"/>
          <w:szCs w:val="20"/>
          <w:color w:val="auto"/>
        </w:rPr>
      </w:pPr>
    </w:p>
    <w:p>
      <w:pPr>
        <w:ind w:left="200" w:right="80" w:firstLine="441"/>
        <w:spacing w:after="0" w:line="246" w:lineRule="auto"/>
        <w:rPr>
          <w:sz w:val="20"/>
          <w:szCs w:val="20"/>
          <w:color w:val="auto"/>
        </w:rPr>
      </w:pPr>
      <w:r>
        <w:rPr>
          <w:rFonts w:ascii="Arial" w:cs="Arial" w:eastAsia="Arial" w:hAnsi="Arial"/>
          <w:sz w:val="18"/>
          <w:szCs w:val="18"/>
          <w:color w:val="auto"/>
        </w:rPr>
        <w:t>9.3. For avoidance of doubt, there is no assurance that all of the Awards granted pursuant to Section 102 of the Ordinance shall be eligible for the tax benefits afforded by Section 102 of the Ordinance.</w:t>
      </w:r>
    </w:p>
    <w:p>
      <w:pPr>
        <w:spacing w:after="0" w:line="197" w:lineRule="exact"/>
        <w:rPr>
          <w:sz w:val="20"/>
          <w:szCs w:val="20"/>
          <w:color w:val="auto"/>
        </w:rPr>
      </w:pPr>
    </w:p>
    <w:p>
      <w:pPr>
        <w:ind w:left="200" w:right="120" w:firstLine="441"/>
        <w:spacing w:after="0"/>
        <w:rPr>
          <w:sz w:val="20"/>
          <w:szCs w:val="20"/>
          <w:color w:val="auto"/>
        </w:rPr>
      </w:pPr>
      <w:r>
        <w:rPr>
          <w:rFonts w:ascii="Arial" w:cs="Arial" w:eastAsia="Arial" w:hAnsi="Arial"/>
          <w:sz w:val="18"/>
          <w:szCs w:val="18"/>
          <w:color w:val="auto"/>
        </w:rPr>
        <w:t>9.4. With respect to Non-Trustee Grants, if the Eligible Participant ceases to be employed by the Company or a Subsidiary, or otherwise if so requested by the Company or the Affiliate, the Eligible Participant shall extend to the Company or to the Affiliate a security or guarantee for the payment of tax due</w:t>
      </w:r>
    </w:p>
    <w:p>
      <w:pPr>
        <w:spacing w:after="0" w:line="135" w:lineRule="exact"/>
        <w:rPr>
          <w:sz w:val="20"/>
          <w:szCs w:val="20"/>
          <w:color w:val="auto"/>
        </w:rPr>
      </w:pPr>
    </w:p>
    <w:p>
      <w:pPr>
        <w:jc w:val="right"/>
        <w:spacing w:after="0"/>
        <w:tabs>
          <w:tab w:leader="none" w:pos="360" w:val="left"/>
        </w:tabs>
        <w:rPr>
          <w:sz w:val="20"/>
          <w:szCs w:val="20"/>
          <w:color w:val="auto"/>
        </w:rPr>
      </w:pPr>
      <w:r>
        <w:rPr>
          <w:rFonts w:ascii="Arial" w:cs="Arial" w:eastAsia="Arial" w:hAnsi="Arial"/>
          <w:sz w:val="14"/>
          <w:szCs w:val="14"/>
          <w:b w:val="1"/>
          <w:bCs w:val="1"/>
          <w:color w:val="052B82"/>
        </w:rPr>
        <w:t>2020 Proxy Statement</w:t>
      </w:r>
      <w:r>
        <w:rPr>
          <w:sz w:val="20"/>
          <w:szCs w:val="20"/>
          <w:color w:val="auto"/>
        </w:rPr>
        <w:tab/>
      </w:r>
      <w:r>
        <w:rPr>
          <w:rFonts w:ascii="Arial" w:cs="Arial" w:eastAsia="Arial" w:hAnsi="Arial"/>
          <w:sz w:val="17"/>
          <w:szCs w:val="17"/>
          <w:color w:val="999999"/>
        </w:rPr>
        <w:t>B-27</w:t>
      </w:r>
    </w:p>
    <w:p>
      <w:pPr>
        <w:sectPr>
          <w:pgSz w:w="11900" w:h="16838" w:orient="portrait"/>
          <w:cols w:equalWidth="0" w:num="1">
            <w:col w:w="11220"/>
          </w:cols>
          <w:pgMar w:left="240" w:top="459" w:right="4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2649855" cy="13716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6498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0" w:right="20"/>
        <w:spacing w:after="0" w:line="246" w:lineRule="auto"/>
        <w:rPr>
          <w:sz w:val="20"/>
          <w:szCs w:val="20"/>
          <w:color w:val="auto"/>
        </w:rPr>
      </w:pPr>
      <w:r>
        <w:rPr>
          <w:rFonts w:ascii="Arial" w:cs="Arial" w:eastAsia="Arial" w:hAnsi="Arial"/>
          <w:sz w:val="18"/>
          <w:szCs w:val="18"/>
          <w:color w:val="auto"/>
        </w:rPr>
        <w:t>at the time of sale of Common Stock to the satisfaction of the Company or the Affiliate, all in accordance with the provisions of Section 102 of the Ordinance and the Rules.</w:t>
      </w:r>
    </w:p>
    <w:p>
      <w:pPr>
        <w:spacing w:after="0" w:line="345" w:lineRule="exact"/>
        <w:rPr>
          <w:sz w:val="20"/>
          <w:szCs w:val="20"/>
          <w:color w:val="auto"/>
        </w:rPr>
      </w:pPr>
    </w:p>
    <w:p>
      <w:pPr>
        <w:ind w:left="640" w:hanging="436"/>
        <w:spacing w:after="0"/>
        <w:tabs>
          <w:tab w:leader="none" w:pos="64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GOVERNING LAW AND JURISDICTION</w:t>
      </w:r>
    </w:p>
    <w:p>
      <w:pPr>
        <w:spacing w:after="0" w:line="104" w:lineRule="exact"/>
        <w:rPr>
          <w:sz w:val="20"/>
          <w:szCs w:val="20"/>
          <w:color w:val="auto"/>
        </w:rPr>
      </w:pPr>
    </w:p>
    <w:p>
      <w:pPr>
        <w:ind w:left="200" w:firstLine="441"/>
        <w:spacing w:after="0"/>
        <w:rPr>
          <w:sz w:val="20"/>
          <w:szCs w:val="20"/>
          <w:color w:val="auto"/>
        </w:rPr>
      </w:pPr>
      <w:r>
        <w:rPr>
          <w:rFonts w:ascii="Arial" w:cs="Arial" w:eastAsia="Arial" w:hAnsi="Arial"/>
          <w:sz w:val="18"/>
          <w:szCs w:val="18"/>
          <w:color w:val="auto"/>
        </w:rPr>
        <w:t>10.1. Notwithstanding any other provision of the U.S. Plan, with respect to Eligible Participants subject to this Israeli Sub-Plan, the U.S. Plan and all instruments issued there under or in connection therewith shall be governed by, and interpreted in accordance with, the laws of the State of Israel applicable to contracts made and to be performed therein.</w:t>
      </w:r>
    </w:p>
    <w:p>
      <w:pPr>
        <w:spacing w:after="0" w:line="135" w:lineRule="exact"/>
        <w:rPr>
          <w:sz w:val="20"/>
          <w:szCs w:val="20"/>
          <w:color w:val="auto"/>
        </w:rPr>
      </w:pPr>
    </w:p>
    <w:p>
      <w:pPr>
        <w:ind w:left="200"/>
        <w:spacing w:after="0"/>
        <w:tabs>
          <w:tab w:leader="none" w:pos="760" w:val="left"/>
        </w:tabs>
        <w:rPr>
          <w:sz w:val="20"/>
          <w:szCs w:val="20"/>
          <w:color w:val="auto"/>
        </w:rPr>
      </w:pPr>
      <w:r>
        <w:rPr>
          <w:rFonts w:ascii="Arial" w:cs="Arial" w:eastAsia="Arial" w:hAnsi="Arial"/>
          <w:sz w:val="18"/>
          <w:szCs w:val="18"/>
          <w:color w:val="999999"/>
        </w:rPr>
        <w:t>B-28</w:t>
      </w:r>
      <w:r>
        <w:rPr>
          <w:sz w:val="20"/>
          <w:szCs w:val="20"/>
          <w:color w:val="auto"/>
        </w:rPr>
        <w:tab/>
      </w:r>
      <w:r>
        <w:rPr>
          <w:rFonts w:ascii="Arial" w:cs="Arial" w:eastAsia="Arial" w:hAnsi="Arial"/>
          <w:sz w:val="14"/>
          <w:szCs w:val="14"/>
          <w:b w:val="1"/>
          <w:bCs w:val="1"/>
          <w:color w:val="052B82"/>
        </w:rPr>
        <w:t>Analog Devices, Inc.</w:t>
      </w:r>
    </w:p>
    <w:p>
      <w:pPr>
        <w:sectPr>
          <w:pgSz w:w="11900" w:h="16838" w:orient="portrait"/>
          <w:cols w:equalWidth="0" w:num="1">
            <w:col w:w="11220"/>
          </w:cols>
          <w:pgMar w:left="240" w:top="459" w:right="439" w:bottom="1440" w:gutter="0" w:footer="0" w:header="0"/>
        </w:sectPr>
      </w:pPr>
    </w:p>
    <w:bookmarkStart w:id="119" w:name="page120"/>
    <w:bookmarkEnd w:id="11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0219"/>
          </w:cols>
          <w:pgMar w:left="240" w:top="459" w:right="1440" w:bottom="1440" w:gutter="0" w:footer="0" w:header="0"/>
        </w:sectPr>
      </w:pPr>
    </w:p>
    <w:bookmarkStart w:id="120" w:name="page121"/>
    <w:bookmarkEnd w:id="12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254635</wp:posOffset>
            </wp:positionV>
            <wp:extent cx="1569085" cy="46291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569085" cy="46291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80"/>
        <w:spacing w:after="0"/>
        <w:rPr>
          <w:sz w:val="20"/>
          <w:szCs w:val="20"/>
          <w:color w:val="auto"/>
        </w:rPr>
      </w:pPr>
      <w:r>
        <w:rPr>
          <w:rFonts w:ascii="Arial" w:cs="Arial" w:eastAsia="Arial" w:hAnsi="Arial"/>
          <w:sz w:val="9"/>
          <w:szCs w:val="9"/>
          <w:b w:val="1"/>
          <w:bCs w:val="1"/>
          <w:i w:val="1"/>
          <w:iCs w:val="1"/>
          <w:color w:val="auto"/>
        </w:rPr>
        <w:t>ANALOG DEVICES, INC.</w:t>
      </w:r>
    </w:p>
    <w:p>
      <w:pPr>
        <w:ind w:left="580"/>
        <w:spacing w:after="0" w:line="221" w:lineRule="auto"/>
        <w:rPr>
          <w:sz w:val="20"/>
          <w:szCs w:val="20"/>
          <w:color w:val="auto"/>
        </w:rPr>
      </w:pPr>
      <w:r>
        <w:rPr>
          <w:rFonts w:ascii="Arial" w:cs="Arial" w:eastAsia="Arial" w:hAnsi="Arial"/>
          <w:sz w:val="9"/>
          <w:szCs w:val="9"/>
          <w:b w:val="1"/>
          <w:bCs w:val="1"/>
          <w:i w:val="1"/>
          <w:iCs w:val="1"/>
          <w:color w:val="auto"/>
        </w:rPr>
        <w:t>P.O. BOX 9106</w:t>
      </w:r>
    </w:p>
    <w:p>
      <w:pPr>
        <w:ind w:left="580"/>
        <w:spacing w:after="0" w:line="219" w:lineRule="auto"/>
        <w:rPr>
          <w:sz w:val="20"/>
          <w:szCs w:val="20"/>
          <w:color w:val="auto"/>
        </w:rPr>
      </w:pPr>
      <w:r>
        <w:rPr>
          <w:rFonts w:ascii="Arial" w:cs="Arial" w:eastAsia="Arial" w:hAnsi="Arial"/>
          <w:sz w:val="9"/>
          <w:szCs w:val="9"/>
          <w:b w:val="1"/>
          <w:bCs w:val="1"/>
          <w:i w:val="1"/>
          <w:iCs w:val="1"/>
          <w:color w:val="auto"/>
        </w:rPr>
        <w:t>ATTN: INVESTOR RELATIONS DEPT.</w:t>
      </w:r>
    </w:p>
    <w:p>
      <w:pPr>
        <w:ind w:left="580"/>
        <w:spacing w:after="0" w:line="220" w:lineRule="auto"/>
        <w:rPr>
          <w:sz w:val="20"/>
          <w:szCs w:val="20"/>
          <w:color w:val="auto"/>
        </w:rPr>
      </w:pPr>
      <w:r>
        <w:rPr>
          <w:rFonts w:ascii="Arial" w:cs="Arial" w:eastAsia="Arial" w:hAnsi="Arial"/>
          <w:sz w:val="9"/>
          <w:szCs w:val="9"/>
          <w:b w:val="1"/>
          <w:bCs w:val="1"/>
          <w:i w:val="1"/>
          <w:iCs w:val="1"/>
          <w:color w:val="auto"/>
        </w:rPr>
        <w:t>ONE TECHNOLOGY WAY</w:t>
      </w:r>
    </w:p>
    <w:p>
      <w:pPr>
        <w:ind w:left="580"/>
        <w:spacing w:after="0"/>
        <w:rPr>
          <w:sz w:val="20"/>
          <w:szCs w:val="20"/>
          <w:color w:val="auto"/>
        </w:rPr>
      </w:pPr>
      <w:r>
        <w:rPr>
          <w:rFonts w:ascii="Arial" w:cs="Arial" w:eastAsia="Arial" w:hAnsi="Arial"/>
          <w:sz w:val="9"/>
          <w:szCs w:val="9"/>
          <w:b w:val="1"/>
          <w:bCs w:val="1"/>
          <w:i w:val="1"/>
          <w:iCs w:val="1"/>
          <w:color w:val="auto"/>
        </w:rPr>
        <w:t>NORWOOD, MA 02062-9106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00"/>
        <w:spacing w:after="0"/>
        <w:rPr>
          <w:sz w:val="20"/>
          <w:szCs w:val="20"/>
          <w:color w:val="auto"/>
        </w:rPr>
      </w:pPr>
      <w:r>
        <w:rPr>
          <w:rFonts w:ascii="Arial" w:cs="Arial" w:eastAsia="Arial" w:hAnsi="Arial"/>
          <w:sz w:val="13"/>
          <w:szCs w:val="13"/>
          <w:color w:val="auto"/>
        </w:rPr>
        <w:t>TO VOTE, MARK BLOCKS BELOW IN BLUE OR BLACK INK AS FOLLOWS:</w:t>
      </w:r>
    </w:p>
    <w:p>
      <w:pPr>
        <w:spacing w:after="0" w:line="105" w:lineRule="exact"/>
        <w:rPr>
          <w:sz w:val="20"/>
          <w:szCs w:val="20"/>
          <w:color w:val="auto"/>
        </w:rPr>
      </w:pPr>
    </w:p>
    <w:p>
      <w:pPr>
        <w:ind w:left="200"/>
        <w:spacing w:after="0" w:line="246" w:lineRule="auto"/>
        <w:rPr>
          <w:sz w:val="20"/>
          <w:szCs w:val="20"/>
          <w:color w:val="auto"/>
        </w:rPr>
      </w:pPr>
      <w:r>
        <w:rPr>
          <w:rFonts w:ascii="Arial" w:cs="Arial" w:eastAsia="Arial" w:hAnsi="Arial"/>
          <w:sz w:val="13"/>
          <w:szCs w:val="13"/>
          <w:b w:val="1"/>
          <w:bCs w:val="1"/>
          <w:color w:val="auto"/>
        </w:rPr>
        <w:t>— — — — — — — — — — — — — — — — — — — — — — — — — — — — — — — — — — — — — — — — — — — — — — — —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7"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ELECTRONIC DELIVERY OF FUTURE PROXY MATERIALS</w:t>
      </w:r>
    </w:p>
    <w:p>
      <w:pPr>
        <w:spacing w:after="0" w:line="2" w:lineRule="exact"/>
        <w:rPr>
          <w:sz w:val="20"/>
          <w:szCs w:val="20"/>
          <w:color w:val="auto"/>
        </w:rPr>
      </w:pPr>
    </w:p>
    <w:p>
      <w:pPr>
        <w:jc w:val="both"/>
        <w:ind w:left="80"/>
        <w:spacing w:after="0" w:line="222" w:lineRule="auto"/>
        <w:rPr>
          <w:sz w:val="20"/>
          <w:szCs w:val="20"/>
          <w:color w:val="auto"/>
        </w:rPr>
      </w:pPr>
      <w:r>
        <w:rPr>
          <w:rFonts w:ascii="Arial" w:cs="Arial" w:eastAsia="Arial" w:hAnsi="Arial"/>
          <w:sz w:val="13"/>
          <w:szCs w:val="13"/>
          <w:color w:val="auto"/>
        </w:rPr>
        <w:t xml:space="preserve">If you would like to reduce the costs incurred by our company in mailing proxy materials, you can consent to receiving all future proxy statements, proxy cards and annual reports electronically via e-mail or the Internet. </w:t>
      </w:r>
      <w:r>
        <w:rPr>
          <w:rFonts w:ascii="Arial" w:cs="Arial" w:eastAsia="Arial" w:hAnsi="Arial"/>
          <w:sz w:val="13"/>
          <w:szCs w:val="13"/>
          <w:b w:val="1"/>
          <w:bCs w:val="1"/>
          <w:color w:val="auto"/>
        </w:rPr>
        <w:t>To sign up for electronic delivery, please follow the instructions</w:t>
      </w:r>
      <w:r>
        <w:rPr>
          <w:rFonts w:ascii="Arial" w:cs="Arial" w:eastAsia="Arial" w:hAnsi="Arial"/>
          <w:sz w:val="13"/>
          <w:szCs w:val="13"/>
          <w:color w:val="auto"/>
        </w:rPr>
        <w:t xml:space="preserve"> </w:t>
      </w:r>
      <w:r>
        <w:rPr>
          <w:rFonts w:ascii="Arial" w:cs="Arial" w:eastAsia="Arial" w:hAnsi="Arial"/>
          <w:sz w:val="13"/>
          <w:szCs w:val="13"/>
          <w:b w:val="1"/>
          <w:bCs w:val="1"/>
          <w:color w:val="auto"/>
        </w:rPr>
        <w:t>below to vote using the Internet and, when prompted, indicate that you agree to receive or access proxy materials electronically in future years.</w:t>
      </w:r>
    </w:p>
    <w:p>
      <w:pPr>
        <w:spacing w:after="0" w:line="184"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 xml:space="preserve">VOTE BY INTERNET - </w:t>
      </w:r>
      <w:r>
        <w:rPr>
          <w:rFonts w:ascii="Arial" w:cs="Arial" w:eastAsia="Arial" w:hAnsi="Arial"/>
          <w:sz w:val="13"/>
          <w:szCs w:val="13"/>
          <w:b w:val="1"/>
          <w:bCs w:val="1"/>
          <w:u w:val="single" w:color="auto"/>
          <w:color w:val="auto"/>
        </w:rPr>
        <w:t>www.proxyvote.com</w:t>
      </w:r>
    </w:p>
    <w:p>
      <w:pPr>
        <w:spacing w:after="0" w:line="2" w:lineRule="exact"/>
        <w:rPr>
          <w:sz w:val="20"/>
          <w:szCs w:val="20"/>
          <w:color w:val="auto"/>
        </w:rPr>
      </w:pPr>
    </w:p>
    <w:p>
      <w:pPr>
        <w:jc w:val="both"/>
        <w:ind w:left="80"/>
        <w:spacing w:after="0" w:line="223" w:lineRule="auto"/>
        <w:rPr>
          <w:sz w:val="20"/>
          <w:szCs w:val="20"/>
          <w:color w:val="auto"/>
        </w:rPr>
      </w:pPr>
      <w:r>
        <w:rPr>
          <w:rFonts w:ascii="Arial" w:cs="Arial" w:eastAsia="Arial" w:hAnsi="Arial"/>
          <w:sz w:val="13"/>
          <w:szCs w:val="13"/>
          <w:color w:val="auto"/>
        </w:rPr>
        <w:t>Use the Internet to transmit your voting instructions and for electronic delivery of information up until 11:59 P.M. Eastern Time on March 10, 2020. Have your proxy card in hand when you access the web site and follow the instructions to obtain your records and to create an electronic voting instruction form.</w:t>
      </w:r>
    </w:p>
    <w:p>
      <w:pPr>
        <w:spacing w:after="0" w:line="185"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VOTE BY PHONE - 1-800-690-6903</w:t>
      </w:r>
    </w:p>
    <w:p>
      <w:pPr>
        <w:spacing w:after="0" w:line="2" w:lineRule="exact"/>
        <w:rPr>
          <w:sz w:val="20"/>
          <w:szCs w:val="20"/>
          <w:color w:val="auto"/>
        </w:rPr>
      </w:pPr>
    </w:p>
    <w:p>
      <w:pPr>
        <w:jc w:val="both"/>
        <w:ind w:left="80"/>
        <w:spacing w:after="0" w:line="225" w:lineRule="auto"/>
        <w:rPr>
          <w:sz w:val="20"/>
          <w:szCs w:val="20"/>
          <w:color w:val="auto"/>
        </w:rPr>
      </w:pPr>
      <w:r>
        <w:rPr>
          <w:rFonts w:ascii="Arial" w:cs="Arial" w:eastAsia="Arial" w:hAnsi="Arial"/>
          <w:sz w:val="13"/>
          <w:szCs w:val="13"/>
          <w:color w:val="auto"/>
        </w:rPr>
        <w:t>Use any touch-tone telephone to transmit your voting instructions up until 11:59 P.M. Eastern Time on March 10, 2020. Have your proxy card in hand when you call and then follow the instructions.</w:t>
      </w:r>
    </w:p>
    <w:p>
      <w:pPr>
        <w:spacing w:after="0" w:line="185"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VOTE BY MAIL</w:t>
      </w:r>
    </w:p>
    <w:p>
      <w:pPr>
        <w:spacing w:after="0" w:line="2" w:lineRule="exact"/>
        <w:rPr>
          <w:sz w:val="20"/>
          <w:szCs w:val="20"/>
          <w:color w:val="auto"/>
        </w:rPr>
      </w:pPr>
    </w:p>
    <w:p>
      <w:pPr>
        <w:jc w:val="both"/>
        <w:ind w:left="80"/>
        <w:spacing w:after="0" w:line="259" w:lineRule="auto"/>
        <w:rPr>
          <w:sz w:val="20"/>
          <w:szCs w:val="20"/>
          <w:color w:val="auto"/>
        </w:rPr>
      </w:pPr>
      <w:r>
        <w:rPr>
          <w:rFonts w:ascii="Arial" w:cs="Arial" w:eastAsia="Arial" w:hAnsi="Arial"/>
          <w:sz w:val="12"/>
          <w:szCs w:val="12"/>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spacing w:after="0"/>
        <w:tabs>
          <w:tab w:leader="none" w:pos="2600" w:val="left"/>
        </w:tabs>
        <w:rPr>
          <w:sz w:val="20"/>
          <w:szCs w:val="20"/>
          <w:color w:val="auto"/>
        </w:rPr>
      </w:pPr>
      <w:r>
        <w:rPr>
          <w:rFonts w:ascii="Arial" w:cs="Arial" w:eastAsia="Arial" w:hAnsi="Arial"/>
          <w:sz w:val="13"/>
          <w:szCs w:val="13"/>
          <w:color w:val="auto"/>
        </w:rPr>
        <w:t>E88413-P31565</w:t>
      </w:r>
      <w:r>
        <w:rPr>
          <w:sz w:val="20"/>
          <w:szCs w:val="20"/>
          <w:color w:val="auto"/>
        </w:rPr>
        <w:tab/>
      </w:r>
      <w:r>
        <w:rPr>
          <w:rFonts w:ascii="Arial" w:cs="Arial" w:eastAsia="Arial" w:hAnsi="Arial"/>
          <w:sz w:val="12"/>
          <w:szCs w:val="12"/>
          <w:color w:val="auto"/>
        </w:rPr>
        <w:t>KEEP THIS PORTION FOR YOUR RECORDS</w:t>
      </w:r>
    </w:p>
    <w:p>
      <w:pPr>
        <w:spacing w:after="0"/>
        <w:rPr>
          <w:sz w:val="20"/>
          <w:szCs w:val="20"/>
          <w:color w:val="auto"/>
        </w:rPr>
      </w:pPr>
      <w:r>
        <w:rPr>
          <w:rFonts w:ascii="Arial" w:cs="Arial" w:eastAsia="Arial" w:hAnsi="Arial"/>
          <w:sz w:val="13"/>
          <w:szCs w:val="13"/>
          <w:b w:val="1"/>
          <w:bCs w:val="1"/>
          <w:color w:val="auto"/>
        </w:rPr>
        <w:t>— — — — — — — — — — — — — — — — — — — —</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DETACH AND RETURN THIS PORTION ONLY</w:t>
      </w:r>
    </w:p>
    <w:p>
      <w:pPr>
        <w:spacing w:after="0" w:line="1" w:lineRule="exact"/>
        <w:rPr>
          <w:sz w:val="20"/>
          <w:szCs w:val="20"/>
          <w:color w:val="auto"/>
        </w:rPr>
      </w:pPr>
    </w:p>
    <w:p>
      <w:pPr>
        <w:sectPr>
          <w:pgSz w:w="11900" w:h="16838" w:orient="portrait"/>
          <w:cols w:equalWidth="0" w:num="2">
            <w:col w:w="5680" w:space="60"/>
            <w:col w:w="5480"/>
          </w:cols>
          <w:pgMar w:left="240" w:top="459" w:right="439" w:bottom="1440" w:gutter="0" w:footer="0" w:header="0"/>
          <w:type w:val="continuous"/>
        </w:sectPr>
      </w:pPr>
    </w:p>
    <w:p>
      <w:pPr>
        <w:jc w:val="center"/>
        <w:ind w:right="-199"/>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70485</wp:posOffset>
            </wp:positionV>
            <wp:extent cx="7005955" cy="43732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005955" cy="4373245"/>
                    </a:xfrm>
                    <a:prstGeom prst="rect">
                      <a:avLst/>
                    </a:prstGeom>
                    <a:noFill/>
                  </pic:spPr>
                </pic:pic>
              </a:graphicData>
            </a:graphic>
          </wp:anchor>
        </w:drawing>
      </w:r>
    </w:p>
    <w:p>
      <w:pPr>
        <w:spacing w:after="0" w:line="130" w:lineRule="exact"/>
        <w:rPr>
          <w:sz w:val="20"/>
          <w:szCs w:val="20"/>
          <w:color w:val="auto"/>
        </w:rPr>
      </w:pPr>
    </w:p>
    <w:p>
      <w:pPr>
        <w:ind w:left="300"/>
        <w:spacing w:after="0"/>
        <w:rPr>
          <w:sz w:val="20"/>
          <w:szCs w:val="20"/>
          <w:color w:val="auto"/>
        </w:rPr>
      </w:pPr>
      <w:r>
        <w:rPr>
          <w:rFonts w:ascii="Arial" w:cs="Arial" w:eastAsia="Arial" w:hAnsi="Arial"/>
          <w:sz w:val="13"/>
          <w:szCs w:val="13"/>
          <w:b w:val="1"/>
          <w:bCs w:val="1"/>
          <w:color w:val="auto"/>
        </w:rPr>
        <w:t>ANALOG DEVICES, INC.</w:t>
      </w:r>
    </w:p>
    <w:p>
      <w:pPr>
        <w:spacing w:after="0" w:line="80" w:lineRule="exact"/>
        <w:rPr>
          <w:sz w:val="20"/>
          <w:szCs w:val="20"/>
          <w:color w:val="auto"/>
        </w:rPr>
      </w:pPr>
    </w:p>
    <w:p>
      <w:pPr>
        <w:ind w:left="480" w:right="3140"/>
        <w:spacing w:after="0" w:line="246" w:lineRule="auto"/>
        <w:rPr>
          <w:sz w:val="20"/>
          <w:szCs w:val="20"/>
          <w:color w:val="auto"/>
        </w:rPr>
      </w:pPr>
      <w:r>
        <w:rPr>
          <w:rFonts w:ascii="Arial" w:cs="Arial" w:eastAsia="Arial" w:hAnsi="Arial"/>
          <w:sz w:val="13"/>
          <w:szCs w:val="13"/>
          <w:color w:val="auto"/>
        </w:rPr>
        <w:t xml:space="preserve">The shares represented by this proxy when properly executed will be voted in the manner directed by the undersigned shareholder. </w:t>
      </w:r>
      <w:r>
        <w:rPr>
          <w:rFonts w:ascii="Arial" w:cs="Arial" w:eastAsia="Arial" w:hAnsi="Arial"/>
          <w:sz w:val="13"/>
          <w:szCs w:val="13"/>
          <w:b w:val="1"/>
          <w:bCs w:val="1"/>
          <w:color w:val="auto"/>
        </w:rPr>
        <w:t>If no</w:t>
      </w:r>
      <w:r>
        <w:rPr>
          <w:rFonts w:ascii="Arial" w:cs="Arial" w:eastAsia="Arial" w:hAnsi="Arial"/>
          <w:sz w:val="13"/>
          <w:szCs w:val="13"/>
          <w:color w:val="auto"/>
        </w:rPr>
        <w:t xml:space="preserve"> </w:t>
      </w:r>
      <w:r>
        <w:rPr>
          <w:rFonts w:ascii="Arial" w:cs="Arial" w:eastAsia="Arial" w:hAnsi="Arial"/>
          <w:sz w:val="13"/>
          <w:szCs w:val="13"/>
          <w:b w:val="1"/>
          <w:bCs w:val="1"/>
          <w:color w:val="auto"/>
        </w:rPr>
        <w:t xml:space="preserve">direction is made, this proxy will be voted </w:t>
      </w:r>
      <w:r>
        <w:rPr>
          <w:rFonts w:ascii="Arial" w:cs="Arial" w:eastAsia="Arial" w:hAnsi="Arial"/>
          <w:sz w:val="13"/>
          <w:szCs w:val="13"/>
          <w:b w:val="1"/>
          <w:bCs w:val="1"/>
          <w:u w:val="single" w:color="auto"/>
          <w:color w:val="auto"/>
        </w:rPr>
        <w:t>FOR</w:t>
      </w:r>
      <w:r>
        <w:rPr>
          <w:rFonts w:ascii="Arial" w:cs="Arial" w:eastAsia="Arial" w:hAnsi="Arial"/>
          <w:sz w:val="13"/>
          <w:szCs w:val="13"/>
          <w:b w:val="1"/>
          <w:bCs w:val="1"/>
          <w:color w:val="auto"/>
        </w:rPr>
        <w:t xml:space="preserve"> the election of each Director Nominee and </w:t>
      </w:r>
      <w:r>
        <w:rPr>
          <w:rFonts w:ascii="Arial" w:cs="Arial" w:eastAsia="Arial" w:hAnsi="Arial"/>
          <w:sz w:val="13"/>
          <w:szCs w:val="13"/>
          <w:b w:val="1"/>
          <w:bCs w:val="1"/>
          <w:u w:val="single" w:color="auto"/>
          <w:color w:val="auto"/>
        </w:rPr>
        <w:t>FOR</w:t>
      </w:r>
      <w:r>
        <w:rPr>
          <w:rFonts w:ascii="Arial" w:cs="Arial" w:eastAsia="Arial" w:hAnsi="Arial"/>
          <w:sz w:val="13"/>
          <w:szCs w:val="13"/>
          <w:b w:val="1"/>
          <w:bCs w:val="1"/>
          <w:color w:val="auto"/>
        </w:rPr>
        <w:t xml:space="preserve"> Proposals 2, 3 and 4.</w:t>
      </w:r>
    </w:p>
    <w:p>
      <w:pPr>
        <w:spacing w:after="0" w:line="193" w:lineRule="exact"/>
        <w:rPr>
          <w:sz w:val="20"/>
          <w:szCs w:val="20"/>
          <w:color w:val="auto"/>
        </w:rPr>
      </w:pPr>
    </w:p>
    <w:p>
      <w:pPr>
        <w:ind w:left="480"/>
        <w:spacing w:after="0"/>
        <w:rPr>
          <w:sz w:val="20"/>
          <w:szCs w:val="20"/>
          <w:color w:val="auto"/>
        </w:rPr>
      </w:pPr>
      <w:r>
        <w:rPr>
          <w:rFonts w:ascii="Arial" w:cs="Arial" w:eastAsia="Arial" w:hAnsi="Arial"/>
          <w:sz w:val="13"/>
          <w:szCs w:val="13"/>
          <w:b w:val="1"/>
          <w:bCs w:val="1"/>
          <w:color w:val="auto"/>
        </w:rPr>
        <w:t xml:space="preserve">The Board of Directors recommends you vote </w:t>
      </w:r>
      <w:r>
        <w:rPr>
          <w:rFonts w:ascii="Arial" w:cs="Arial" w:eastAsia="Arial" w:hAnsi="Arial"/>
          <w:sz w:val="13"/>
          <w:szCs w:val="13"/>
          <w:b w:val="1"/>
          <w:bCs w:val="1"/>
          <w:u w:val="single" w:color="auto"/>
          <w:color w:val="auto"/>
        </w:rPr>
        <w:t>FOR</w:t>
      </w:r>
      <w:r>
        <w:rPr>
          <w:rFonts w:ascii="Arial" w:cs="Arial" w:eastAsia="Arial" w:hAnsi="Arial"/>
          <w:sz w:val="13"/>
          <w:szCs w:val="13"/>
          <w:b w:val="1"/>
          <w:bCs w:val="1"/>
          <w:color w:val="auto"/>
        </w:rPr>
        <w:t xml:space="preserve"> each of the Director Nominees:</w:t>
      </w:r>
    </w:p>
    <w:p>
      <w:pPr>
        <w:spacing w:after="0" w:line="69" w:lineRule="exact"/>
        <w:rPr>
          <w:sz w:val="20"/>
          <w:szCs w:val="20"/>
          <w:color w:val="auto"/>
        </w:rPr>
      </w:pPr>
    </w:p>
    <w:p>
      <w:pPr>
        <w:ind w:left="740" w:right="5760" w:hanging="257"/>
        <w:spacing w:after="0" w:line="230" w:lineRule="auto"/>
        <w:tabs>
          <w:tab w:leader="none" w:pos="740" w:val="left"/>
        </w:tabs>
        <w:numPr>
          <w:ilvl w:val="0"/>
          <w:numId w:val="212"/>
        </w:numPr>
        <w:rPr>
          <w:rFonts w:ascii="Arial" w:cs="Arial" w:eastAsia="Arial" w:hAnsi="Arial"/>
          <w:sz w:val="13"/>
          <w:szCs w:val="13"/>
          <w:color w:val="auto"/>
        </w:rPr>
      </w:pPr>
      <w:r>
        <w:rPr>
          <w:rFonts w:ascii="Arial" w:cs="Arial" w:eastAsia="Arial" w:hAnsi="Arial"/>
          <w:sz w:val="13"/>
          <w:szCs w:val="13"/>
          <w:color w:val="auto"/>
        </w:rPr>
        <w:t>The election to Analog Devices’ Board of Directors of the ten nominees named in our Proxy Statement.</w:t>
      </w:r>
    </w:p>
    <w:p>
      <w:pPr>
        <w:sectPr>
          <w:pgSz w:w="11900" w:h="16838" w:orient="portrait"/>
          <w:cols w:equalWidth="0" w:num="1">
            <w:col w:w="11220"/>
          </w:cols>
          <w:pgMar w:left="240" w:top="459" w:right="439" w:bottom="1440" w:gutter="0" w:footer="0" w:header="0"/>
          <w:type w:val="continuous"/>
        </w:sectPr>
      </w:pPr>
    </w:p>
    <w:p>
      <w:pPr>
        <w:spacing w:after="0" w:line="89" w:lineRule="exact"/>
        <w:rPr>
          <w:sz w:val="20"/>
          <w:szCs w:val="20"/>
          <w:color w:val="auto"/>
        </w:rPr>
      </w:pPr>
    </w:p>
    <w:tbl>
      <w:tblPr>
        <w:tblLayout w:type="fixed"/>
        <w:tblInd w:w="720" w:type="dxa"/>
        <w:tblCellMar>
          <w:top w:w="0" w:type="dxa"/>
          <w:left w:w="0" w:type="dxa"/>
          <w:bottom w:w="0" w:type="dxa"/>
          <w:right w:w="0" w:type="dxa"/>
        </w:tblCellMar>
      </w:tblPr>
      <w:tr>
        <w:trPr>
          <w:trHeight w:val="168"/>
        </w:trPr>
        <w:tc>
          <w:tcPr>
            <w:tcW w:w="2380" w:type="dxa"/>
            <w:vAlign w:val="bottom"/>
            <w:gridSpan w:val="2"/>
          </w:tcPr>
          <w:p>
            <w:pPr>
              <w:spacing w:after="0"/>
              <w:rPr>
                <w:sz w:val="20"/>
                <w:szCs w:val="20"/>
                <w:color w:val="auto"/>
              </w:rPr>
            </w:pPr>
            <w:r>
              <w:rPr>
                <w:rFonts w:ascii="Arial" w:cs="Arial" w:eastAsia="Arial" w:hAnsi="Arial"/>
                <w:sz w:val="13"/>
                <w:szCs w:val="13"/>
                <w:b w:val="1"/>
                <w:bCs w:val="1"/>
                <w:color w:val="auto"/>
              </w:rPr>
              <w:t>Nominees:</w:t>
            </w:r>
          </w:p>
        </w:tc>
        <w:tc>
          <w:tcPr>
            <w:tcW w:w="980" w:type="dxa"/>
            <w:vAlign w:val="bottom"/>
          </w:tcPr>
          <w:p>
            <w:pPr>
              <w:jc w:val="center"/>
              <w:ind w:left="397"/>
              <w:spacing w:after="0"/>
              <w:rPr>
                <w:sz w:val="20"/>
                <w:szCs w:val="20"/>
                <w:color w:val="auto"/>
              </w:rPr>
            </w:pPr>
            <w:r>
              <w:rPr>
                <w:rFonts w:ascii="Arial" w:cs="Arial" w:eastAsia="Arial" w:hAnsi="Arial"/>
                <w:sz w:val="13"/>
                <w:szCs w:val="13"/>
                <w:b w:val="1"/>
                <w:bCs w:val="1"/>
                <w:color w:val="auto"/>
                <w:w w:val="95"/>
              </w:rPr>
              <w:t>For</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6"/>
              </w:rPr>
              <w:t>Against</w:t>
            </w:r>
          </w:p>
        </w:tc>
        <w:tc>
          <w:tcPr>
            <w:tcW w:w="620" w:type="dxa"/>
            <w:vAlign w:val="bottom"/>
          </w:tcPr>
          <w:p>
            <w:pPr>
              <w:jc w:val="center"/>
              <w:ind w:left="97"/>
              <w:spacing w:after="0"/>
              <w:rPr>
                <w:sz w:val="20"/>
                <w:szCs w:val="20"/>
                <w:color w:val="auto"/>
              </w:rPr>
            </w:pPr>
            <w:r>
              <w:rPr>
                <w:rFonts w:ascii="Arial" w:cs="Arial" w:eastAsia="Arial" w:hAnsi="Arial"/>
                <w:sz w:val="13"/>
                <w:szCs w:val="13"/>
                <w:b w:val="1"/>
                <w:bCs w:val="1"/>
                <w:color w:val="auto"/>
                <w:w w:val="96"/>
              </w:rPr>
              <w:t>Abstain</w:t>
            </w:r>
          </w:p>
        </w:tc>
      </w:tr>
      <w:tr>
        <w:trPr>
          <w:trHeight w:val="379"/>
        </w:trPr>
        <w:tc>
          <w:tcPr>
            <w:tcW w:w="240" w:type="dxa"/>
            <w:vAlign w:val="bottom"/>
          </w:tcPr>
          <w:p>
            <w:pPr>
              <w:spacing w:after="0"/>
              <w:rPr>
                <w:sz w:val="20"/>
                <w:szCs w:val="20"/>
                <w:color w:val="auto"/>
              </w:rPr>
            </w:pPr>
            <w:r>
              <w:rPr>
                <w:rFonts w:ascii="Arial" w:cs="Arial" w:eastAsia="Arial" w:hAnsi="Arial"/>
                <w:sz w:val="13"/>
                <w:szCs w:val="13"/>
                <w:color w:val="auto"/>
              </w:rPr>
              <w:t>1a.</w:t>
            </w:r>
          </w:p>
        </w:tc>
        <w:tc>
          <w:tcPr>
            <w:tcW w:w="2140" w:type="dxa"/>
            <w:vAlign w:val="bottom"/>
          </w:tcPr>
          <w:p>
            <w:pPr>
              <w:ind w:left="60"/>
              <w:spacing w:after="0"/>
              <w:rPr>
                <w:sz w:val="20"/>
                <w:szCs w:val="20"/>
                <w:color w:val="auto"/>
              </w:rPr>
            </w:pPr>
            <w:r>
              <w:rPr>
                <w:rFonts w:ascii="Arial" w:cs="Arial" w:eastAsia="Arial" w:hAnsi="Arial"/>
                <w:sz w:val="13"/>
                <w:szCs w:val="13"/>
                <w:color w:val="auto"/>
              </w:rPr>
              <w:t>Ray Stata</w:t>
            </w:r>
          </w:p>
        </w:tc>
        <w:tc>
          <w:tcPr>
            <w:tcW w:w="980" w:type="dxa"/>
            <w:vAlign w:val="bottom"/>
          </w:tcPr>
          <w:p>
            <w:pPr>
              <w:jc w:val="center"/>
              <w:ind w:left="397"/>
              <w:spacing w:after="0" w:line="131" w:lineRule="exact"/>
              <w:rPr>
                <w:sz w:val="20"/>
                <w:szCs w:val="20"/>
                <w:color w:val="auto"/>
              </w:rPr>
            </w:pPr>
            <w:r>
              <w:rPr>
                <w:rFonts w:ascii="MS PGothic" w:cs="MS PGothic" w:eastAsia="MS PGothic" w:hAnsi="MS PGothic"/>
                <w:sz w:val="13"/>
                <w:szCs w:val="13"/>
                <w:color w:val="auto"/>
                <w:w w:val="91"/>
              </w:rPr>
              <w:t>☐</w:t>
            </w:r>
          </w:p>
        </w:tc>
        <w:tc>
          <w:tcPr>
            <w:tcW w:w="78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620" w:type="dxa"/>
            <w:vAlign w:val="bottom"/>
          </w:tcPr>
          <w:p>
            <w:pPr>
              <w:jc w:val="center"/>
              <w:ind w:left="117"/>
              <w:spacing w:after="0" w:line="131" w:lineRule="exact"/>
              <w:rPr>
                <w:sz w:val="20"/>
                <w:szCs w:val="20"/>
                <w:color w:val="auto"/>
              </w:rPr>
            </w:pPr>
            <w:r>
              <w:rPr>
                <w:rFonts w:ascii="MS PGothic" w:cs="MS PGothic" w:eastAsia="MS PGothic" w:hAnsi="MS PGothic"/>
                <w:sz w:val="13"/>
                <w:szCs w:val="13"/>
                <w:color w:val="auto"/>
                <w:w w:val="91"/>
              </w:rPr>
              <w:t>☐</w:t>
            </w:r>
          </w:p>
        </w:tc>
      </w:tr>
      <w:tr>
        <w:trPr>
          <w:trHeight w:val="365"/>
        </w:trPr>
        <w:tc>
          <w:tcPr>
            <w:tcW w:w="240" w:type="dxa"/>
            <w:vAlign w:val="bottom"/>
          </w:tcPr>
          <w:p>
            <w:pPr>
              <w:spacing w:after="0"/>
              <w:rPr>
                <w:sz w:val="20"/>
                <w:szCs w:val="20"/>
                <w:color w:val="auto"/>
              </w:rPr>
            </w:pPr>
            <w:r>
              <w:rPr>
                <w:rFonts w:ascii="Arial" w:cs="Arial" w:eastAsia="Arial" w:hAnsi="Arial"/>
                <w:sz w:val="13"/>
                <w:szCs w:val="13"/>
                <w:color w:val="auto"/>
              </w:rPr>
              <w:t>1b.</w:t>
            </w:r>
          </w:p>
        </w:tc>
        <w:tc>
          <w:tcPr>
            <w:tcW w:w="2140" w:type="dxa"/>
            <w:vAlign w:val="bottom"/>
          </w:tcPr>
          <w:p>
            <w:pPr>
              <w:ind w:left="60"/>
              <w:spacing w:after="0"/>
              <w:rPr>
                <w:sz w:val="20"/>
                <w:szCs w:val="20"/>
                <w:color w:val="auto"/>
              </w:rPr>
            </w:pPr>
            <w:r>
              <w:rPr>
                <w:rFonts w:ascii="Arial" w:cs="Arial" w:eastAsia="Arial" w:hAnsi="Arial"/>
                <w:sz w:val="13"/>
                <w:szCs w:val="13"/>
                <w:color w:val="auto"/>
              </w:rPr>
              <w:t>Vincent Roche</w:t>
            </w:r>
          </w:p>
        </w:tc>
        <w:tc>
          <w:tcPr>
            <w:tcW w:w="980" w:type="dxa"/>
            <w:vAlign w:val="bottom"/>
          </w:tcPr>
          <w:p>
            <w:pPr>
              <w:jc w:val="center"/>
              <w:ind w:left="397"/>
              <w:spacing w:after="0" w:line="131" w:lineRule="exact"/>
              <w:rPr>
                <w:sz w:val="20"/>
                <w:szCs w:val="20"/>
                <w:color w:val="auto"/>
              </w:rPr>
            </w:pPr>
            <w:r>
              <w:rPr>
                <w:rFonts w:ascii="MS PGothic" w:cs="MS PGothic" w:eastAsia="MS PGothic" w:hAnsi="MS PGothic"/>
                <w:sz w:val="13"/>
                <w:szCs w:val="13"/>
                <w:color w:val="auto"/>
                <w:w w:val="91"/>
              </w:rPr>
              <w:t>☐</w:t>
            </w:r>
          </w:p>
        </w:tc>
        <w:tc>
          <w:tcPr>
            <w:tcW w:w="78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620" w:type="dxa"/>
            <w:vAlign w:val="bottom"/>
          </w:tcPr>
          <w:p>
            <w:pPr>
              <w:jc w:val="center"/>
              <w:ind w:left="117"/>
              <w:spacing w:after="0" w:line="131" w:lineRule="exact"/>
              <w:rPr>
                <w:sz w:val="20"/>
                <w:szCs w:val="20"/>
                <w:color w:val="auto"/>
              </w:rPr>
            </w:pPr>
            <w:r>
              <w:rPr>
                <w:rFonts w:ascii="MS PGothic" w:cs="MS PGothic" w:eastAsia="MS PGothic" w:hAnsi="MS PGothic"/>
                <w:sz w:val="13"/>
                <w:szCs w:val="13"/>
                <w:color w:val="auto"/>
                <w:w w:val="91"/>
              </w:rPr>
              <w:t>☐</w:t>
            </w:r>
          </w:p>
        </w:tc>
      </w:tr>
      <w:tr>
        <w:trPr>
          <w:trHeight w:val="365"/>
        </w:trPr>
        <w:tc>
          <w:tcPr>
            <w:tcW w:w="240" w:type="dxa"/>
            <w:vAlign w:val="bottom"/>
          </w:tcPr>
          <w:p>
            <w:pPr>
              <w:spacing w:after="0"/>
              <w:rPr>
                <w:sz w:val="20"/>
                <w:szCs w:val="20"/>
                <w:color w:val="auto"/>
              </w:rPr>
            </w:pPr>
            <w:r>
              <w:rPr>
                <w:rFonts w:ascii="Arial" w:cs="Arial" w:eastAsia="Arial" w:hAnsi="Arial"/>
                <w:sz w:val="13"/>
                <w:szCs w:val="13"/>
                <w:color w:val="auto"/>
              </w:rPr>
              <w:t>1c.</w:t>
            </w:r>
          </w:p>
        </w:tc>
        <w:tc>
          <w:tcPr>
            <w:tcW w:w="2140" w:type="dxa"/>
            <w:vAlign w:val="bottom"/>
          </w:tcPr>
          <w:p>
            <w:pPr>
              <w:ind w:left="60"/>
              <w:spacing w:after="0"/>
              <w:rPr>
                <w:sz w:val="20"/>
                <w:szCs w:val="20"/>
                <w:color w:val="auto"/>
              </w:rPr>
            </w:pPr>
            <w:r>
              <w:rPr>
                <w:rFonts w:ascii="Arial" w:cs="Arial" w:eastAsia="Arial" w:hAnsi="Arial"/>
                <w:sz w:val="13"/>
                <w:szCs w:val="13"/>
                <w:color w:val="auto"/>
              </w:rPr>
              <w:t>James A. Champy</w:t>
            </w:r>
          </w:p>
        </w:tc>
        <w:tc>
          <w:tcPr>
            <w:tcW w:w="980" w:type="dxa"/>
            <w:vAlign w:val="bottom"/>
          </w:tcPr>
          <w:p>
            <w:pPr>
              <w:jc w:val="center"/>
              <w:ind w:left="397"/>
              <w:spacing w:after="0" w:line="131" w:lineRule="exact"/>
              <w:rPr>
                <w:sz w:val="20"/>
                <w:szCs w:val="20"/>
                <w:color w:val="auto"/>
              </w:rPr>
            </w:pPr>
            <w:r>
              <w:rPr>
                <w:rFonts w:ascii="MS PGothic" w:cs="MS PGothic" w:eastAsia="MS PGothic" w:hAnsi="MS PGothic"/>
                <w:sz w:val="13"/>
                <w:szCs w:val="13"/>
                <w:color w:val="auto"/>
                <w:w w:val="91"/>
              </w:rPr>
              <w:t>☐</w:t>
            </w:r>
          </w:p>
        </w:tc>
        <w:tc>
          <w:tcPr>
            <w:tcW w:w="78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620" w:type="dxa"/>
            <w:vAlign w:val="bottom"/>
          </w:tcPr>
          <w:p>
            <w:pPr>
              <w:jc w:val="center"/>
              <w:ind w:left="117"/>
              <w:spacing w:after="0" w:line="131" w:lineRule="exact"/>
              <w:rPr>
                <w:sz w:val="20"/>
                <w:szCs w:val="20"/>
                <w:color w:val="auto"/>
              </w:rPr>
            </w:pPr>
            <w:r>
              <w:rPr>
                <w:rFonts w:ascii="MS PGothic" w:cs="MS PGothic" w:eastAsia="MS PGothic" w:hAnsi="MS PGothic"/>
                <w:sz w:val="13"/>
                <w:szCs w:val="13"/>
                <w:color w:val="auto"/>
                <w:w w:val="91"/>
              </w:rPr>
              <w:t>☐</w:t>
            </w:r>
          </w:p>
        </w:tc>
      </w:tr>
      <w:tr>
        <w:trPr>
          <w:trHeight w:val="365"/>
        </w:trPr>
        <w:tc>
          <w:tcPr>
            <w:tcW w:w="240" w:type="dxa"/>
            <w:vAlign w:val="bottom"/>
          </w:tcPr>
          <w:p>
            <w:pPr>
              <w:spacing w:after="0"/>
              <w:rPr>
                <w:sz w:val="20"/>
                <w:szCs w:val="20"/>
                <w:color w:val="auto"/>
              </w:rPr>
            </w:pPr>
            <w:r>
              <w:rPr>
                <w:rFonts w:ascii="Arial" w:cs="Arial" w:eastAsia="Arial" w:hAnsi="Arial"/>
                <w:sz w:val="13"/>
                <w:szCs w:val="13"/>
                <w:color w:val="auto"/>
              </w:rPr>
              <w:t>1d.</w:t>
            </w:r>
          </w:p>
        </w:tc>
        <w:tc>
          <w:tcPr>
            <w:tcW w:w="2140" w:type="dxa"/>
            <w:vAlign w:val="bottom"/>
          </w:tcPr>
          <w:p>
            <w:pPr>
              <w:ind w:left="60"/>
              <w:spacing w:after="0"/>
              <w:rPr>
                <w:sz w:val="20"/>
                <w:szCs w:val="20"/>
                <w:color w:val="auto"/>
              </w:rPr>
            </w:pPr>
            <w:r>
              <w:rPr>
                <w:rFonts w:ascii="Arial" w:cs="Arial" w:eastAsia="Arial" w:hAnsi="Arial"/>
                <w:sz w:val="13"/>
                <w:szCs w:val="13"/>
                <w:color w:val="auto"/>
              </w:rPr>
              <w:t>Anantha P. Chandrakasan</w:t>
            </w:r>
          </w:p>
        </w:tc>
        <w:tc>
          <w:tcPr>
            <w:tcW w:w="980" w:type="dxa"/>
            <w:vAlign w:val="bottom"/>
          </w:tcPr>
          <w:p>
            <w:pPr>
              <w:jc w:val="center"/>
              <w:ind w:left="397"/>
              <w:spacing w:after="0" w:line="131" w:lineRule="exact"/>
              <w:rPr>
                <w:sz w:val="20"/>
                <w:szCs w:val="20"/>
                <w:color w:val="auto"/>
              </w:rPr>
            </w:pPr>
            <w:r>
              <w:rPr>
                <w:rFonts w:ascii="MS PGothic" w:cs="MS PGothic" w:eastAsia="MS PGothic" w:hAnsi="MS PGothic"/>
                <w:sz w:val="13"/>
                <w:szCs w:val="13"/>
                <w:color w:val="auto"/>
                <w:w w:val="91"/>
              </w:rPr>
              <w:t>☐</w:t>
            </w:r>
          </w:p>
        </w:tc>
        <w:tc>
          <w:tcPr>
            <w:tcW w:w="78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620" w:type="dxa"/>
            <w:vAlign w:val="bottom"/>
          </w:tcPr>
          <w:p>
            <w:pPr>
              <w:jc w:val="center"/>
              <w:ind w:left="117"/>
              <w:spacing w:after="0" w:line="131" w:lineRule="exact"/>
              <w:rPr>
                <w:sz w:val="20"/>
                <w:szCs w:val="20"/>
                <w:color w:val="auto"/>
              </w:rPr>
            </w:pPr>
            <w:r>
              <w:rPr>
                <w:rFonts w:ascii="MS PGothic" w:cs="MS PGothic" w:eastAsia="MS PGothic" w:hAnsi="MS PGothic"/>
                <w:sz w:val="13"/>
                <w:szCs w:val="13"/>
                <w:color w:val="auto"/>
                <w:w w:val="91"/>
              </w:rPr>
              <w:t>☐</w:t>
            </w:r>
          </w:p>
        </w:tc>
      </w:tr>
      <w:tr>
        <w:trPr>
          <w:trHeight w:val="365"/>
        </w:trPr>
        <w:tc>
          <w:tcPr>
            <w:tcW w:w="240" w:type="dxa"/>
            <w:vAlign w:val="bottom"/>
          </w:tcPr>
          <w:p>
            <w:pPr>
              <w:spacing w:after="0"/>
              <w:rPr>
                <w:sz w:val="20"/>
                <w:szCs w:val="20"/>
                <w:color w:val="auto"/>
              </w:rPr>
            </w:pPr>
            <w:r>
              <w:rPr>
                <w:rFonts w:ascii="Arial" w:cs="Arial" w:eastAsia="Arial" w:hAnsi="Arial"/>
                <w:sz w:val="13"/>
                <w:szCs w:val="13"/>
                <w:color w:val="auto"/>
              </w:rPr>
              <w:t>1e.</w:t>
            </w:r>
          </w:p>
        </w:tc>
        <w:tc>
          <w:tcPr>
            <w:tcW w:w="2140" w:type="dxa"/>
            <w:vAlign w:val="bottom"/>
          </w:tcPr>
          <w:p>
            <w:pPr>
              <w:ind w:left="60"/>
              <w:spacing w:after="0"/>
              <w:rPr>
                <w:sz w:val="20"/>
                <w:szCs w:val="20"/>
                <w:color w:val="auto"/>
              </w:rPr>
            </w:pPr>
            <w:r>
              <w:rPr>
                <w:rFonts w:ascii="Arial" w:cs="Arial" w:eastAsia="Arial" w:hAnsi="Arial"/>
                <w:sz w:val="13"/>
                <w:szCs w:val="13"/>
                <w:color w:val="auto"/>
              </w:rPr>
              <w:t>Bruce R. Evans</w:t>
            </w:r>
          </w:p>
        </w:tc>
        <w:tc>
          <w:tcPr>
            <w:tcW w:w="980" w:type="dxa"/>
            <w:vAlign w:val="bottom"/>
          </w:tcPr>
          <w:p>
            <w:pPr>
              <w:jc w:val="center"/>
              <w:ind w:left="397"/>
              <w:spacing w:after="0" w:line="131" w:lineRule="exact"/>
              <w:rPr>
                <w:sz w:val="20"/>
                <w:szCs w:val="20"/>
                <w:color w:val="auto"/>
              </w:rPr>
            </w:pPr>
            <w:r>
              <w:rPr>
                <w:rFonts w:ascii="MS PGothic" w:cs="MS PGothic" w:eastAsia="MS PGothic" w:hAnsi="MS PGothic"/>
                <w:sz w:val="13"/>
                <w:szCs w:val="13"/>
                <w:color w:val="auto"/>
                <w:w w:val="91"/>
              </w:rPr>
              <w:t>☐</w:t>
            </w:r>
          </w:p>
        </w:tc>
        <w:tc>
          <w:tcPr>
            <w:tcW w:w="78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620" w:type="dxa"/>
            <w:vAlign w:val="bottom"/>
          </w:tcPr>
          <w:p>
            <w:pPr>
              <w:jc w:val="center"/>
              <w:ind w:left="117"/>
              <w:spacing w:after="0" w:line="131" w:lineRule="exact"/>
              <w:rPr>
                <w:sz w:val="20"/>
                <w:szCs w:val="20"/>
                <w:color w:val="auto"/>
              </w:rPr>
            </w:pPr>
            <w:r>
              <w:rPr>
                <w:rFonts w:ascii="MS PGothic" w:cs="MS PGothic" w:eastAsia="MS PGothic" w:hAnsi="MS PGothic"/>
                <w:sz w:val="13"/>
                <w:szCs w:val="13"/>
                <w:color w:val="auto"/>
                <w:w w:val="91"/>
              </w:rPr>
              <w:t>☐</w:t>
            </w:r>
          </w:p>
        </w:tc>
      </w:tr>
      <w:tr>
        <w:trPr>
          <w:trHeight w:val="365"/>
        </w:trPr>
        <w:tc>
          <w:tcPr>
            <w:tcW w:w="240" w:type="dxa"/>
            <w:vAlign w:val="bottom"/>
          </w:tcPr>
          <w:p>
            <w:pPr>
              <w:spacing w:after="0"/>
              <w:rPr>
                <w:sz w:val="20"/>
                <w:szCs w:val="20"/>
                <w:color w:val="auto"/>
              </w:rPr>
            </w:pPr>
            <w:r>
              <w:rPr>
                <w:rFonts w:ascii="Arial" w:cs="Arial" w:eastAsia="Arial" w:hAnsi="Arial"/>
                <w:sz w:val="13"/>
                <w:szCs w:val="13"/>
                <w:color w:val="auto"/>
              </w:rPr>
              <w:t>1f.</w:t>
            </w:r>
          </w:p>
        </w:tc>
        <w:tc>
          <w:tcPr>
            <w:tcW w:w="2140" w:type="dxa"/>
            <w:vAlign w:val="bottom"/>
          </w:tcPr>
          <w:p>
            <w:pPr>
              <w:ind w:left="60"/>
              <w:spacing w:after="0"/>
              <w:rPr>
                <w:sz w:val="20"/>
                <w:szCs w:val="20"/>
                <w:color w:val="auto"/>
              </w:rPr>
            </w:pPr>
            <w:r>
              <w:rPr>
                <w:rFonts w:ascii="Arial" w:cs="Arial" w:eastAsia="Arial" w:hAnsi="Arial"/>
                <w:sz w:val="13"/>
                <w:szCs w:val="13"/>
                <w:color w:val="auto"/>
              </w:rPr>
              <w:t>Edward H. Frank</w:t>
            </w:r>
          </w:p>
        </w:tc>
        <w:tc>
          <w:tcPr>
            <w:tcW w:w="980" w:type="dxa"/>
            <w:vAlign w:val="bottom"/>
          </w:tcPr>
          <w:p>
            <w:pPr>
              <w:jc w:val="center"/>
              <w:ind w:left="397"/>
              <w:spacing w:after="0" w:line="131" w:lineRule="exact"/>
              <w:rPr>
                <w:sz w:val="20"/>
                <w:szCs w:val="20"/>
                <w:color w:val="auto"/>
              </w:rPr>
            </w:pPr>
            <w:r>
              <w:rPr>
                <w:rFonts w:ascii="MS PGothic" w:cs="MS PGothic" w:eastAsia="MS PGothic" w:hAnsi="MS PGothic"/>
                <w:sz w:val="13"/>
                <w:szCs w:val="13"/>
                <w:color w:val="auto"/>
                <w:w w:val="91"/>
              </w:rPr>
              <w:t>☐</w:t>
            </w:r>
          </w:p>
        </w:tc>
        <w:tc>
          <w:tcPr>
            <w:tcW w:w="78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620" w:type="dxa"/>
            <w:vAlign w:val="bottom"/>
          </w:tcPr>
          <w:p>
            <w:pPr>
              <w:jc w:val="center"/>
              <w:ind w:left="117"/>
              <w:spacing w:after="0" w:line="131" w:lineRule="exact"/>
              <w:rPr>
                <w:sz w:val="20"/>
                <w:szCs w:val="20"/>
                <w:color w:val="auto"/>
              </w:rPr>
            </w:pPr>
            <w:r>
              <w:rPr>
                <w:rFonts w:ascii="MS PGothic" w:cs="MS PGothic" w:eastAsia="MS PGothic" w:hAnsi="MS PGothic"/>
                <w:sz w:val="13"/>
                <w:szCs w:val="13"/>
                <w:color w:val="auto"/>
                <w:w w:val="91"/>
              </w:rPr>
              <w:t>☐</w:t>
            </w:r>
          </w:p>
        </w:tc>
      </w:tr>
      <w:tr>
        <w:trPr>
          <w:trHeight w:val="365"/>
        </w:trPr>
        <w:tc>
          <w:tcPr>
            <w:tcW w:w="240" w:type="dxa"/>
            <w:vAlign w:val="bottom"/>
          </w:tcPr>
          <w:p>
            <w:pPr>
              <w:spacing w:after="0"/>
              <w:rPr>
                <w:sz w:val="20"/>
                <w:szCs w:val="20"/>
                <w:color w:val="auto"/>
              </w:rPr>
            </w:pPr>
            <w:r>
              <w:rPr>
                <w:rFonts w:ascii="Arial" w:cs="Arial" w:eastAsia="Arial" w:hAnsi="Arial"/>
                <w:sz w:val="13"/>
                <w:szCs w:val="13"/>
                <w:color w:val="auto"/>
              </w:rPr>
              <w:t>1g.</w:t>
            </w:r>
          </w:p>
        </w:tc>
        <w:tc>
          <w:tcPr>
            <w:tcW w:w="2140" w:type="dxa"/>
            <w:vAlign w:val="bottom"/>
          </w:tcPr>
          <w:p>
            <w:pPr>
              <w:ind w:left="60"/>
              <w:spacing w:after="0"/>
              <w:rPr>
                <w:sz w:val="20"/>
                <w:szCs w:val="20"/>
                <w:color w:val="auto"/>
              </w:rPr>
            </w:pPr>
            <w:r>
              <w:rPr>
                <w:rFonts w:ascii="Arial" w:cs="Arial" w:eastAsia="Arial" w:hAnsi="Arial"/>
                <w:sz w:val="13"/>
                <w:szCs w:val="13"/>
                <w:color w:val="auto"/>
              </w:rPr>
              <w:t>Karen M. Golz</w:t>
            </w:r>
          </w:p>
        </w:tc>
        <w:tc>
          <w:tcPr>
            <w:tcW w:w="980" w:type="dxa"/>
            <w:vAlign w:val="bottom"/>
          </w:tcPr>
          <w:p>
            <w:pPr>
              <w:jc w:val="center"/>
              <w:ind w:left="397"/>
              <w:spacing w:after="0" w:line="131" w:lineRule="exact"/>
              <w:rPr>
                <w:sz w:val="20"/>
                <w:szCs w:val="20"/>
                <w:color w:val="auto"/>
              </w:rPr>
            </w:pPr>
            <w:r>
              <w:rPr>
                <w:rFonts w:ascii="MS PGothic" w:cs="MS PGothic" w:eastAsia="MS PGothic" w:hAnsi="MS PGothic"/>
                <w:sz w:val="13"/>
                <w:szCs w:val="13"/>
                <w:color w:val="auto"/>
                <w:w w:val="91"/>
              </w:rPr>
              <w:t>☐</w:t>
            </w:r>
          </w:p>
        </w:tc>
        <w:tc>
          <w:tcPr>
            <w:tcW w:w="78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620" w:type="dxa"/>
            <w:vAlign w:val="bottom"/>
          </w:tcPr>
          <w:p>
            <w:pPr>
              <w:jc w:val="center"/>
              <w:ind w:left="117"/>
              <w:spacing w:after="0" w:line="131" w:lineRule="exact"/>
              <w:rPr>
                <w:sz w:val="20"/>
                <w:szCs w:val="20"/>
                <w:color w:val="auto"/>
              </w:rPr>
            </w:pPr>
            <w:r>
              <w:rPr>
                <w:rFonts w:ascii="MS PGothic" w:cs="MS PGothic" w:eastAsia="MS PGothic" w:hAnsi="MS PGothic"/>
                <w:sz w:val="13"/>
                <w:szCs w:val="13"/>
                <w:color w:val="auto"/>
                <w:w w:val="91"/>
              </w:rPr>
              <w:t>☐</w:t>
            </w:r>
          </w:p>
        </w:tc>
      </w:tr>
      <w:tr>
        <w:trPr>
          <w:trHeight w:val="365"/>
        </w:trPr>
        <w:tc>
          <w:tcPr>
            <w:tcW w:w="240" w:type="dxa"/>
            <w:vAlign w:val="bottom"/>
          </w:tcPr>
          <w:p>
            <w:pPr>
              <w:spacing w:after="0"/>
              <w:rPr>
                <w:sz w:val="20"/>
                <w:szCs w:val="20"/>
                <w:color w:val="auto"/>
              </w:rPr>
            </w:pPr>
            <w:r>
              <w:rPr>
                <w:rFonts w:ascii="Arial" w:cs="Arial" w:eastAsia="Arial" w:hAnsi="Arial"/>
                <w:sz w:val="13"/>
                <w:szCs w:val="13"/>
                <w:color w:val="auto"/>
              </w:rPr>
              <w:t>1h.</w:t>
            </w:r>
          </w:p>
        </w:tc>
        <w:tc>
          <w:tcPr>
            <w:tcW w:w="2140" w:type="dxa"/>
            <w:vAlign w:val="bottom"/>
          </w:tcPr>
          <w:p>
            <w:pPr>
              <w:ind w:left="60"/>
              <w:spacing w:after="0"/>
              <w:rPr>
                <w:sz w:val="20"/>
                <w:szCs w:val="20"/>
                <w:color w:val="auto"/>
              </w:rPr>
            </w:pPr>
            <w:r>
              <w:rPr>
                <w:rFonts w:ascii="Arial" w:cs="Arial" w:eastAsia="Arial" w:hAnsi="Arial"/>
                <w:sz w:val="13"/>
                <w:szCs w:val="13"/>
                <w:color w:val="auto"/>
              </w:rPr>
              <w:t>Mark M. Little</w:t>
            </w:r>
          </w:p>
        </w:tc>
        <w:tc>
          <w:tcPr>
            <w:tcW w:w="980" w:type="dxa"/>
            <w:vAlign w:val="bottom"/>
          </w:tcPr>
          <w:p>
            <w:pPr>
              <w:jc w:val="center"/>
              <w:ind w:left="397"/>
              <w:spacing w:after="0" w:line="131" w:lineRule="exact"/>
              <w:rPr>
                <w:sz w:val="20"/>
                <w:szCs w:val="20"/>
                <w:color w:val="auto"/>
              </w:rPr>
            </w:pPr>
            <w:r>
              <w:rPr>
                <w:rFonts w:ascii="MS PGothic" w:cs="MS PGothic" w:eastAsia="MS PGothic" w:hAnsi="MS PGothic"/>
                <w:sz w:val="13"/>
                <w:szCs w:val="13"/>
                <w:color w:val="auto"/>
                <w:w w:val="91"/>
              </w:rPr>
              <w:t>☐</w:t>
            </w:r>
          </w:p>
        </w:tc>
        <w:tc>
          <w:tcPr>
            <w:tcW w:w="78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620" w:type="dxa"/>
            <w:vAlign w:val="bottom"/>
          </w:tcPr>
          <w:p>
            <w:pPr>
              <w:jc w:val="center"/>
              <w:ind w:left="117"/>
              <w:spacing w:after="0" w:line="131" w:lineRule="exact"/>
              <w:rPr>
                <w:sz w:val="20"/>
                <w:szCs w:val="20"/>
                <w:color w:val="auto"/>
              </w:rPr>
            </w:pPr>
            <w:r>
              <w:rPr>
                <w:rFonts w:ascii="MS PGothic" w:cs="MS PGothic" w:eastAsia="MS PGothic" w:hAnsi="MS PGothic"/>
                <w:sz w:val="13"/>
                <w:szCs w:val="13"/>
                <w:color w:val="auto"/>
                <w:w w:val="91"/>
              </w:rPr>
              <w:t>☐</w:t>
            </w:r>
          </w:p>
        </w:tc>
      </w:tr>
      <w:tr>
        <w:trPr>
          <w:trHeight w:val="365"/>
        </w:trPr>
        <w:tc>
          <w:tcPr>
            <w:tcW w:w="240" w:type="dxa"/>
            <w:vAlign w:val="bottom"/>
          </w:tcPr>
          <w:p>
            <w:pPr>
              <w:spacing w:after="0"/>
              <w:rPr>
                <w:sz w:val="20"/>
                <w:szCs w:val="20"/>
                <w:color w:val="auto"/>
              </w:rPr>
            </w:pPr>
            <w:r>
              <w:rPr>
                <w:rFonts w:ascii="Arial" w:cs="Arial" w:eastAsia="Arial" w:hAnsi="Arial"/>
                <w:sz w:val="13"/>
                <w:szCs w:val="13"/>
                <w:color w:val="auto"/>
              </w:rPr>
              <w:t>1i.</w:t>
            </w:r>
          </w:p>
        </w:tc>
        <w:tc>
          <w:tcPr>
            <w:tcW w:w="2140" w:type="dxa"/>
            <w:vAlign w:val="bottom"/>
          </w:tcPr>
          <w:p>
            <w:pPr>
              <w:ind w:left="60"/>
              <w:spacing w:after="0"/>
              <w:rPr>
                <w:sz w:val="20"/>
                <w:szCs w:val="20"/>
                <w:color w:val="auto"/>
              </w:rPr>
            </w:pPr>
            <w:r>
              <w:rPr>
                <w:rFonts w:ascii="Arial" w:cs="Arial" w:eastAsia="Arial" w:hAnsi="Arial"/>
                <w:sz w:val="13"/>
                <w:szCs w:val="13"/>
                <w:color w:val="auto"/>
              </w:rPr>
              <w:t>Kenton J. Sicchitano</w:t>
            </w:r>
          </w:p>
        </w:tc>
        <w:tc>
          <w:tcPr>
            <w:tcW w:w="980" w:type="dxa"/>
            <w:vAlign w:val="bottom"/>
          </w:tcPr>
          <w:p>
            <w:pPr>
              <w:jc w:val="center"/>
              <w:ind w:left="397"/>
              <w:spacing w:after="0" w:line="131" w:lineRule="exact"/>
              <w:rPr>
                <w:sz w:val="20"/>
                <w:szCs w:val="20"/>
                <w:color w:val="auto"/>
              </w:rPr>
            </w:pPr>
            <w:r>
              <w:rPr>
                <w:rFonts w:ascii="MS PGothic" w:cs="MS PGothic" w:eastAsia="MS PGothic" w:hAnsi="MS PGothic"/>
                <w:sz w:val="13"/>
                <w:szCs w:val="13"/>
                <w:color w:val="auto"/>
                <w:w w:val="91"/>
              </w:rPr>
              <w:t>☐</w:t>
            </w:r>
          </w:p>
        </w:tc>
        <w:tc>
          <w:tcPr>
            <w:tcW w:w="78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620" w:type="dxa"/>
            <w:vAlign w:val="bottom"/>
          </w:tcPr>
          <w:p>
            <w:pPr>
              <w:jc w:val="center"/>
              <w:ind w:left="117"/>
              <w:spacing w:after="0" w:line="131" w:lineRule="exact"/>
              <w:rPr>
                <w:sz w:val="20"/>
                <w:szCs w:val="20"/>
                <w:color w:val="auto"/>
              </w:rPr>
            </w:pPr>
            <w:r>
              <w:rPr>
                <w:rFonts w:ascii="MS PGothic" w:cs="MS PGothic" w:eastAsia="MS PGothic" w:hAnsi="MS PGothic"/>
                <w:sz w:val="13"/>
                <w:szCs w:val="13"/>
                <w:color w:val="auto"/>
                <w:w w:val="91"/>
              </w:rPr>
              <w:t>☐</w:t>
            </w:r>
          </w:p>
        </w:tc>
      </w:tr>
      <w:tr>
        <w:trPr>
          <w:trHeight w:val="365"/>
        </w:trPr>
        <w:tc>
          <w:tcPr>
            <w:tcW w:w="240" w:type="dxa"/>
            <w:vAlign w:val="bottom"/>
          </w:tcPr>
          <w:p>
            <w:pPr>
              <w:spacing w:after="0"/>
              <w:rPr>
                <w:sz w:val="20"/>
                <w:szCs w:val="20"/>
                <w:color w:val="auto"/>
              </w:rPr>
            </w:pPr>
            <w:r>
              <w:rPr>
                <w:rFonts w:ascii="Arial" w:cs="Arial" w:eastAsia="Arial" w:hAnsi="Arial"/>
                <w:sz w:val="13"/>
                <w:szCs w:val="13"/>
                <w:color w:val="auto"/>
              </w:rPr>
              <w:t>1j.</w:t>
            </w:r>
          </w:p>
        </w:tc>
        <w:tc>
          <w:tcPr>
            <w:tcW w:w="2140" w:type="dxa"/>
            <w:vAlign w:val="bottom"/>
          </w:tcPr>
          <w:p>
            <w:pPr>
              <w:ind w:left="60"/>
              <w:spacing w:after="0"/>
              <w:rPr>
                <w:sz w:val="20"/>
                <w:szCs w:val="20"/>
                <w:color w:val="auto"/>
              </w:rPr>
            </w:pPr>
            <w:r>
              <w:rPr>
                <w:rFonts w:ascii="Arial" w:cs="Arial" w:eastAsia="Arial" w:hAnsi="Arial"/>
                <w:sz w:val="13"/>
                <w:szCs w:val="13"/>
                <w:color w:val="auto"/>
              </w:rPr>
              <w:t>Susie Wee</w:t>
            </w:r>
          </w:p>
        </w:tc>
        <w:tc>
          <w:tcPr>
            <w:tcW w:w="980" w:type="dxa"/>
            <w:vAlign w:val="bottom"/>
          </w:tcPr>
          <w:p>
            <w:pPr>
              <w:jc w:val="center"/>
              <w:ind w:left="397"/>
              <w:spacing w:after="0" w:line="131" w:lineRule="exact"/>
              <w:rPr>
                <w:sz w:val="20"/>
                <w:szCs w:val="20"/>
                <w:color w:val="auto"/>
              </w:rPr>
            </w:pPr>
            <w:r>
              <w:rPr>
                <w:rFonts w:ascii="MS PGothic" w:cs="MS PGothic" w:eastAsia="MS PGothic" w:hAnsi="MS PGothic"/>
                <w:sz w:val="13"/>
                <w:szCs w:val="13"/>
                <w:color w:val="auto"/>
                <w:w w:val="91"/>
              </w:rPr>
              <w:t>☐</w:t>
            </w:r>
          </w:p>
        </w:tc>
        <w:tc>
          <w:tcPr>
            <w:tcW w:w="78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620" w:type="dxa"/>
            <w:vAlign w:val="bottom"/>
          </w:tcPr>
          <w:p>
            <w:pPr>
              <w:jc w:val="center"/>
              <w:ind w:left="117"/>
              <w:spacing w:after="0" w:line="131" w:lineRule="exact"/>
              <w:rPr>
                <w:sz w:val="20"/>
                <w:szCs w:val="20"/>
                <w:color w:val="auto"/>
              </w:rPr>
            </w:pPr>
            <w:r>
              <w:rPr>
                <w:rFonts w:ascii="MS PGothic" w:cs="MS PGothic" w:eastAsia="MS PGothic" w:hAnsi="MS PGothic"/>
                <w:sz w:val="13"/>
                <w:szCs w:val="13"/>
                <w:color w:val="auto"/>
                <w:w w:val="91"/>
              </w:rPr>
              <w:t>☐</w:t>
            </w:r>
          </w:p>
        </w:tc>
      </w:tr>
    </w:tbl>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820" w:type="dxa"/>
            <w:vAlign w:val="bottom"/>
            <w:gridSpan w:val="4"/>
          </w:tcPr>
          <w:p>
            <w:pPr>
              <w:spacing w:after="0"/>
              <w:rPr>
                <w:sz w:val="20"/>
                <w:szCs w:val="20"/>
                <w:color w:val="auto"/>
              </w:rPr>
            </w:pPr>
            <w:r>
              <w:rPr>
                <w:rFonts w:ascii="Arial" w:cs="Arial" w:eastAsia="Arial" w:hAnsi="Arial"/>
                <w:sz w:val="13"/>
                <w:szCs w:val="13"/>
                <w:b w:val="1"/>
                <w:bCs w:val="1"/>
                <w:color w:val="auto"/>
                <w:w w:val="99"/>
              </w:rPr>
              <w:t>The Board of Directors recommends you vote FOR Proposals</w:t>
            </w: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48"/>
        </w:trPr>
        <w:tc>
          <w:tcPr>
            <w:tcW w:w="2780" w:type="dxa"/>
            <w:vAlign w:val="bottom"/>
            <w:gridSpan w:val="2"/>
          </w:tcPr>
          <w:p>
            <w:pPr>
              <w:spacing w:after="0" w:line="148" w:lineRule="exact"/>
              <w:rPr>
                <w:sz w:val="20"/>
                <w:szCs w:val="20"/>
                <w:color w:val="auto"/>
              </w:rPr>
            </w:pPr>
            <w:r>
              <w:rPr>
                <w:rFonts w:ascii="Arial" w:cs="Arial" w:eastAsia="Arial" w:hAnsi="Arial"/>
                <w:sz w:val="13"/>
                <w:szCs w:val="13"/>
                <w:b w:val="1"/>
                <w:bCs w:val="1"/>
                <w:color w:val="auto"/>
              </w:rPr>
              <w:t>2,3 and 4:</w:t>
            </w:r>
          </w:p>
        </w:tc>
        <w:tc>
          <w:tcPr>
            <w:tcW w:w="260" w:type="dxa"/>
            <w:vAlign w:val="bottom"/>
            <w:tcBorders>
              <w:top w:val="single" w:sz="8" w:color="auto"/>
            </w:tcBorders>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5"/>
              </w:rPr>
              <w:t>For</w:t>
            </w:r>
          </w:p>
        </w:tc>
        <w:tc>
          <w:tcPr>
            <w:tcW w:w="58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6"/>
              </w:rPr>
              <w:t>Against</w:t>
            </w:r>
          </w:p>
        </w:tc>
        <w:tc>
          <w:tcPr>
            <w:tcW w:w="520" w:type="dxa"/>
            <w:vAlign w:val="bottom"/>
          </w:tcPr>
          <w:p>
            <w:pPr>
              <w:ind w:left="60"/>
              <w:spacing w:after="0" w:line="148" w:lineRule="exact"/>
              <w:rPr>
                <w:sz w:val="20"/>
                <w:szCs w:val="20"/>
                <w:color w:val="auto"/>
              </w:rPr>
            </w:pPr>
            <w:r>
              <w:rPr>
                <w:rFonts w:ascii="Arial" w:cs="Arial" w:eastAsia="Arial" w:hAnsi="Arial"/>
                <w:sz w:val="13"/>
                <w:szCs w:val="13"/>
                <w:b w:val="1"/>
                <w:bCs w:val="1"/>
                <w:color w:val="auto"/>
                <w:w w:val="92"/>
              </w:rPr>
              <w:t>Abstain</w:t>
            </w:r>
          </w:p>
        </w:tc>
      </w:tr>
      <w:tr>
        <w:trPr>
          <w:trHeight w:val="218"/>
        </w:trPr>
        <w:tc>
          <w:tcPr>
            <w:tcW w:w="180" w:type="dxa"/>
            <w:vAlign w:val="bottom"/>
          </w:tcPr>
          <w:p>
            <w:pPr>
              <w:spacing w:after="0"/>
              <w:rPr>
                <w:sz w:val="20"/>
                <w:szCs w:val="20"/>
                <w:color w:val="auto"/>
              </w:rPr>
            </w:pPr>
            <w:r>
              <w:rPr>
                <w:rFonts w:ascii="Arial" w:cs="Arial" w:eastAsia="Arial" w:hAnsi="Arial"/>
                <w:sz w:val="13"/>
                <w:szCs w:val="13"/>
                <w:color w:val="auto"/>
              </w:rPr>
              <w:t>2.</w:t>
            </w:r>
          </w:p>
        </w:tc>
        <w:tc>
          <w:tcPr>
            <w:tcW w:w="3640" w:type="dxa"/>
            <w:vAlign w:val="bottom"/>
            <w:gridSpan w:val="3"/>
          </w:tcPr>
          <w:p>
            <w:pPr>
              <w:ind w:left="80"/>
              <w:spacing w:after="0"/>
              <w:rPr>
                <w:sz w:val="20"/>
                <w:szCs w:val="20"/>
                <w:color w:val="auto"/>
              </w:rPr>
            </w:pPr>
            <w:r>
              <w:rPr>
                <w:rFonts w:ascii="Arial" w:cs="Arial" w:eastAsia="Arial" w:hAnsi="Arial"/>
                <w:sz w:val="13"/>
                <w:szCs w:val="13"/>
                <w:color w:val="auto"/>
                <w:w w:val="97"/>
              </w:rPr>
              <w:t>Advisory resolution to approve the compensation of our named</w:t>
            </w:r>
          </w:p>
        </w:tc>
        <w:tc>
          <w:tcPr>
            <w:tcW w:w="28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58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520" w:type="dxa"/>
            <w:vAlign w:val="bottom"/>
          </w:tcPr>
          <w:p>
            <w:pPr>
              <w:ind w:left="260"/>
              <w:spacing w:after="0" w:line="131" w:lineRule="exact"/>
              <w:rPr>
                <w:sz w:val="20"/>
                <w:szCs w:val="20"/>
                <w:color w:val="auto"/>
              </w:rPr>
            </w:pPr>
            <w:r>
              <w:rPr>
                <w:rFonts w:ascii="MS PGothic" w:cs="MS PGothic" w:eastAsia="MS PGothic" w:hAnsi="MS PGothic"/>
                <w:sz w:val="13"/>
                <w:szCs w:val="13"/>
                <w:color w:val="auto"/>
              </w:rPr>
              <w:t>☐</w:t>
            </w:r>
          </w:p>
        </w:tc>
      </w:tr>
      <w:tr>
        <w:trPr>
          <w:trHeight w:val="152"/>
        </w:trPr>
        <w:tc>
          <w:tcPr>
            <w:tcW w:w="180" w:type="dxa"/>
            <w:vAlign w:val="bottom"/>
          </w:tcPr>
          <w:p>
            <w:pPr>
              <w:spacing w:after="0"/>
              <w:rPr>
                <w:sz w:val="13"/>
                <w:szCs w:val="13"/>
                <w:color w:val="auto"/>
              </w:rPr>
            </w:pPr>
          </w:p>
        </w:tc>
        <w:tc>
          <w:tcPr>
            <w:tcW w:w="3640" w:type="dxa"/>
            <w:vAlign w:val="bottom"/>
            <w:gridSpan w:val="3"/>
          </w:tcPr>
          <w:p>
            <w:pPr>
              <w:ind w:left="80"/>
              <w:spacing w:after="0"/>
              <w:rPr>
                <w:sz w:val="20"/>
                <w:szCs w:val="20"/>
                <w:color w:val="auto"/>
              </w:rPr>
            </w:pPr>
            <w:r>
              <w:rPr>
                <w:rFonts w:ascii="Arial" w:cs="Arial" w:eastAsia="Arial" w:hAnsi="Arial"/>
                <w:sz w:val="13"/>
                <w:szCs w:val="13"/>
                <w:color w:val="auto"/>
              </w:rPr>
              <w:t>executive officers.</w:t>
            </w: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226"/>
        </w:trPr>
        <w:tc>
          <w:tcPr>
            <w:tcW w:w="180" w:type="dxa"/>
            <w:vAlign w:val="bottom"/>
          </w:tcPr>
          <w:p>
            <w:pPr>
              <w:spacing w:after="0"/>
              <w:rPr>
                <w:sz w:val="20"/>
                <w:szCs w:val="20"/>
                <w:color w:val="auto"/>
              </w:rPr>
            </w:pPr>
            <w:r>
              <w:rPr>
                <w:rFonts w:ascii="Arial" w:cs="Arial" w:eastAsia="Arial" w:hAnsi="Arial"/>
                <w:sz w:val="13"/>
                <w:szCs w:val="13"/>
                <w:color w:val="auto"/>
              </w:rPr>
              <w:t>3.</w:t>
            </w:r>
          </w:p>
        </w:tc>
        <w:tc>
          <w:tcPr>
            <w:tcW w:w="3640" w:type="dxa"/>
            <w:vAlign w:val="bottom"/>
            <w:gridSpan w:val="3"/>
          </w:tcPr>
          <w:p>
            <w:pPr>
              <w:ind w:left="80"/>
              <w:spacing w:after="0"/>
              <w:rPr>
                <w:sz w:val="20"/>
                <w:szCs w:val="20"/>
                <w:color w:val="auto"/>
              </w:rPr>
            </w:pPr>
            <w:r>
              <w:rPr>
                <w:rFonts w:ascii="Arial" w:cs="Arial" w:eastAsia="Arial" w:hAnsi="Arial"/>
                <w:sz w:val="13"/>
                <w:szCs w:val="13"/>
                <w:color w:val="auto"/>
              </w:rPr>
              <w:t>Approval of the Analog Devices, Inc. 2020 Equity Incentive</w:t>
            </w:r>
          </w:p>
        </w:tc>
        <w:tc>
          <w:tcPr>
            <w:tcW w:w="28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58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520" w:type="dxa"/>
            <w:vAlign w:val="bottom"/>
          </w:tcPr>
          <w:p>
            <w:pPr>
              <w:ind w:left="260"/>
              <w:spacing w:after="0" w:line="131" w:lineRule="exact"/>
              <w:rPr>
                <w:sz w:val="20"/>
                <w:szCs w:val="20"/>
                <w:color w:val="auto"/>
              </w:rPr>
            </w:pPr>
            <w:r>
              <w:rPr>
                <w:rFonts w:ascii="MS PGothic" w:cs="MS PGothic" w:eastAsia="MS PGothic" w:hAnsi="MS PGothic"/>
                <w:sz w:val="13"/>
                <w:szCs w:val="13"/>
                <w:color w:val="auto"/>
              </w:rPr>
              <w:t>☐</w:t>
            </w:r>
          </w:p>
        </w:tc>
      </w:tr>
      <w:tr>
        <w:trPr>
          <w:trHeight w:val="152"/>
        </w:trPr>
        <w:tc>
          <w:tcPr>
            <w:tcW w:w="180" w:type="dxa"/>
            <w:vAlign w:val="bottom"/>
          </w:tcPr>
          <w:p>
            <w:pPr>
              <w:spacing w:after="0"/>
              <w:rPr>
                <w:sz w:val="13"/>
                <w:szCs w:val="13"/>
                <w:color w:val="auto"/>
              </w:rPr>
            </w:pPr>
          </w:p>
        </w:tc>
        <w:tc>
          <w:tcPr>
            <w:tcW w:w="3640" w:type="dxa"/>
            <w:vAlign w:val="bottom"/>
            <w:gridSpan w:val="3"/>
          </w:tcPr>
          <w:p>
            <w:pPr>
              <w:ind w:left="80"/>
              <w:spacing w:after="0"/>
              <w:rPr>
                <w:sz w:val="20"/>
                <w:szCs w:val="20"/>
                <w:color w:val="auto"/>
              </w:rPr>
            </w:pPr>
            <w:r>
              <w:rPr>
                <w:rFonts w:ascii="Arial" w:cs="Arial" w:eastAsia="Arial" w:hAnsi="Arial"/>
                <w:sz w:val="13"/>
                <w:szCs w:val="13"/>
                <w:color w:val="auto"/>
              </w:rPr>
              <w:t>Plan.</w:t>
            </w: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226"/>
        </w:trPr>
        <w:tc>
          <w:tcPr>
            <w:tcW w:w="180" w:type="dxa"/>
            <w:vAlign w:val="bottom"/>
          </w:tcPr>
          <w:p>
            <w:pPr>
              <w:spacing w:after="0"/>
              <w:rPr>
                <w:sz w:val="20"/>
                <w:szCs w:val="20"/>
                <w:color w:val="auto"/>
              </w:rPr>
            </w:pPr>
            <w:r>
              <w:rPr>
                <w:rFonts w:ascii="Arial" w:cs="Arial" w:eastAsia="Arial" w:hAnsi="Arial"/>
                <w:sz w:val="13"/>
                <w:szCs w:val="13"/>
                <w:color w:val="auto"/>
              </w:rPr>
              <w:t>4.</w:t>
            </w:r>
          </w:p>
        </w:tc>
        <w:tc>
          <w:tcPr>
            <w:tcW w:w="3640" w:type="dxa"/>
            <w:vAlign w:val="bottom"/>
            <w:gridSpan w:val="3"/>
          </w:tcPr>
          <w:p>
            <w:pPr>
              <w:ind w:left="80"/>
              <w:spacing w:after="0"/>
              <w:rPr>
                <w:sz w:val="20"/>
                <w:szCs w:val="20"/>
                <w:color w:val="auto"/>
              </w:rPr>
            </w:pPr>
            <w:r>
              <w:rPr>
                <w:rFonts w:ascii="Arial" w:cs="Arial" w:eastAsia="Arial" w:hAnsi="Arial"/>
                <w:sz w:val="13"/>
                <w:szCs w:val="13"/>
                <w:color w:val="auto"/>
              </w:rPr>
              <w:t>Ratification  of  Ernst  &amp;  Young  LLP  as  our  independent</w:t>
            </w:r>
          </w:p>
        </w:tc>
        <w:tc>
          <w:tcPr>
            <w:tcW w:w="28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58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520" w:type="dxa"/>
            <w:vAlign w:val="bottom"/>
          </w:tcPr>
          <w:p>
            <w:pPr>
              <w:ind w:left="260"/>
              <w:spacing w:after="0" w:line="131" w:lineRule="exact"/>
              <w:rPr>
                <w:sz w:val="20"/>
                <w:szCs w:val="20"/>
                <w:color w:val="auto"/>
              </w:rPr>
            </w:pPr>
            <w:r>
              <w:rPr>
                <w:rFonts w:ascii="MS PGothic" w:cs="MS PGothic" w:eastAsia="MS PGothic" w:hAnsi="MS PGothic"/>
                <w:sz w:val="13"/>
                <w:szCs w:val="13"/>
                <w:color w:val="auto"/>
              </w:rPr>
              <w:t>☐</w:t>
            </w:r>
          </w:p>
        </w:tc>
      </w:tr>
      <w:tr>
        <w:trPr>
          <w:trHeight w:val="152"/>
        </w:trPr>
        <w:tc>
          <w:tcPr>
            <w:tcW w:w="180" w:type="dxa"/>
            <w:vAlign w:val="bottom"/>
          </w:tcPr>
          <w:p>
            <w:pPr>
              <w:spacing w:after="0"/>
              <w:rPr>
                <w:sz w:val="13"/>
                <w:szCs w:val="13"/>
                <w:color w:val="auto"/>
              </w:rPr>
            </w:pPr>
          </w:p>
        </w:tc>
        <w:tc>
          <w:tcPr>
            <w:tcW w:w="3640" w:type="dxa"/>
            <w:vAlign w:val="bottom"/>
            <w:gridSpan w:val="3"/>
          </w:tcPr>
          <w:p>
            <w:pPr>
              <w:ind w:left="80"/>
              <w:spacing w:after="0"/>
              <w:rPr>
                <w:sz w:val="20"/>
                <w:szCs w:val="20"/>
                <w:color w:val="auto"/>
              </w:rPr>
            </w:pPr>
            <w:r>
              <w:rPr>
                <w:rFonts w:ascii="Arial" w:cs="Arial" w:eastAsia="Arial" w:hAnsi="Arial"/>
                <w:sz w:val="13"/>
                <w:szCs w:val="13"/>
                <w:color w:val="auto"/>
              </w:rPr>
              <w:t>registered public accounting firm for fiscal 2020.</w:t>
            </w: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r>
    </w:tbl>
    <w:p>
      <w:pPr>
        <w:spacing w:after="0" w:line="183" w:lineRule="exact"/>
        <w:rPr>
          <w:sz w:val="20"/>
          <w:szCs w:val="20"/>
          <w:color w:val="auto"/>
        </w:rPr>
      </w:pPr>
    </w:p>
    <w:p>
      <w:pPr>
        <w:jc w:val="both"/>
        <w:ind w:right="1620"/>
        <w:spacing w:after="0" w:line="234" w:lineRule="auto"/>
        <w:rPr>
          <w:sz w:val="20"/>
          <w:szCs w:val="20"/>
          <w:color w:val="auto"/>
        </w:rPr>
      </w:pPr>
      <w:r>
        <w:rPr>
          <w:rFonts w:ascii="Arial" w:cs="Arial" w:eastAsia="Arial" w:hAnsi="Arial"/>
          <w:sz w:val="13"/>
          <w:szCs w:val="13"/>
          <w:b w:val="1"/>
          <w:bCs w:val="1"/>
          <w:color w:val="auto"/>
        </w:rPr>
        <w:t xml:space="preserve">NOTE: </w:t>
      </w:r>
      <w:r>
        <w:rPr>
          <w:rFonts w:ascii="Arial" w:cs="Arial" w:eastAsia="Arial" w:hAnsi="Arial"/>
          <w:sz w:val="13"/>
          <w:szCs w:val="13"/>
          <w:color w:val="auto"/>
        </w:rPr>
        <w:t>To transact such other business as may properly come</w:t>
      </w:r>
      <w:r>
        <w:rPr>
          <w:rFonts w:ascii="Arial" w:cs="Arial" w:eastAsia="Arial" w:hAnsi="Arial"/>
          <w:sz w:val="13"/>
          <w:szCs w:val="13"/>
          <w:b w:val="1"/>
          <w:bCs w:val="1"/>
          <w:color w:val="auto"/>
        </w:rPr>
        <w:t xml:space="preserve"> </w:t>
      </w:r>
      <w:r>
        <w:rPr>
          <w:rFonts w:ascii="Arial" w:cs="Arial" w:eastAsia="Arial" w:hAnsi="Arial"/>
          <w:sz w:val="13"/>
          <w:szCs w:val="13"/>
          <w:color w:val="auto"/>
        </w:rPr>
        <w:t>before the meeting and at any adjournments or postponement at the meeting.</w:t>
      </w:r>
    </w:p>
    <w:p>
      <w:pPr>
        <w:spacing w:after="0" w:line="1970" w:lineRule="exact"/>
        <w:rPr>
          <w:sz w:val="20"/>
          <w:szCs w:val="20"/>
          <w:color w:val="auto"/>
        </w:rPr>
      </w:pPr>
    </w:p>
    <w:p>
      <w:pPr>
        <w:sectPr>
          <w:pgSz w:w="11900" w:h="16838" w:orient="portrait"/>
          <w:cols w:equalWidth="0" w:num="2">
            <w:col w:w="5480" w:space="340"/>
            <w:col w:w="5400"/>
          </w:cols>
          <w:pgMar w:left="240" w:top="459" w:right="439" w:bottom="1440" w:gutter="0" w:footer="0" w:header="0"/>
          <w:type w:val="continuous"/>
        </w:sectPr>
      </w:pPr>
    </w:p>
    <w:p>
      <w:pPr>
        <w:spacing w:after="0" w:line="161" w:lineRule="exact"/>
        <w:rPr>
          <w:sz w:val="20"/>
          <w:szCs w:val="20"/>
          <w:color w:val="auto"/>
        </w:rPr>
      </w:pPr>
    </w:p>
    <w:p>
      <w:pPr>
        <w:jc w:val="both"/>
        <w:ind w:left="500" w:right="1920"/>
        <w:spacing w:after="0" w:line="225" w:lineRule="auto"/>
        <w:rPr>
          <w:sz w:val="20"/>
          <w:szCs w:val="20"/>
          <w:color w:val="auto"/>
        </w:rPr>
      </w:pPr>
      <w:r>
        <w:rPr>
          <w:rFonts w:ascii="Arial" w:cs="Arial" w:eastAsia="Arial" w:hAnsi="Arial"/>
          <w:sz w:val="13"/>
          <w:szCs w:val="13"/>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00"/>
        <w:spacing w:after="0"/>
        <w:tabs>
          <w:tab w:leader="none" w:pos="3400" w:val="left"/>
          <w:tab w:leader="none" w:pos="5820" w:val="left"/>
          <w:tab w:leader="none" w:pos="8700" w:val="left"/>
        </w:tabs>
        <w:rPr>
          <w:sz w:val="20"/>
          <w:szCs w:val="20"/>
          <w:color w:val="auto"/>
        </w:rPr>
      </w:pPr>
      <w:r>
        <w:rPr>
          <w:rFonts w:ascii="Arial" w:cs="Arial" w:eastAsia="Arial" w:hAnsi="Arial"/>
          <w:sz w:val="13"/>
          <w:szCs w:val="13"/>
          <w:color w:val="auto"/>
        </w:rPr>
        <w:t>Signature [PLEASE SIGN WITHIN BOX]</w:t>
      </w:r>
      <w:r>
        <w:rPr>
          <w:sz w:val="20"/>
          <w:szCs w:val="20"/>
          <w:color w:val="auto"/>
        </w:rPr>
        <w:tab/>
      </w: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Signature (Joint Owners)</w:t>
      </w:r>
      <w:r>
        <w:rPr>
          <w:sz w:val="20"/>
          <w:szCs w:val="20"/>
          <w:color w:val="auto"/>
        </w:rPr>
        <w:tab/>
      </w:r>
      <w:r>
        <w:rPr>
          <w:rFonts w:ascii="Arial" w:cs="Arial" w:eastAsia="Arial" w:hAnsi="Arial"/>
          <w:sz w:val="13"/>
          <w:szCs w:val="13"/>
          <w:color w:val="auto"/>
        </w:rPr>
        <w:t>Date</w:t>
      </w:r>
    </w:p>
    <w:p>
      <w:pPr>
        <w:sectPr>
          <w:pgSz w:w="11900" w:h="16838" w:orient="portrait"/>
          <w:cols w:equalWidth="0" w:num="1">
            <w:col w:w="11220"/>
          </w:cols>
          <w:pgMar w:left="240" w:top="459" w:right="439" w:bottom="1440" w:gutter="0" w:footer="0" w:header="0"/>
          <w:type w:val="continuous"/>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18"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The Notice and Proxy Statement and Annual Report are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0"/>
        <w:spacing w:after="0" w:line="244" w:lineRule="auto"/>
        <w:rPr>
          <w:sz w:val="20"/>
          <w:szCs w:val="20"/>
          <w:color w:val="auto"/>
        </w:rPr>
      </w:pPr>
      <w:r>
        <w:rPr>
          <w:rFonts w:ascii="Arial" w:cs="Arial" w:eastAsia="Arial" w:hAnsi="Arial"/>
          <w:sz w:val="18"/>
          <w:szCs w:val="18"/>
          <w:b w:val="1"/>
          <w:bCs w:val="1"/>
          <w:color w:val="auto"/>
        </w:rPr>
        <w:t>— — — — — — — — — — — — — — — — — — — — — — — — — — — — — — — — — — — — — — — — — — — — — — — — —</w:t>
      </w:r>
    </w:p>
    <w:p>
      <w:pPr>
        <w:spacing w:after="0" w:line="1" w:lineRule="exact"/>
        <w:rPr>
          <w:sz w:val="20"/>
          <w:szCs w:val="20"/>
          <w:color w:val="auto"/>
        </w:rPr>
      </w:pPr>
    </w:p>
    <w:p>
      <w:pPr>
        <w:ind w:left="10040"/>
        <w:spacing w:after="0"/>
        <w:rPr>
          <w:sz w:val="20"/>
          <w:szCs w:val="20"/>
          <w:color w:val="auto"/>
        </w:rPr>
      </w:pPr>
      <w:r>
        <w:rPr>
          <w:rFonts w:ascii="Arial" w:cs="Arial" w:eastAsia="Arial" w:hAnsi="Arial"/>
          <w:sz w:val="13"/>
          <w:szCs w:val="13"/>
          <w:color w:val="auto"/>
        </w:rPr>
        <w:t>E88414-P31565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16510</wp:posOffset>
            </wp:positionV>
            <wp:extent cx="7005955" cy="39960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005955" cy="399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ANALOG DEVICES, INC.</w:t>
      </w:r>
    </w:p>
    <w:p>
      <w:pPr>
        <w:spacing w:after="0" w:line="25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Annual Meeting of Shareholders - March 11, 2020 9:00 AM</w:t>
      </w:r>
    </w:p>
    <w:p>
      <w:pPr>
        <w:spacing w:after="0" w:line="25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74" w:lineRule="exact"/>
        <w:rPr>
          <w:sz w:val="20"/>
          <w:szCs w:val="20"/>
          <w:color w:val="auto"/>
        </w:rPr>
      </w:pPr>
    </w:p>
    <w:p>
      <w:pPr>
        <w:jc w:val="both"/>
        <w:ind w:left="420" w:right="100"/>
        <w:spacing w:after="0" w:line="238" w:lineRule="auto"/>
        <w:rPr>
          <w:sz w:val="20"/>
          <w:szCs w:val="20"/>
          <w:color w:val="auto"/>
        </w:rPr>
      </w:pPr>
      <w:r>
        <w:rPr>
          <w:rFonts w:ascii="Arial" w:cs="Arial" w:eastAsia="Arial" w:hAnsi="Arial"/>
          <w:sz w:val="18"/>
          <w:szCs w:val="18"/>
          <w:color w:val="auto"/>
        </w:rPr>
        <w:t>The undersigned revokes all previous proxies and hereby appoints Ray Stata, Vincent Roche and Larry Weiss, or any of them, as proxies, each with the power to appoint his or her substitute, and hereby authorizes them to represent and to vote, as designated on the reverse side of this proxy card, all of the shares of common stock of ANALOG DEVICES, INC. that the undersigned is entitled to vote at the Annual Meeting of Shareholders to be held at 9:00 AM, Eastern Time on March 11, 2020, at Analog Devices, Inc., 125 Summer St., Boston, MA 02110, and any adjournment, postponement, continuation or rescheduling thereof.</w:t>
      </w:r>
    </w:p>
    <w:p>
      <w:pPr>
        <w:spacing w:after="0" w:line="243" w:lineRule="exact"/>
        <w:rPr>
          <w:sz w:val="20"/>
          <w:szCs w:val="20"/>
          <w:color w:val="auto"/>
        </w:rPr>
      </w:pPr>
    </w:p>
    <w:p>
      <w:pPr>
        <w:jc w:val="both"/>
        <w:ind w:left="420" w:right="120"/>
        <w:spacing w:after="0" w:line="246" w:lineRule="auto"/>
        <w:rPr>
          <w:sz w:val="20"/>
          <w:szCs w:val="20"/>
          <w:color w:val="auto"/>
        </w:rPr>
      </w:pPr>
      <w:r>
        <w:rPr>
          <w:rFonts w:ascii="Arial" w:cs="Arial" w:eastAsia="Arial" w:hAnsi="Arial"/>
          <w:sz w:val="18"/>
          <w:szCs w:val="18"/>
          <w:color w:val="auto"/>
        </w:rPr>
        <w:t>In their discretion, the proxies are authorized to vote upon such other business as may properly come before the meeting or any adjournment, postponement, continuation or rescheduling thereof.</w:t>
      </w:r>
    </w:p>
    <w:p>
      <w:pPr>
        <w:spacing w:after="0" w:line="237" w:lineRule="exact"/>
        <w:rPr>
          <w:sz w:val="20"/>
          <w:szCs w:val="20"/>
          <w:color w:val="auto"/>
        </w:rPr>
      </w:pPr>
    </w:p>
    <w:p>
      <w:pPr>
        <w:jc w:val="both"/>
        <w:ind w:left="420" w:right="120"/>
        <w:spacing w:after="0" w:line="246" w:lineRule="auto"/>
        <w:rPr>
          <w:sz w:val="20"/>
          <w:szCs w:val="20"/>
          <w:color w:val="auto"/>
        </w:rPr>
      </w:pPr>
      <w:r>
        <w:rPr>
          <w:rFonts w:ascii="Arial" w:cs="Arial" w:eastAsia="Arial" w:hAnsi="Arial"/>
          <w:sz w:val="18"/>
          <w:szCs w:val="18"/>
          <w:color w:val="auto"/>
        </w:rPr>
        <w:t>Your Internet or telephone vote authorizes the named proxies to vote the shares in the same manner as if you marked, signed, dated and returned your proxy card. If you vote the shares over the Internet or by telephone, please do not return your proxy card.</w:t>
      </w:r>
    </w:p>
    <w:p>
      <w:pPr>
        <w:spacing w:after="0" w:line="237" w:lineRule="exact"/>
        <w:rPr>
          <w:sz w:val="20"/>
          <w:szCs w:val="20"/>
          <w:color w:val="auto"/>
        </w:rPr>
      </w:pPr>
    </w:p>
    <w:p>
      <w:pPr>
        <w:jc w:val="both"/>
        <w:ind w:left="420" w:right="100"/>
        <w:spacing w:after="0" w:line="246" w:lineRule="auto"/>
        <w:rPr>
          <w:sz w:val="20"/>
          <w:szCs w:val="20"/>
          <w:color w:val="auto"/>
        </w:rPr>
      </w:pPr>
      <w:r>
        <w:rPr>
          <w:rFonts w:ascii="Arial" w:cs="Arial" w:eastAsia="Arial" w:hAnsi="Arial"/>
          <w:sz w:val="18"/>
          <w:szCs w:val="18"/>
          <w:color w:val="auto"/>
        </w:rPr>
        <w:t>Unless voting the shares over the Internet or by telephone, please fill in, date, sign and mail this proxy card promptly using the enclosed envelope.</w:t>
      </w:r>
    </w:p>
    <w:p>
      <w:pPr>
        <w:spacing w:after="0" w:line="35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1180"/>
      </w:cols>
      <w:pgMar w:left="240" w:top="45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92CA79"/>
    <w:multiLevelType w:val="hybridMultilevel"/>
    <w:lvl w:ilvl="0">
      <w:lvlJc w:val="left"/>
      <w:lvlText w:val="☐"/>
      <w:numFmt w:val="bullet"/>
      <w:start w:val="1"/>
    </w:lvl>
  </w:abstractNum>
  <w:abstractNum w:abstractNumId="1">
    <w:nsid w:val="1D545C4D"/>
    <w:multiLevelType w:val="hybridMultilevel"/>
    <w:lvl w:ilvl="0">
      <w:lvlJc w:val="left"/>
      <w:lvlText w:val="☑"/>
      <w:numFmt w:val="bullet"/>
      <w:start w:val="1"/>
    </w:lvl>
  </w:abstractNum>
  <w:abstractNum w:abstractNumId="2">
    <w:nsid w:val="59ADEA3D"/>
    <w:multiLevelType w:val="hybridMultilevel"/>
    <w:lvl w:ilvl="0">
      <w:lvlJc w:val="left"/>
      <w:lvlText w:val="☐"/>
      <w:numFmt w:val="bullet"/>
      <w:start w:val="1"/>
    </w:lvl>
    <w:lvl w:ilvl="1">
      <w:lvlJc w:val="left"/>
      <w:lvlText w:val="(%2)"/>
      <w:numFmt w:val="decimal"/>
      <w:start w:val="1"/>
    </w:lvl>
  </w:abstractNum>
  <w:abstractNum w:abstractNumId="3">
    <w:nsid w:val="288F1A34"/>
    <w:multiLevelType w:val="hybridMultilevel"/>
    <w:lvl w:ilvl="0">
      <w:lvlJc w:val="left"/>
      <w:lvlText w:val="%1."/>
      <w:numFmt w:val="decimal"/>
      <w:start w:val="1"/>
    </w:lvl>
  </w:abstractNum>
  <w:abstractNum w:abstractNumId="4">
    <w:nsid w:val="2A155DBC"/>
    <w:multiLevelType w:val="hybridMultilevel"/>
    <w:lvl w:ilvl="0">
      <w:lvlJc w:val="left"/>
      <w:lvlText w:val="%1."/>
      <w:numFmt w:val="decimal"/>
      <w:start w:val="1"/>
    </w:lvl>
  </w:abstractNum>
  <w:abstractNum w:abstractNumId="5">
    <w:nsid w:val="1D9F6E5F"/>
    <w:multiLevelType w:val="hybridMultilevel"/>
    <w:lvl w:ilvl="0">
      <w:lvlJc w:val="left"/>
      <w:lvlText w:val="%1."/>
      <w:numFmt w:val="decimal"/>
      <w:start w:val="1"/>
    </w:lvl>
  </w:abstractNum>
  <w:abstractNum w:abstractNumId="6">
    <w:nsid w:val="97E1B4E"/>
    <w:multiLevelType w:val="hybridMultilevel"/>
    <w:lvl w:ilvl="0">
      <w:lvlJc w:val="left"/>
      <w:lvlText w:val="2"/>
      <w:numFmt w:val="bullet"/>
      <w:start w:val="1"/>
    </w:lvl>
  </w:abstractNum>
  <w:abstractNum w:abstractNumId="7">
    <w:nsid w:val="51088277"/>
    <w:multiLevelType w:val="hybridMultilevel"/>
    <w:lvl w:ilvl="0">
      <w:lvlJc w:val="left"/>
      <w:lvlText w:val="1"/>
      <w:numFmt w:val="bullet"/>
      <w:start w:val="1"/>
    </w:lvl>
  </w:abstractNum>
  <w:abstractNum w:abstractNumId="8">
    <w:nsid w:val="1CA0C5FA"/>
    <w:multiLevelType w:val="hybridMultilevel"/>
    <w:lvl w:ilvl="0">
      <w:lvlJc w:val="left"/>
      <w:lvlText w:val="✓"/>
      <w:numFmt w:val="bullet"/>
      <w:start w:val="1"/>
    </w:lvl>
  </w:abstractNum>
  <w:abstractNum w:abstractNumId="9">
    <w:nsid w:val="53584BCB"/>
    <w:multiLevelType w:val="hybridMultilevel"/>
    <w:lvl w:ilvl="0">
      <w:lvlJc w:val="left"/>
      <w:lvlText w:val="Ò"/>
      <w:numFmt w:val="bullet"/>
      <w:start w:val="1"/>
    </w:lvl>
  </w:abstractNum>
  <w:abstractNum w:abstractNumId="10">
    <w:nsid w:val="415E286C"/>
    <w:multiLevelType w:val="hybridMultilevel"/>
    <w:lvl w:ilvl="0">
      <w:lvlJc w:val="left"/>
      <w:lvlText w:val="4"/>
      <w:numFmt w:val="bullet"/>
      <w:start w:val="1"/>
    </w:lvl>
  </w:abstractNum>
  <w:abstractNum w:abstractNumId="11">
    <w:nsid w:val="7C58FD05"/>
    <w:multiLevelType w:val="hybridMultilevel"/>
    <w:lvl w:ilvl="0">
      <w:lvlJc w:val="left"/>
      <w:lvlText w:val="•"/>
      <w:numFmt w:val="bullet"/>
      <w:start w:val="1"/>
    </w:lvl>
  </w:abstractNum>
  <w:abstractNum w:abstractNumId="12">
    <w:nsid w:val="23D86AAC"/>
    <w:multiLevelType w:val="hybridMultilevel"/>
    <w:lvl w:ilvl="0">
      <w:lvlJc w:val="left"/>
      <w:lvlText w:val="8"/>
      <w:numFmt w:val="bullet"/>
      <w:start w:val="1"/>
    </w:lvl>
  </w:abstractNum>
  <w:abstractNum w:abstractNumId="13">
    <w:nsid w:val="45E6D486"/>
    <w:multiLevelType w:val="hybridMultilevel"/>
    <w:lvl w:ilvl="0">
      <w:lvlJc w:val="left"/>
      <w:lvlText w:val="%1:"/>
      <w:numFmt w:val="upperLetter"/>
      <w:start w:val="1"/>
    </w:lvl>
    <w:lvl w:ilvl="1">
      <w:lvlJc w:val="left"/>
      <w:lvlText w:val="%2."/>
      <w:numFmt w:val="decimal"/>
      <w:start w:val="1"/>
    </w:lvl>
  </w:abstractNum>
  <w:abstractNum w:abstractNumId="14">
    <w:nsid w:val="5C10FE21"/>
    <w:multiLevelType w:val="hybridMultilevel"/>
    <w:lvl w:ilvl="0">
      <w:lvlJc w:val="left"/>
      <w:lvlText w:val="%1:"/>
      <w:numFmt w:val="upperLetter"/>
      <w:start w:val="1"/>
    </w:lvl>
  </w:abstractNum>
  <w:abstractNum w:abstractNumId="15">
    <w:nsid w:val="E7FFA2B"/>
    <w:multiLevelType w:val="hybridMultilevel"/>
    <w:lvl w:ilvl="0">
      <w:lvlJc w:val="left"/>
      <w:lvlText w:val="%1:"/>
      <w:numFmt w:val="upperLetter"/>
      <w:start w:val="1"/>
    </w:lvl>
  </w:abstractNum>
  <w:abstractNum w:abstractNumId="16">
    <w:nsid w:val="3C5991AA"/>
    <w:multiLevelType w:val="hybridMultilevel"/>
    <w:lvl w:ilvl="0">
      <w:lvlJc w:val="left"/>
      <w:lvlText w:val="%1:"/>
      <w:numFmt w:val="upperLetter"/>
      <w:start w:val="1"/>
    </w:lvl>
  </w:abstractNum>
  <w:abstractNum w:abstractNumId="17">
    <w:nsid w:val="4BD8591A"/>
    <w:multiLevelType w:val="hybridMultilevel"/>
    <w:lvl w:ilvl="0">
      <w:lvlJc w:val="left"/>
      <w:lvlText w:val="%1:"/>
      <w:numFmt w:val="upperLetter"/>
      <w:start w:val="1"/>
    </w:lvl>
  </w:abstractNum>
  <w:abstractNum w:abstractNumId="18">
    <w:nsid w:val="78DF6A55"/>
    <w:multiLevelType w:val="hybridMultilevel"/>
    <w:lvl w:ilvl="0">
      <w:lvlJc w:val="left"/>
      <w:lvlText w:val="(%1)"/>
      <w:numFmt w:val="decimal"/>
      <w:start w:val="1"/>
    </w:lvl>
  </w:abstractNum>
  <w:abstractNum w:abstractNumId="19">
    <w:nsid w:val="39B7AAA2"/>
    <w:multiLevelType w:val="hybridMultilevel"/>
    <w:lvl w:ilvl="0">
      <w:lvlJc w:val="left"/>
      <w:lvlText w:val="%1:"/>
      <w:numFmt w:val="upperLetter"/>
      <w:start w:val="1"/>
    </w:lvl>
  </w:abstractNum>
  <w:abstractNum w:abstractNumId="20">
    <w:nsid w:val="2B0D8DBE"/>
    <w:multiLevelType w:val="hybridMultilevel"/>
    <w:lvl w:ilvl="0">
      <w:lvlJc w:val="left"/>
      <w:lvlText w:val="%1"/>
      <w:numFmt w:val="decimal"/>
      <w:start w:val="10"/>
    </w:lvl>
  </w:abstractNum>
  <w:abstractNum w:abstractNumId="21">
    <w:nsid w:val="6C80EC70"/>
    <w:multiLevelType w:val="hybridMultilevel"/>
    <w:lvl w:ilvl="0">
      <w:lvlJc w:val="left"/>
      <w:lvlText w:val="%1:"/>
      <w:numFmt w:val="upperLetter"/>
      <w:start w:val="17"/>
    </w:lvl>
  </w:abstractNum>
  <w:abstractNum w:abstractNumId="22">
    <w:nsid w:val="379E21B5"/>
    <w:multiLevelType w:val="hybridMultilevel"/>
    <w:lvl w:ilvl="0">
      <w:lvlJc w:val="left"/>
      <w:lvlText w:val="%1:"/>
      <w:numFmt w:val="upperLetter"/>
      <w:start w:val="1"/>
    </w:lvl>
    <w:lvl w:ilvl="1">
      <w:lvlJc w:val="left"/>
      <w:lvlText w:val="•"/>
      <w:numFmt w:val="bullet"/>
      <w:start w:val="1"/>
    </w:lvl>
  </w:abstractNum>
  <w:abstractNum w:abstractNumId="23">
    <w:nsid w:val="69E373"/>
    <w:multiLevelType w:val="hybridMultilevel"/>
    <w:lvl w:ilvl="0">
      <w:lvlJc w:val="left"/>
      <w:lvlText w:val="%1:"/>
      <w:numFmt w:val="upperLetter"/>
      <w:start w:val="17"/>
    </w:lvl>
  </w:abstractNum>
  <w:abstractNum w:abstractNumId="24">
    <w:nsid w:val="2C27173B"/>
    <w:multiLevelType w:val="hybridMultilevel"/>
    <w:lvl w:ilvl="0">
      <w:lvlJc w:val="left"/>
      <w:lvlText w:val="%1:"/>
      <w:numFmt w:val="upperLetter"/>
      <w:start w:val="1"/>
    </w:lvl>
  </w:abstractNum>
  <w:abstractNum w:abstractNumId="25">
    <w:nsid w:val="4C9B0904"/>
    <w:multiLevelType w:val="hybridMultilevel"/>
    <w:lvl w:ilvl="0">
      <w:lvlJc w:val="left"/>
      <w:lvlText w:val="%1:"/>
      <w:numFmt w:val="upperLetter"/>
      <w:start w:val="1"/>
    </w:lvl>
  </w:abstractNum>
  <w:abstractNum w:abstractNumId="26">
    <w:nsid w:val="6AA7B75C"/>
    <w:multiLevelType w:val="hybridMultilevel"/>
    <w:lvl w:ilvl="0">
      <w:lvlJc w:val="left"/>
      <w:lvlText w:val="%1:"/>
      <w:numFmt w:val="upperLetter"/>
      <w:start w:val="1"/>
    </w:lvl>
  </w:abstractNum>
  <w:abstractNum w:abstractNumId="27">
    <w:nsid w:val="1DF029D3"/>
    <w:multiLevelType w:val="hybridMultilevel"/>
    <w:lvl w:ilvl="0">
      <w:lvlJc w:val="left"/>
      <w:lvlText w:val="%1:"/>
      <w:numFmt w:val="upperLetter"/>
      <w:start w:val="1"/>
    </w:lvl>
  </w:abstractNum>
  <w:abstractNum w:abstractNumId="28">
    <w:nsid w:val="5675FF36"/>
    <w:multiLevelType w:val="hybridMultilevel"/>
    <w:lvl w:ilvl="0">
      <w:lvlJc w:val="left"/>
      <w:lvlText w:val="%1:"/>
      <w:numFmt w:val="upperLetter"/>
      <w:start w:val="1"/>
    </w:lvl>
  </w:abstractNum>
  <w:abstractNum w:abstractNumId="29">
    <w:nsid w:val="3DD15094"/>
    <w:multiLevelType w:val="hybridMultilevel"/>
    <w:lvl w:ilvl="0">
      <w:lvlJc w:val="left"/>
      <w:lvlText w:val="%1:"/>
      <w:numFmt w:val="upperLetter"/>
      <w:start w:val="1"/>
    </w:lvl>
  </w:abstractNum>
  <w:abstractNum w:abstractNumId="30">
    <w:nsid w:val="3DB012B3"/>
    <w:multiLevelType w:val="hybridMultilevel"/>
    <w:lvl w:ilvl="0">
      <w:lvlJc w:val="left"/>
      <w:lvlText w:val="%1:"/>
      <w:numFmt w:val="upperLetter"/>
      <w:start w:val="17"/>
    </w:lvl>
  </w:abstractNum>
  <w:abstractNum w:abstractNumId="31">
    <w:nsid w:val="2708C9AF"/>
    <w:multiLevelType w:val="hybridMultilevel"/>
    <w:lvl w:ilvl="0">
      <w:lvlJc w:val="left"/>
      <w:lvlText w:val="%1:"/>
      <w:numFmt w:val="upperLetter"/>
      <w:start w:val="1"/>
    </w:lvl>
  </w:abstractNum>
  <w:abstractNum w:abstractNumId="32">
    <w:nsid w:val="5B25ACE2"/>
    <w:multiLevelType w:val="hybridMultilevel"/>
    <w:lvl w:ilvl="0">
      <w:lvlJc w:val="left"/>
      <w:lvlText w:val="%1:"/>
      <w:numFmt w:val="upperLetter"/>
      <w:start w:val="1"/>
    </w:lvl>
  </w:abstractNum>
  <w:abstractNum w:abstractNumId="33">
    <w:nsid w:val="175DFCF0"/>
    <w:multiLevelType w:val="hybridMultilevel"/>
    <w:lvl w:ilvl="0">
      <w:lvlJc w:val="left"/>
      <w:lvlText w:val="%1"/>
      <w:numFmt w:val="decimal"/>
      <w:start w:val="12"/>
    </w:lvl>
  </w:abstractNum>
  <w:abstractNum w:abstractNumId="34">
    <w:nsid w:val="4F97E3E4"/>
    <w:multiLevelType w:val="hybridMultilevel"/>
    <w:lvl w:ilvl="0">
      <w:lvlJc w:val="left"/>
      <w:lvlText w:val="%1:"/>
      <w:numFmt w:val="upperLetter"/>
      <w:start w:val="1"/>
    </w:lvl>
  </w:abstractNum>
  <w:abstractNum w:abstractNumId="35">
    <w:nsid w:val="53B0A9E"/>
    <w:multiLevelType w:val="hybridMultilevel"/>
    <w:lvl w:ilvl="0">
      <w:lvlJc w:val="left"/>
      <w:lvlText w:val="%1:"/>
      <w:numFmt w:val="upperLetter"/>
      <w:start w:val="17"/>
    </w:lvl>
  </w:abstractNum>
  <w:abstractNum w:abstractNumId="36">
    <w:nsid w:val="34FD6B4F"/>
    <w:multiLevelType w:val="hybridMultilevel"/>
    <w:lvl w:ilvl="0">
      <w:lvlJc w:val="left"/>
      <w:lvlText w:val="%1:"/>
      <w:numFmt w:val="upperLetter"/>
      <w:start w:val="1"/>
    </w:lvl>
  </w:abstractNum>
  <w:abstractNum w:abstractNumId="37">
    <w:nsid w:val="5915FF32"/>
    <w:multiLevelType w:val="hybridMultilevel"/>
    <w:lvl w:ilvl="0">
      <w:lvlJc w:val="left"/>
      <w:lvlText w:val="%1:"/>
      <w:numFmt w:val="upperLetter"/>
      <w:start w:val="17"/>
    </w:lvl>
  </w:abstractNum>
  <w:abstractNum w:abstractNumId="38">
    <w:nsid w:val="56438D15"/>
    <w:multiLevelType w:val="hybridMultilevel"/>
    <w:lvl w:ilvl="0">
      <w:lvlJc w:val="left"/>
      <w:lvlText w:val="%1:"/>
      <w:numFmt w:val="upperLetter"/>
      <w:start w:val="1"/>
    </w:lvl>
  </w:abstractNum>
  <w:abstractNum w:abstractNumId="39">
    <w:nsid w:val="519E3149"/>
    <w:multiLevelType w:val="hybridMultilevel"/>
    <w:lvl w:ilvl="0">
      <w:lvlJc w:val="left"/>
      <w:lvlText w:val="%1:"/>
      <w:numFmt w:val="upperLetter"/>
      <w:start w:val="17"/>
    </w:lvl>
  </w:abstractNum>
  <w:abstractNum w:abstractNumId="40">
    <w:nsid w:val="2C6E4AFD"/>
    <w:multiLevelType w:val="hybridMultilevel"/>
    <w:lvl w:ilvl="0">
      <w:lvlJc w:val="left"/>
      <w:lvlText w:val="%1:"/>
      <w:numFmt w:val="upperLetter"/>
      <w:start w:val="1"/>
    </w:lvl>
  </w:abstractNum>
  <w:abstractNum w:abstractNumId="41">
    <w:nsid w:val="17A1B582"/>
    <w:multiLevelType w:val="hybridMultilevel"/>
    <w:lvl w:ilvl="0">
      <w:lvlJc w:val="left"/>
      <w:lvlText w:val="%1:"/>
      <w:numFmt w:val="upperLetter"/>
      <w:start w:val="1"/>
    </w:lvl>
  </w:abstractNum>
  <w:abstractNum w:abstractNumId="42">
    <w:nsid w:val="4DF72E4E"/>
    <w:multiLevelType w:val="hybridMultilevel"/>
    <w:lvl w:ilvl="0">
      <w:lvlJc w:val="left"/>
      <w:lvlText w:val="%1:"/>
      <w:numFmt w:val="upperLetter"/>
      <w:start w:val="1"/>
    </w:lvl>
  </w:abstractNum>
  <w:abstractNum w:abstractNumId="43">
    <w:nsid w:val="5046B5A9"/>
    <w:multiLevelType w:val="hybridMultilevel"/>
    <w:lvl w:ilvl="0">
      <w:lvlJc w:val="left"/>
      <w:lvlText w:val="%1"/>
      <w:numFmt w:val="decimal"/>
      <w:start w:val="14"/>
    </w:lvl>
  </w:abstractNum>
  <w:abstractNum w:abstractNumId="44">
    <w:nsid w:val="5D888A08"/>
    <w:multiLevelType w:val="hybridMultilevel"/>
    <w:lvl w:ilvl="0">
      <w:lvlJc w:val="left"/>
      <w:lvlText w:val="•"/>
      <w:numFmt w:val="bullet"/>
      <w:start w:val="1"/>
    </w:lvl>
  </w:abstractNum>
  <w:abstractNum w:abstractNumId="45">
    <w:nsid w:val="2A082C70"/>
    <w:multiLevelType w:val="hybridMultilevel"/>
    <w:lvl w:ilvl="0">
      <w:lvlJc w:val="left"/>
      <w:lvlText w:val="*"/>
      <w:numFmt w:val="bullet"/>
      <w:start w:val="1"/>
    </w:lvl>
  </w:abstractNum>
  <w:abstractNum w:abstractNumId="46">
    <w:nsid w:val="5EC6AFD4"/>
    <w:multiLevelType w:val="hybridMultilevel"/>
    <w:lvl w:ilvl="0">
      <w:lvlJc w:val="left"/>
      <w:lvlText w:val="(%1)"/>
      <w:numFmt w:val="decimal"/>
      <w:start w:val="1"/>
    </w:lvl>
  </w:abstractNum>
  <w:abstractNum w:abstractNumId="47">
    <w:nsid w:val="19E21BB2"/>
    <w:multiLevelType w:val="hybridMultilevel"/>
    <w:lvl w:ilvl="0">
      <w:lvlJc w:val="left"/>
      <w:lvlText w:val="(%1)"/>
      <w:numFmt w:val="decimal"/>
      <w:start w:val="2"/>
    </w:lvl>
  </w:abstractNum>
  <w:abstractNum w:abstractNumId="48">
    <w:nsid w:val="75E0858A"/>
    <w:multiLevelType w:val="hybridMultilevel"/>
    <w:lvl w:ilvl="0">
      <w:lvlJc w:val="left"/>
      <w:lvlText w:val="%1"/>
      <w:numFmt w:val="decimal"/>
      <w:start w:val="16"/>
    </w:lvl>
  </w:abstractNum>
  <w:abstractNum w:abstractNumId="49">
    <w:nsid w:val="57A61A29"/>
    <w:multiLevelType w:val="hybridMultilevel"/>
    <w:lvl w:ilvl="0">
      <w:lvlJc w:val="left"/>
      <w:lvlText w:val="%1"/>
      <w:numFmt w:val="decimal"/>
      <w:start w:val="18"/>
    </w:lvl>
  </w:abstractNum>
  <w:abstractNum w:abstractNumId="50">
    <w:nsid w:val="5399C654"/>
    <w:multiLevelType w:val="hybridMultilevel"/>
    <w:lvl w:ilvl="0">
      <w:lvlJc w:val="left"/>
      <w:lvlText w:val="%1"/>
      <w:numFmt w:val="decimal"/>
      <w:start w:val="24"/>
    </w:lvl>
  </w:abstractNum>
  <w:abstractNum w:abstractNumId="51">
    <w:nsid w:val="20EE1348"/>
    <w:multiLevelType w:val="hybridMultilevel"/>
    <w:lvl w:ilvl="0">
      <w:lvlJc w:val="left"/>
      <w:lvlText w:val="•"/>
      <w:numFmt w:val="bullet"/>
      <w:start w:val="1"/>
    </w:lvl>
  </w:abstractNum>
  <w:abstractNum w:abstractNumId="52">
    <w:nsid w:val="4427069A"/>
    <w:multiLevelType w:val="hybridMultilevel"/>
    <w:lvl w:ilvl="0">
      <w:lvlJc w:val="left"/>
      <w:lvlText w:val="•"/>
      <w:numFmt w:val="bullet"/>
      <w:start w:val="1"/>
    </w:lvl>
  </w:abstractNum>
  <w:abstractNum w:abstractNumId="53">
    <w:nsid w:val="B37E80A"/>
    <w:multiLevelType w:val="hybridMultilevel"/>
    <w:lvl w:ilvl="0">
      <w:lvlJc w:val="left"/>
      <w:lvlText w:val="%1"/>
      <w:numFmt w:val="decimal"/>
      <w:start w:val="26"/>
    </w:lvl>
  </w:abstractNum>
  <w:abstractNum w:abstractNumId="54">
    <w:nsid w:val="2157F6BC"/>
    <w:multiLevelType w:val="hybridMultilevel"/>
    <w:lvl w:ilvl="0">
      <w:lvlJc w:val="left"/>
      <w:lvlText w:val="%1"/>
      <w:numFmt w:val="decimal"/>
      <w:start w:val="28"/>
    </w:lvl>
  </w:abstractNum>
  <w:abstractNum w:abstractNumId="55">
    <w:nsid w:val="704E1DD5"/>
    <w:multiLevelType w:val="hybridMultilevel"/>
    <w:lvl w:ilvl="0">
      <w:lvlJc w:val="left"/>
      <w:lvlText w:val="%1"/>
      <w:numFmt w:val="decimal"/>
      <w:start w:val="30"/>
    </w:lvl>
  </w:abstractNum>
  <w:abstractNum w:abstractNumId="56">
    <w:nsid w:val="57D2F10E"/>
    <w:multiLevelType w:val="hybridMultilevel"/>
    <w:lvl w:ilvl="0">
      <w:lvlJc w:val="left"/>
      <w:lvlText w:val="•"/>
      <w:numFmt w:val="bullet"/>
      <w:start w:val="1"/>
    </w:lvl>
  </w:abstractNum>
  <w:abstractNum w:abstractNumId="57">
    <w:nsid w:val="BFFAE18"/>
    <w:multiLevelType w:val="hybridMultilevel"/>
    <w:lvl w:ilvl="0">
      <w:lvlJc w:val="left"/>
      <w:lvlText w:val="%1"/>
      <w:numFmt w:val="decimal"/>
      <w:start w:val="32"/>
    </w:lvl>
  </w:abstractNum>
  <w:abstractNum w:abstractNumId="58">
    <w:nsid w:val="E3E47A8"/>
    <w:multiLevelType w:val="hybridMultilevel"/>
    <w:lvl w:ilvl="0">
      <w:lvlJc w:val="left"/>
      <w:lvlText w:val="%1"/>
      <w:numFmt w:val="decimal"/>
      <w:start w:val="34"/>
    </w:lvl>
  </w:abstractNum>
  <w:abstractNum w:abstractNumId="59">
    <w:nsid w:val="2E48F044"/>
    <w:multiLevelType w:val="hybridMultilevel"/>
    <w:lvl w:ilvl="0">
      <w:lvlJc w:val="left"/>
      <w:lvlText w:val="(%1)"/>
      <w:numFmt w:val="decimal"/>
      <w:start w:val="1"/>
    </w:lvl>
  </w:abstractNum>
  <w:abstractNum w:abstractNumId="60">
    <w:nsid w:val="49D0FEAC"/>
    <w:multiLevelType w:val="hybridMultilevel"/>
    <w:lvl w:ilvl="0">
      <w:lvlJc w:val="left"/>
      <w:lvlText w:val="(%1)"/>
      <w:numFmt w:val="decimal"/>
      <w:start w:val="3"/>
    </w:lvl>
  </w:abstractNum>
  <w:abstractNum w:abstractNumId="61">
    <w:nsid w:val="4BEE5A5B"/>
    <w:multiLevelType w:val="hybridMultilevel"/>
    <w:lvl w:ilvl="0">
      <w:lvlJc w:val="left"/>
      <w:lvlText w:val="(%1)"/>
      <w:numFmt w:val="decimal"/>
      <w:start w:val="4"/>
    </w:lvl>
  </w:abstractNum>
  <w:abstractNum w:abstractNumId="62">
    <w:nsid w:val="5551B9F3"/>
    <w:multiLevelType w:val="hybridMultilevel"/>
    <w:lvl w:ilvl="0">
      <w:lvlJc w:val="left"/>
      <w:lvlText w:val="%1"/>
      <w:numFmt w:val="decimal"/>
      <w:start w:val="36"/>
    </w:lvl>
  </w:abstractNum>
  <w:abstractNum w:abstractNumId="63">
    <w:nsid w:val="24F6AB8E"/>
    <w:multiLevelType w:val="hybridMultilevel"/>
    <w:lvl w:ilvl="0">
      <w:lvlJc w:val="left"/>
      <w:lvlText w:val="•"/>
      <w:numFmt w:val="bullet"/>
      <w:start w:val="1"/>
    </w:lvl>
  </w:abstractNum>
  <w:abstractNum w:abstractNumId="64">
    <w:nsid w:val="634C574C"/>
    <w:multiLevelType w:val="hybridMultilevel"/>
    <w:lvl w:ilvl="0">
      <w:lvlJc w:val="left"/>
      <w:lvlText w:val="•"/>
      <w:numFmt w:val="bullet"/>
      <w:start w:val="1"/>
    </w:lvl>
  </w:abstractNum>
  <w:abstractNum w:abstractNumId="65">
    <w:nsid w:val="24E99DD7"/>
    <w:multiLevelType w:val="hybridMultilevel"/>
    <w:lvl w:ilvl="0">
      <w:lvlJc w:val="left"/>
      <w:lvlText w:val="•"/>
      <w:numFmt w:val="bullet"/>
      <w:start w:val="1"/>
    </w:lvl>
  </w:abstractNum>
  <w:abstractNum w:abstractNumId="66">
    <w:nsid w:val="2A31B62D"/>
    <w:multiLevelType w:val="hybridMultilevel"/>
    <w:lvl w:ilvl="0">
      <w:lvlJc w:val="left"/>
      <w:lvlText w:val="%1"/>
      <w:numFmt w:val="decimal"/>
      <w:start w:val="38"/>
    </w:lvl>
  </w:abstractNum>
  <w:abstractNum w:abstractNumId="67">
    <w:nsid w:val="1849C29B"/>
    <w:multiLevelType w:val="hybridMultilevel"/>
    <w:lvl w:ilvl="0">
      <w:lvlJc w:val="left"/>
      <w:lvlText w:val="%1"/>
      <w:numFmt w:val="decimal"/>
      <w:start w:val="40"/>
    </w:lvl>
  </w:abstractNum>
  <w:abstractNum w:abstractNumId="68">
    <w:nsid w:val="7DFF9D09"/>
    <w:multiLevelType w:val="hybridMultilevel"/>
    <w:lvl w:ilvl="0">
      <w:lvlJc w:val="left"/>
      <w:lvlText w:val="✓"/>
      <w:numFmt w:val="bullet"/>
      <w:start w:val="1"/>
    </w:lvl>
  </w:abstractNum>
  <w:abstractNum w:abstractNumId="69">
    <w:nsid w:val="754342"/>
    <w:multiLevelType w:val="hybridMultilevel"/>
    <w:lvl w:ilvl="0">
      <w:lvlJc w:val="left"/>
      <w:lvlText w:val="Ò"/>
      <w:numFmt w:val="bullet"/>
      <w:start w:val="1"/>
    </w:lvl>
  </w:abstractNum>
  <w:abstractNum w:abstractNumId="70">
    <w:nsid w:val="69E7F3E5"/>
    <w:multiLevelType w:val="hybridMultilevel"/>
    <w:lvl w:ilvl="0">
      <w:lvlJc w:val="left"/>
      <w:lvlText w:val="✓"/>
      <w:numFmt w:val="bullet"/>
      <w:start w:val="1"/>
    </w:lvl>
  </w:abstractNum>
  <w:abstractNum w:abstractNumId="71">
    <w:nsid w:val="2A6DE806"/>
    <w:multiLevelType w:val="hybridMultilevel"/>
    <w:lvl w:ilvl="0">
      <w:lvlJc w:val="left"/>
      <w:lvlText w:val="Ò"/>
      <w:numFmt w:val="bullet"/>
      <w:start w:val="1"/>
    </w:lvl>
  </w:abstractNum>
  <w:abstractNum w:abstractNumId="72">
    <w:nsid w:val="1816F8C4"/>
    <w:multiLevelType w:val="hybridMultilevel"/>
    <w:lvl w:ilvl="0">
      <w:lvlJc w:val="left"/>
      <w:lvlText w:val="%1"/>
      <w:numFmt w:val="decimal"/>
      <w:start w:val="42"/>
    </w:lvl>
  </w:abstractNum>
  <w:abstractNum w:abstractNumId="73">
    <w:nsid w:val="37DF2233"/>
    <w:multiLevelType w:val="hybridMultilevel"/>
    <w:lvl w:ilvl="0">
      <w:lvlJc w:val="left"/>
      <w:lvlText w:val="%1"/>
      <w:numFmt w:val="decimal"/>
      <w:start w:val="44"/>
    </w:lvl>
  </w:abstractNum>
  <w:abstractNum w:abstractNumId="74">
    <w:nsid w:val="7AB49DAF"/>
    <w:multiLevelType w:val="hybridMultilevel"/>
    <w:lvl w:ilvl="0">
      <w:lvlJc w:val="left"/>
      <w:lvlText w:val="%1"/>
      <w:numFmt w:val="decimal"/>
      <w:start w:val="46"/>
    </w:lvl>
  </w:abstractNum>
  <w:abstractNum w:abstractNumId="75">
    <w:nsid w:val="759F82CD"/>
    <w:multiLevelType w:val="hybridMultilevel"/>
    <w:lvl w:ilvl="0">
      <w:lvlJc w:val="left"/>
      <w:lvlText w:val="%1"/>
      <w:numFmt w:val="decimal"/>
      <w:start w:val="48"/>
    </w:lvl>
  </w:abstractNum>
  <w:abstractNum w:abstractNumId="76">
    <w:nsid w:val="61E74EA3"/>
    <w:multiLevelType w:val="hybridMultilevel"/>
    <w:lvl w:ilvl="0">
      <w:lvlJc w:val="left"/>
      <w:lvlText w:val="1"/>
      <w:numFmt w:val="bullet"/>
      <w:start w:val="1"/>
    </w:lvl>
  </w:abstractNum>
  <w:abstractNum w:abstractNumId="77">
    <w:nsid w:val="597B4D84"/>
    <w:multiLevelType w:val="hybridMultilevel"/>
    <w:lvl w:ilvl="0">
      <w:lvlJc w:val="left"/>
      <w:lvlText w:val="•"/>
      <w:numFmt w:val="bullet"/>
      <w:start w:val="1"/>
    </w:lvl>
  </w:abstractNum>
  <w:abstractNum w:abstractNumId="78">
    <w:nsid w:val="F819E7F"/>
    <w:multiLevelType w:val="hybridMultilevel"/>
    <w:lvl w:ilvl="0">
      <w:lvlJc w:val="left"/>
      <w:lvlText w:val="%1"/>
      <w:numFmt w:val="decimal"/>
      <w:start w:val="50"/>
    </w:lvl>
  </w:abstractNum>
  <w:abstractNum w:abstractNumId="79">
    <w:nsid w:val="57C7D42D"/>
    <w:multiLevelType w:val="hybridMultilevel"/>
    <w:lvl w:ilvl="0">
      <w:lvlJc w:val="left"/>
      <w:lvlText w:val="•"/>
      <w:numFmt w:val="bullet"/>
      <w:start w:val="1"/>
    </w:lvl>
  </w:abstractNum>
  <w:abstractNum w:abstractNumId="80">
    <w:nsid w:val="312167AD"/>
    <w:multiLevelType w:val="hybridMultilevel"/>
    <w:lvl w:ilvl="0">
      <w:lvlJc w:val="left"/>
      <w:lvlText w:val="%1"/>
      <w:numFmt w:val="decimal"/>
      <w:start w:val="52"/>
    </w:lvl>
  </w:abstractNum>
  <w:abstractNum w:abstractNumId="81">
    <w:nsid w:val="631B64D4"/>
    <w:multiLevelType w:val="hybridMultilevel"/>
    <w:lvl w:ilvl="0">
      <w:lvlJc w:val="left"/>
      <w:lvlText w:val="•"/>
      <w:numFmt w:val="bullet"/>
      <w:start w:val="1"/>
    </w:lvl>
  </w:abstractNum>
  <w:abstractNum w:abstractNumId="82">
    <w:nsid w:val="78B5E776"/>
    <w:multiLevelType w:val="hybridMultilevel"/>
    <w:lvl w:ilvl="0">
      <w:lvlJc w:val="left"/>
      <w:lvlText w:val="•"/>
      <w:numFmt w:val="bullet"/>
      <w:start w:val="1"/>
    </w:lvl>
  </w:abstractNum>
  <w:abstractNum w:abstractNumId="83">
    <w:nsid w:val="75486E47"/>
    <w:multiLevelType w:val="hybridMultilevel"/>
    <w:lvl w:ilvl="0">
      <w:lvlJc w:val="left"/>
      <w:lvlText w:val="•"/>
      <w:numFmt w:val="bullet"/>
      <w:start w:val="1"/>
    </w:lvl>
  </w:abstractNum>
  <w:abstractNum w:abstractNumId="84">
    <w:nsid w:val="6E534CDE"/>
    <w:multiLevelType w:val="hybridMultilevel"/>
    <w:lvl w:ilvl="0">
      <w:lvlJc w:val="left"/>
      <w:lvlText w:val="(%1)"/>
      <w:numFmt w:val="decimal"/>
      <w:start w:val="1"/>
    </w:lvl>
  </w:abstractNum>
  <w:abstractNum w:abstractNumId="85">
    <w:nsid w:val="1A0DDE32"/>
    <w:multiLevelType w:val="hybridMultilevel"/>
    <w:lvl w:ilvl="0">
      <w:lvlJc w:val="left"/>
      <w:lvlText w:val="%1."/>
      <w:numFmt w:val="lowerLetter"/>
      <w:start w:val="2"/>
    </w:lvl>
  </w:abstractNum>
  <w:abstractNum w:abstractNumId="86">
    <w:nsid w:val="65968C1C"/>
    <w:multiLevelType w:val="hybridMultilevel"/>
    <w:lvl w:ilvl="0">
      <w:lvlJc w:val="left"/>
      <w:lvlText w:val="%1"/>
      <w:numFmt w:val="decimal"/>
      <w:start w:val="54"/>
    </w:lvl>
  </w:abstractNum>
  <w:abstractNum w:abstractNumId="87">
    <w:nsid w:val="46263DEC"/>
    <w:multiLevelType w:val="hybridMultilevel"/>
    <w:lvl w:ilvl="0">
      <w:lvlJc w:val="left"/>
      <w:lvlText w:val="(%1)"/>
      <w:numFmt w:val="decimal"/>
      <w:start w:val="3"/>
    </w:lvl>
  </w:abstractNum>
  <w:abstractNum w:abstractNumId="88">
    <w:nsid w:val="260D8C4A"/>
    <w:multiLevelType w:val="hybridMultilevel"/>
    <w:lvl w:ilvl="0">
      <w:lvlJc w:val="left"/>
      <w:lvlText w:val="%1"/>
      <w:numFmt w:val="decimal"/>
      <w:start w:val="56"/>
    </w:lvl>
  </w:abstractNum>
  <w:abstractNum w:abstractNumId="89">
    <w:nsid w:val="73D4D3C4"/>
    <w:multiLevelType w:val="hybridMultilevel"/>
    <w:lvl w:ilvl="0">
      <w:lvlJc w:val="left"/>
      <w:lvlText w:val="(%1)"/>
      <w:numFmt w:val="decimal"/>
      <w:start w:val="4"/>
    </w:lvl>
  </w:abstractNum>
  <w:abstractNum w:abstractNumId="90">
    <w:nsid w:val="746F2E30"/>
    <w:multiLevelType w:val="hybridMultilevel"/>
    <w:lvl w:ilvl="0">
      <w:lvlJc w:val="left"/>
      <w:lvlText w:val="(%1)"/>
      <w:numFmt w:val="lowerLetter"/>
      <w:start w:val="1"/>
    </w:lvl>
  </w:abstractNum>
  <w:abstractNum w:abstractNumId="91">
    <w:nsid w:val="6FDE8AF6"/>
    <w:multiLevelType w:val="hybridMultilevel"/>
    <w:lvl w:ilvl="0">
      <w:lvlJc w:val="left"/>
      <w:lvlText w:val="(%1)"/>
      <w:numFmt w:val="decimal"/>
      <w:start w:val="1"/>
    </w:lvl>
  </w:abstractNum>
  <w:abstractNum w:abstractNumId="92">
    <w:nsid w:val="3FC32E20"/>
    <w:multiLevelType w:val="hybridMultilevel"/>
    <w:lvl w:ilvl="0">
      <w:lvlJc w:val="left"/>
      <w:lvlText w:val="(%1)"/>
      <w:numFmt w:val="decimal"/>
      <w:start w:val="2"/>
    </w:lvl>
  </w:abstractNum>
  <w:abstractNum w:abstractNumId="93">
    <w:nsid w:val="49C0E823"/>
    <w:multiLevelType w:val="hybridMultilevel"/>
    <w:lvl w:ilvl="0">
      <w:lvlJc w:val="left"/>
      <w:lvlText w:val="%1"/>
      <w:numFmt w:val="decimal"/>
      <w:start w:val="58"/>
    </w:lvl>
  </w:abstractNum>
  <w:abstractNum w:abstractNumId="94">
    <w:nsid w:val="14D53685"/>
    <w:multiLevelType w:val="hybridMultilevel"/>
    <w:lvl w:ilvl="0">
      <w:lvlJc w:val="left"/>
      <w:lvlText w:val="(%1)"/>
      <w:numFmt w:val="decimal"/>
      <w:start w:val="3"/>
    </w:lvl>
  </w:abstractNum>
  <w:abstractNum w:abstractNumId="95">
    <w:nsid w:val="230F856C"/>
    <w:multiLevelType w:val="hybridMultilevel"/>
    <w:lvl w:ilvl="0">
      <w:lvlJc w:val="left"/>
      <w:lvlText w:val="(%1)"/>
      <w:numFmt w:val="decimal"/>
      <w:start w:val="8"/>
    </w:lvl>
  </w:abstractNum>
  <w:abstractNum w:abstractNumId="96">
    <w:nsid w:val="6EAA85FB"/>
    <w:multiLevelType w:val="hybridMultilevel"/>
    <w:lvl w:ilvl="0">
      <w:lvlJc w:val="left"/>
      <w:lvlText w:val="(%1)"/>
      <w:numFmt w:val="decimal"/>
      <w:start w:val="1"/>
    </w:lvl>
  </w:abstractNum>
  <w:abstractNum w:abstractNumId="97">
    <w:nsid w:val="3F06ECB2"/>
    <w:multiLevelType w:val="hybridMultilevel"/>
    <w:lvl w:ilvl="0">
      <w:lvlJc w:val="left"/>
      <w:lvlText w:val="(%1)"/>
      <w:numFmt w:val="decimal"/>
      <w:start w:val="2"/>
    </w:lvl>
  </w:abstractNum>
  <w:abstractNum w:abstractNumId="98">
    <w:nsid w:val="3B594807"/>
    <w:multiLevelType w:val="hybridMultilevel"/>
    <w:lvl w:ilvl="0">
      <w:lvlJc w:val="left"/>
      <w:lvlText w:val="(%1)"/>
      <w:numFmt w:val="decimal"/>
      <w:start w:val="1"/>
    </w:lvl>
  </w:abstractNum>
  <w:abstractNum w:abstractNumId="99">
    <w:nsid w:val="6CAA2304"/>
    <w:multiLevelType w:val="hybridMultilevel"/>
    <w:lvl w:ilvl="0">
      <w:lvlJc w:val="left"/>
      <w:lvlText w:val="%1"/>
      <w:numFmt w:val="decimal"/>
      <w:start w:val="62"/>
    </w:lvl>
  </w:abstractNum>
  <w:abstractNum w:abstractNumId="100">
    <w:nsid w:val="3F7C2FF4"/>
    <w:multiLevelType w:val="hybridMultilevel"/>
    <w:lvl w:ilvl="0">
      <w:lvlJc w:val="left"/>
      <w:lvlText w:val="(%1)"/>
      <w:numFmt w:val="decimal"/>
      <w:start w:val="1"/>
    </w:lvl>
  </w:abstractNum>
  <w:abstractNum w:abstractNumId="101">
    <w:nsid w:val="25413BEC"/>
    <w:multiLevelType w:val="hybridMultilevel"/>
    <w:lvl w:ilvl="0">
      <w:lvlJc w:val="left"/>
      <w:lvlText w:val="•"/>
      <w:numFmt w:val="bullet"/>
      <w:start w:val="1"/>
    </w:lvl>
  </w:abstractNum>
  <w:abstractNum w:abstractNumId="102">
    <w:nsid w:val="17180B0B"/>
    <w:multiLevelType w:val="hybridMultilevel"/>
    <w:lvl w:ilvl="0">
      <w:lvlJc w:val="left"/>
      <w:lvlText w:val="•"/>
      <w:numFmt w:val="bullet"/>
      <w:start w:val="1"/>
    </w:lvl>
  </w:abstractNum>
  <w:abstractNum w:abstractNumId="103">
    <w:nsid w:val="579328B9"/>
    <w:multiLevelType w:val="hybridMultilevel"/>
    <w:lvl w:ilvl="0">
      <w:lvlJc w:val="left"/>
      <w:lvlText w:val="•"/>
      <w:numFmt w:val="bullet"/>
      <w:start w:val="1"/>
    </w:lvl>
  </w:abstractNum>
  <w:abstractNum w:abstractNumId="104">
    <w:nsid w:val="5D205E20"/>
    <w:multiLevelType w:val="hybridMultilevel"/>
    <w:lvl w:ilvl="0">
      <w:lvlJc w:val="left"/>
      <w:lvlText w:val="%1"/>
      <w:numFmt w:val="decimal"/>
      <w:start w:val="64"/>
    </w:lvl>
  </w:abstractNum>
  <w:abstractNum w:abstractNumId="105">
    <w:nsid w:val="11CCA8BA"/>
    <w:multiLevelType w:val="hybridMultilevel"/>
    <w:lvl w:ilvl="0">
      <w:lvlJc w:val="left"/>
      <w:lvlText w:val="(%1)"/>
      <w:numFmt w:val="decimal"/>
      <w:start w:val="1"/>
    </w:lvl>
  </w:abstractNum>
  <w:abstractNum w:abstractNumId="106">
    <w:nsid w:val="4D32AB86"/>
    <w:multiLevelType w:val="hybridMultilevel"/>
    <w:lvl w:ilvl="0">
      <w:lvlJc w:val="left"/>
      <w:lvlText w:val="(%1)"/>
      <w:numFmt w:val="decimal"/>
      <w:start w:val="5"/>
    </w:lvl>
  </w:abstractNum>
  <w:abstractNum w:abstractNumId="107">
    <w:nsid w:val="3F07ACC3"/>
    <w:multiLevelType w:val="hybridMultilevel"/>
    <w:lvl w:ilvl="0">
      <w:lvlJc w:val="left"/>
      <w:lvlText w:val="(%1)"/>
      <w:numFmt w:val="decimal"/>
      <w:start w:val="6"/>
    </w:lvl>
  </w:abstractNum>
  <w:abstractNum w:abstractNumId="108">
    <w:nsid w:val="6B47F63E"/>
    <w:multiLevelType w:val="hybridMultilevel"/>
    <w:lvl w:ilvl="0">
      <w:lvlJc w:val="left"/>
      <w:lvlText w:val="•"/>
      <w:numFmt w:val="bullet"/>
      <w:start w:val="1"/>
    </w:lvl>
  </w:abstractNum>
  <w:abstractNum w:abstractNumId="109">
    <w:nsid w:val="5CB44A05"/>
    <w:multiLevelType w:val="hybridMultilevel"/>
    <w:lvl w:ilvl="0">
      <w:lvlJc w:val="left"/>
      <w:lvlText w:val="%1"/>
      <w:numFmt w:val="decimal"/>
      <w:start w:val="66"/>
    </w:lvl>
  </w:abstractNum>
  <w:abstractNum w:abstractNumId="110">
    <w:nsid w:val="16CF80F1"/>
    <w:multiLevelType w:val="hybridMultilevel"/>
    <w:lvl w:ilvl="0">
      <w:lvlJc w:val="left"/>
      <w:lvlText w:val="(%1)"/>
      <w:numFmt w:val="decimal"/>
      <w:start w:val="1"/>
    </w:lvl>
  </w:abstractNum>
  <w:abstractNum w:abstractNumId="111">
    <w:nsid w:val="1C695DEC"/>
    <w:multiLevelType w:val="hybridMultilevel"/>
    <w:lvl w:ilvl="0">
      <w:lvlJc w:val="left"/>
      <w:lvlText w:val="%1"/>
      <w:numFmt w:val="decimal"/>
      <w:start w:val="68"/>
    </w:lvl>
  </w:abstractNum>
  <w:abstractNum w:abstractNumId="112">
    <w:nsid w:val="3FCFAED9"/>
    <w:multiLevelType w:val="hybridMultilevel"/>
    <w:lvl w:ilvl="0">
      <w:lvlJc w:val="left"/>
      <w:lvlText w:val="%1"/>
      <w:numFmt w:val="decimal"/>
      <w:start w:val="70"/>
    </w:lvl>
  </w:abstractNum>
  <w:abstractNum w:abstractNumId="113">
    <w:nsid w:val="F856867"/>
    <w:multiLevelType w:val="hybridMultilevel"/>
    <w:lvl w:ilvl="0">
      <w:lvlJc w:val="left"/>
      <w:lvlText w:val="•"/>
      <w:numFmt w:val="bullet"/>
      <w:start w:val="1"/>
    </w:lvl>
  </w:abstractNum>
  <w:abstractNum w:abstractNumId="114">
    <w:nsid w:val="11B1CC33"/>
    <w:multiLevelType w:val="hybridMultilevel"/>
    <w:lvl w:ilvl="0">
      <w:lvlJc w:val="left"/>
      <w:lvlText w:val="(%1)"/>
      <w:numFmt w:val="decimal"/>
      <w:start w:val="1"/>
    </w:lvl>
  </w:abstractNum>
  <w:abstractNum w:abstractNumId="115">
    <w:nsid w:val="2E22FBB7"/>
    <w:multiLevelType w:val="hybridMultilevel"/>
    <w:lvl w:ilvl="0">
      <w:lvlJc w:val="left"/>
      <w:lvlText w:val="(%1)"/>
      <w:numFmt w:val="lowerRoman"/>
      <w:start w:val="2"/>
    </w:lvl>
  </w:abstractNum>
  <w:abstractNum w:abstractNumId="116">
    <w:nsid w:val="29934699"/>
    <w:multiLevelType w:val="hybridMultilevel"/>
    <w:lvl w:ilvl="0">
      <w:lvlJc w:val="left"/>
      <w:lvlText w:val="%1"/>
      <w:numFmt w:val="decimal"/>
      <w:start w:val="72"/>
    </w:lvl>
  </w:abstractNum>
  <w:abstractNum w:abstractNumId="117">
    <w:nsid w:val="77485850"/>
    <w:multiLevelType w:val="hybridMultilevel"/>
    <w:lvl w:ilvl="0">
      <w:lvlJc w:val="left"/>
      <w:lvlText w:val="%1"/>
      <w:numFmt w:val="decimal"/>
      <w:start w:val="74"/>
    </w:lvl>
  </w:abstractNum>
  <w:abstractNum w:abstractNumId="118">
    <w:nsid w:val="744939A3"/>
    <w:multiLevelType w:val="hybridMultilevel"/>
    <w:lvl w:ilvl="0">
      <w:lvlJc w:val="left"/>
      <w:lvlText w:val="(%1)"/>
      <w:numFmt w:val="lowerRoman"/>
      <w:start w:val="20"/>
    </w:lvl>
  </w:abstractNum>
  <w:abstractNum w:abstractNumId="119">
    <w:nsid w:val="4FA0D2E3"/>
    <w:multiLevelType w:val="hybridMultilevel"/>
    <w:lvl w:ilvl="0">
      <w:lvlJc w:val="left"/>
      <w:lvlText w:val="%1"/>
      <w:numFmt w:val="decimal"/>
      <w:start w:val="76"/>
    </w:lvl>
  </w:abstractNum>
  <w:abstractNum w:abstractNumId="120">
    <w:nsid w:val="6B1D2C14"/>
    <w:multiLevelType w:val="hybridMultilevel"/>
    <w:lvl w:ilvl="0">
      <w:lvlJc w:val="left"/>
      <w:lvlText w:val="%1"/>
      <w:numFmt w:val="decimal"/>
      <w:start w:val="78"/>
    </w:lvl>
  </w:abstractNum>
  <w:abstractNum w:abstractNumId="121">
    <w:nsid w:val="68B867D3"/>
    <w:multiLevelType w:val="hybridMultilevel"/>
    <w:lvl w:ilvl="0">
      <w:lvlJc w:val="left"/>
      <w:lvlText w:val="(%1)"/>
      <w:numFmt w:val="lowerRoman"/>
      <w:start w:val="1"/>
    </w:lvl>
  </w:abstractNum>
  <w:abstractNum w:abstractNumId="122">
    <w:nsid w:val="3F7F5DD9"/>
    <w:multiLevelType w:val="hybridMultilevel"/>
    <w:lvl w:ilvl="0">
      <w:lvlJc w:val="left"/>
      <w:lvlText w:val="%1"/>
      <w:numFmt w:val="decimal"/>
      <w:start w:val="80"/>
    </w:lvl>
  </w:abstractNum>
  <w:abstractNum w:abstractNumId="123">
    <w:nsid w:val="2AE05A34"/>
    <w:multiLevelType w:val="hybridMultilevel"/>
    <w:lvl w:ilvl="0">
      <w:lvlJc w:val="left"/>
      <w:lvlText w:val="%1"/>
      <w:numFmt w:val="decimal"/>
      <w:start w:val="82"/>
    </w:lvl>
  </w:abstractNum>
  <w:abstractNum w:abstractNumId="124">
    <w:nsid w:val="32794FF7"/>
    <w:multiLevelType w:val="hybridMultilevel"/>
    <w:lvl w:ilvl="0">
      <w:lvlJc w:val="left"/>
      <w:lvlText w:val="%1"/>
      <w:numFmt w:val="decimal"/>
      <w:start w:val="84"/>
    </w:lvl>
  </w:abstractNum>
  <w:abstractNum w:abstractNumId="125">
    <w:nsid w:val="5454945E"/>
    <w:multiLevelType w:val="hybridMultilevel"/>
    <w:lvl w:ilvl="0">
      <w:lvlJc w:val="left"/>
      <w:lvlText w:val="(%1)"/>
      <w:numFmt w:val="decimal"/>
      <w:start w:val="1"/>
    </w:lvl>
  </w:abstractNum>
  <w:abstractNum w:abstractNumId="126">
    <w:nsid w:val="4DEFDFA0"/>
    <w:multiLevelType w:val="hybridMultilevel"/>
    <w:lvl w:ilvl="0">
      <w:lvlJc w:val="left"/>
      <w:lvlText w:val="%1."/>
      <w:numFmt w:val="decimal"/>
      <w:start w:val="1"/>
    </w:lvl>
  </w:abstractNum>
  <w:abstractNum w:abstractNumId="127">
    <w:nsid w:val="2123D5F2"/>
    <w:multiLevelType w:val="hybridMultilevel"/>
    <w:lvl w:ilvl="0">
      <w:lvlJc w:val="left"/>
      <w:lvlText w:val="%1."/>
      <w:numFmt w:val="decimal"/>
      <w:start w:val="2"/>
    </w:lvl>
  </w:abstractNum>
  <w:abstractNum w:abstractNumId="128">
    <w:nsid w:val="135B8110"/>
    <w:multiLevelType w:val="hybridMultilevel"/>
    <w:lvl w:ilvl="0">
      <w:lvlJc w:val="left"/>
      <w:lvlText w:val="%1."/>
      <w:numFmt w:val="decimal"/>
      <w:start w:val="3"/>
    </w:lvl>
    <w:lvl w:ilvl="1">
      <w:lvlJc w:val="left"/>
      <w:lvlText w:val="(%2)"/>
      <w:numFmt w:val="lowerLetter"/>
      <w:start w:val="1"/>
    </w:lvl>
  </w:abstractNum>
  <w:abstractNum w:abstractNumId="129">
    <w:nsid w:val="94927A8"/>
    <w:multiLevelType w:val="hybridMultilevel"/>
    <w:lvl w:ilvl="0">
      <w:lvlJc w:val="left"/>
      <w:lvlText w:val="%1"/>
      <w:numFmt w:val="decimal"/>
      <w:start w:val="1"/>
    </w:lvl>
    <w:lvl w:ilvl="1">
      <w:lvlJc w:val="left"/>
      <w:lvlText w:val="(%2)"/>
      <w:numFmt w:val="lowerLetter"/>
      <w:start w:val="4"/>
    </w:lvl>
    <w:lvl w:ilvl="2">
      <w:lvlJc w:val="left"/>
      <w:lvlText w:val="%3"/>
      <w:numFmt w:val="decimal"/>
      <w:start w:val="1"/>
    </w:lvl>
    <w:lvl w:ilvl="3">
      <w:lvlJc w:val="left"/>
      <w:lvlText w:val="%4"/>
      <w:numFmt w:val="upperLetter"/>
      <w:start w:val="1"/>
    </w:lvl>
  </w:abstractNum>
  <w:abstractNum w:abstractNumId="130">
    <w:nsid w:val="DCDF8F6"/>
    <w:multiLevelType w:val="hybridMultilevel"/>
    <w:lvl w:ilvl="0">
      <w:lvlJc w:val="left"/>
      <w:lvlText w:val="%1."/>
      <w:numFmt w:val="decimal"/>
      <w:start w:val="4"/>
    </w:lvl>
    <w:lvl w:ilvl="1">
      <w:lvlJc w:val="left"/>
      <w:lvlText w:val="(%2)"/>
      <w:numFmt w:val="lowerLetter"/>
      <w:start w:val="1"/>
    </w:lvl>
    <w:lvl w:ilvl="2">
      <w:lvlJc w:val="left"/>
      <w:lvlText w:val="(%3)"/>
      <w:numFmt w:val="decimal"/>
      <w:start w:val="1"/>
    </w:lvl>
    <w:lvl w:ilvl="3">
      <w:lvlJc w:val="left"/>
      <w:lvlText w:val="(%4)"/>
      <w:numFmt w:val="upperLetter"/>
      <w:start w:val="1"/>
    </w:lvl>
  </w:abstractNum>
  <w:abstractNum w:abstractNumId="131">
    <w:nsid w:val="52D7B105"/>
    <w:multiLevelType w:val="hybridMultilevel"/>
    <w:lvl w:ilvl="0">
      <w:lvlJc w:val="left"/>
      <w:lvlText w:val="(%1)"/>
      <w:numFmt w:val="decimal"/>
      <w:start w:val="2"/>
    </w:lvl>
    <w:lvl w:ilvl="1">
      <w:lvlJc w:val="left"/>
      <w:lvlText w:val="(%2)"/>
      <w:numFmt w:val="upperLetter"/>
      <w:start w:val="1"/>
    </w:lvl>
  </w:abstractNum>
  <w:abstractNum w:abstractNumId="132">
    <w:nsid w:val="2E8A6394"/>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lvl w:ilvl="3">
      <w:lvlJc w:val="left"/>
      <w:lvlText w:val="(%4)"/>
      <w:numFmt w:val="upperLetter"/>
      <w:start w:val="4"/>
    </w:lvl>
  </w:abstractNum>
  <w:abstractNum w:abstractNumId="133">
    <w:nsid w:val="24E60401"/>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lvl w:ilvl="3">
      <w:lvlJc w:val="left"/>
      <w:lvlText w:val="%4"/>
      <w:numFmt w:val="upperLetter"/>
      <w:start w:val="1"/>
    </w:lvl>
  </w:abstractNum>
  <w:abstractNum w:abstractNumId="134">
    <w:nsid w:val="2A6AD9BE"/>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lvl w:ilvl="3">
      <w:lvlJc w:val="left"/>
      <w:lvlText w:val="%4"/>
      <w:numFmt w:val="upperLetter"/>
      <w:start w:val="1"/>
    </w:lvl>
  </w:abstractNum>
  <w:abstractNum w:abstractNumId="135">
    <w:nsid w:val="BAAC1B4"/>
    <w:multiLevelType w:val="hybridMultilevel"/>
    <w:lvl w:ilvl="0">
      <w:lvlJc w:val="left"/>
      <w:lvlText w:val="(%1)"/>
      <w:numFmt w:val="lowerLetter"/>
      <w:start w:val="6"/>
    </w:lvl>
    <w:lvl w:ilvl="1">
      <w:lvlJc w:val="left"/>
      <w:lvlText w:val="(%2)"/>
      <w:numFmt w:val="lowerLetter"/>
      <w:start w:val="3"/>
    </w:lvl>
    <w:lvl w:ilvl="2">
      <w:lvlJc w:val="left"/>
      <w:lvlText w:val="(%3)"/>
      <w:numFmt w:val="decimal"/>
      <w:start w:val="1"/>
    </w:lvl>
  </w:abstractNum>
  <w:abstractNum w:abstractNumId="136">
    <w:nsid w:val="36B2ACBC"/>
    <w:multiLevelType w:val="hybridMultilevel"/>
    <w:lvl w:ilvl="0">
      <w:lvlJc w:val="left"/>
      <w:lvlText w:val="(%1)"/>
      <w:numFmt w:val="lowerLetter"/>
      <w:start w:val="4"/>
    </w:lvl>
  </w:abstractNum>
  <w:abstractNum w:abstractNumId="137">
    <w:nsid w:val="779D8544"/>
    <w:multiLevelType w:val="hybridMultilevel"/>
    <w:lvl w:ilvl="0">
      <w:lvlJc w:val="left"/>
      <w:lvlText w:val="(%1)"/>
      <w:numFmt w:val="decimal"/>
      <w:start w:val="1"/>
    </w:lvl>
  </w:abstractNum>
  <w:abstractNum w:abstractNumId="138">
    <w:nsid w:val="4AB26E78"/>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2"/>
    </w:lvl>
  </w:abstractNum>
  <w:abstractNum w:abstractNumId="139">
    <w:nsid w:val="21FAA2FA"/>
    <w:multiLevelType w:val="hybridMultilevel"/>
    <w:lvl w:ilvl="0">
      <w:lvlJc w:val="left"/>
      <w:lvlText w:val="(%1)"/>
      <w:numFmt w:val="lowerLetter"/>
      <w:start w:val="35"/>
    </w:lvl>
    <w:lvl w:ilvl="1">
      <w:lvlJc w:val="left"/>
      <w:lvlText w:val="(%2)"/>
      <w:numFmt w:val="lowerLetter"/>
      <w:start w:val="6"/>
    </w:lvl>
    <w:lvl w:ilvl="2">
      <w:lvlJc w:val="left"/>
      <w:lvlText w:val="(%3)"/>
      <w:numFmt w:val="decimal"/>
      <w:start w:val="4"/>
    </w:lvl>
  </w:abstractNum>
  <w:abstractNum w:abstractNumId="140">
    <w:nsid w:val="5451CF49"/>
    <w:multiLevelType w:val="hybridMultilevel"/>
    <w:lvl w:ilvl="0">
      <w:lvlJc w:val="left"/>
      <w:lvlText w:val="%1."/>
      <w:numFmt w:val="decimal"/>
      <w:start w:val="6"/>
    </w:lvl>
    <w:lvl w:ilvl="1">
      <w:lvlJc w:val="left"/>
      <w:lvlText w:val="(%2)"/>
      <w:numFmt w:val="lowerLetter"/>
      <w:start w:val="1"/>
    </w:lvl>
  </w:abstractNum>
  <w:abstractNum w:abstractNumId="141">
    <w:nsid w:val="6181EF69"/>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142">
    <w:nsid w:val="3E6400E6"/>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abstractNum>
  <w:abstractNum w:abstractNumId="143">
    <w:nsid w:val="14217E23"/>
    <w:multiLevelType w:val="hybridMultilevel"/>
    <w:lvl w:ilvl="0">
      <w:lvlJc w:val="left"/>
      <w:lvlText w:val="%1"/>
      <w:numFmt w:val="decimal"/>
      <w:start w:val="1"/>
    </w:lvl>
    <w:lvl w:ilvl="1">
      <w:lvlJc w:val="left"/>
      <w:lvlText w:val="(%2)"/>
      <w:numFmt w:val="lowerLetter"/>
      <w:start w:val="4"/>
    </w:lvl>
    <w:lvl w:ilvl="2">
      <w:lvlJc w:val="left"/>
      <w:lvlText w:val="(%3)"/>
      <w:numFmt w:val="decimal"/>
      <w:start w:val="1"/>
    </w:lvl>
  </w:abstractNum>
  <w:abstractNum w:abstractNumId="144">
    <w:nsid w:val="710757D0"/>
    <w:multiLevelType w:val="hybridMultilevel"/>
    <w:lvl w:ilvl="0">
      <w:lvlJc w:val="left"/>
      <w:lvlText w:val="%1."/>
      <w:numFmt w:val="decimal"/>
      <w:start w:val="8"/>
    </w:lvl>
    <w:lvl w:ilvl="1">
      <w:lvlJc w:val="left"/>
      <w:lvlText w:val="(%2)"/>
      <w:numFmt w:val="lowerLetter"/>
      <w:start w:val="1"/>
    </w:lvl>
    <w:lvl w:ilvl="2">
      <w:lvlJc w:val="left"/>
      <w:lvlText w:val="%3"/>
      <w:numFmt w:val="decimal"/>
      <w:start w:val="1"/>
    </w:lvl>
  </w:abstractNum>
  <w:abstractNum w:abstractNumId="145">
    <w:nsid w:val="5015CD1A"/>
    <w:multiLevelType w:val="hybridMultilevel"/>
    <w:lvl w:ilvl="0">
      <w:lvlJc w:val="left"/>
      <w:lvlText w:val="(%1)"/>
      <w:numFmt w:val="lowerLetter"/>
      <w:start w:val="2"/>
    </w:lvl>
  </w:abstractNum>
  <w:abstractNum w:abstractNumId="146">
    <w:nsid w:val="424479DA"/>
    <w:multiLevelType w:val="hybridMultilevel"/>
    <w:lvl w:ilvl="0">
      <w:lvlJc w:val="left"/>
      <w:lvlText w:val="(%1)"/>
      <w:numFmt w:val="lowerRoman"/>
      <w:start w:val="13"/>
    </w:lvl>
    <w:lvl w:ilvl="1">
      <w:lvlJc w:val="left"/>
      <w:lvlText w:val="%2"/>
      <w:numFmt w:val="lowerLetter"/>
      <w:start w:val="1"/>
    </w:lvl>
  </w:abstractNum>
  <w:abstractNum w:abstractNumId="147">
    <w:nsid w:val="1A9A9E69"/>
    <w:multiLevelType w:val="hybridMultilevel"/>
    <w:lvl w:ilvl="0">
      <w:lvlJc w:val="left"/>
      <w:lvlText w:val="(%1)"/>
      <w:numFmt w:val="lowerRoman"/>
      <w:start w:val="16"/>
    </w:lvl>
    <w:lvl w:ilvl="1">
      <w:lvlJc w:val="left"/>
      <w:lvlText w:val="(%2)"/>
      <w:numFmt w:val="lowerLetter"/>
      <w:start w:val="3"/>
    </w:lvl>
  </w:abstractNum>
  <w:abstractNum w:abstractNumId="148">
    <w:nsid w:val="475E256A"/>
    <w:multiLevelType w:val="hybridMultilevel"/>
    <w:lvl w:ilvl="0">
      <w:lvlJc w:val="left"/>
      <w:lvlText w:val="%1."/>
      <w:numFmt w:val="decimal"/>
      <w:start w:val="10"/>
    </w:lvl>
    <w:lvl w:ilvl="1">
      <w:lvlJc w:val="left"/>
      <w:lvlText w:val="(%2)"/>
      <w:numFmt w:val="lowerLetter"/>
      <w:start w:val="1"/>
    </w:lvl>
  </w:abstractNum>
  <w:abstractNum w:abstractNumId="149">
    <w:nsid w:val="368DB37E"/>
    <w:multiLevelType w:val="hybridMultilevel"/>
    <w:lvl w:ilvl="0">
      <w:lvlJc w:val="left"/>
      <w:lvlText w:val="%1"/>
      <w:numFmt w:val="upperLetter"/>
      <w:start w:val="1"/>
    </w:lvl>
    <w:lvl w:ilvl="1">
      <w:lvlJc w:val="left"/>
      <w:lvlText w:val="(%2)"/>
      <w:numFmt w:val="lowerLetter"/>
      <w:start w:val="2"/>
    </w:lvl>
    <w:lvl w:ilvl="2">
      <w:lvlJc w:val="left"/>
      <w:lvlText w:val="(%3)"/>
      <w:numFmt w:val="decimal"/>
      <w:start w:val="1"/>
    </w:lvl>
    <w:lvl w:ilvl="3">
      <w:lvlJc w:val="left"/>
      <w:lvlText w:val="(%4)"/>
      <w:numFmt w:val="upperLetter"/>
      <w:start w:val="1"/>
    </w:lvl>
    <w:lvl w:ilvl="4">
      <w:lvlJc w:val="left"/>
      <w:lvlText w:val="(%5)"/>
      <w:numFmt w:val="lowerRoman"/>
      <w:start w:val="1"/>
    </w:lvl>
  </w:abstractNum>
  <w:abstractNum w:abstractNumId="150">
    <w:nsid w:val="6A3B714C"/>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1"/>
    </w:lvl>
    <w:lvl w:ilvl="3">
      <w:lvlJc w:val="left"/>
      <w:lvlText w:val="(%4)"/>
      <w:numFmt w:val="upperLetter"/>
      <w:start w:val="2"/>
    </w:lvl>
    <w:lvl w:ilvl="4">
      <w:lvlJc w:val="left"/>
      <w:lvlText w:val="(%5)"/>
      <w:numFmt w:val="lowerRoman"/>
      <w:start w:val="2"/>
    </w:lvl>
  </w:abstractNum>
  <w:abstractNum w:abstractNumId="151">
    <w:nsid w:val="327B517E"/>
    <w:multiLevelType w:val="hybridMultilevel"/>
    <w:lvl w:ilvl="0">
      <w:lvlJc w:val="left"/>
      <w:lvlText w:val="%1"/>
      <w:numFmt w:val="decimal"/>
      <w:start w:val="1"/>
    </w:lvl>
    <w:lvl w:ilvl="1">
      <w:lvlJc w:val="left"/>
      <w:lvlText w:val="(%2)"/>
      <w:numFmt w:val="upperLetter"/>
      <w:start w:val="4"/>
    </w:lvl>
    <w:lvl w:ilvl="2">
      <w:lvlJc w:val="left"/>
      <w:lvlText w:val="(%3)"/>
      <w:numFmt w:val="lowerRoman"/>
      <w:start w:val="1"/>
    </w:lvl>
  </w:abstractNum>
  <w:abstractNum w:abstractNumId="152">
    <w:nsid w:val="1F461B51"/>
    <w:multiLevelType w:val="hybridMultilevel"/>
    <w:lvl w:ilvl="0">
      <w:lvlJc w:val="left"/>
      <w:lvlText w:val="(%1)"/>
      <w:numFmt w:val="decimal"/>
      <w:start w:val="2"/>
    </w:lvl>
    <w:lvl w:ilvl="1">
      <w:lvlJc w:val="left"/>
      <w:lvlText w:val="(%2)"/>
      <w:numFmt w:val="upperLetter"/>
      <w:start w:val="1"/>
    </w:lvl>
    <w:lvl w:ilvl="2">
      <w:lvlJc w:val="left"/>
      <w:lvlText w:val="%3"/>
      <w:numFmt w:val="lowerRoman"/>
      <w:start w:val="1"/>
    </w:lvl>
  </w:abstractNum>
  <w:abstractNum w:abstractNumId="153">
    <w:nsid w:val="29BACF25"/>
    <w:multiLevelType w:val="hybridMultilevel"/>
    <w:lvl w:ilvl="0">
      <w:lvlJc w:val="left"/>
      <w:lvlText w:val="%1"/>
      <w:numFmt w:val="decimal"/>
      <w:start w:val="1"/>
    </w:lvl>
    <w:lvl w:ilvl="1">
      <w:lvlJc w:val="left"/>
      <w:lvlText w:val="(%2)"/>
      <w:numFmt w:val="upperLetter"/>
      <w:start w:val="2"/>
    </w:lvl>
  </w:abstractNum>
  <w:abstractNum w:abstractNumId="154">
    <w:nsid w:val="5D5BABB3"/>
    <w:multiLevelType w:val="hybridMultilevel"/>
    <w:lvl w:ilvl="0">
      <w:lvlJc w:val="left"/>
      <w:lvlText w:val="(%1)"/>
      <w:numFmt w:val="decimal"/>
      <w:start w:val="3"/>
    </w:lvl>
    <w:lvl w:ilvl="1">
      <w:lvlJc w:val="left"/>
      <w:lvlText w:val="(%2)"/>
      <w:numFmt w:val="upperLetter"/>
      <w:start w:val="1"/>
    </w:lvl>
  </w:abstractNum>
  <w:abstractNum w:abstractNumId="155">
    <w:nsid w:val="51BF6B48"/>
    <w:multiLevelType w:val="hybridMultilevel"/>
    <w:lvl w:ilvl="0">
      <w:lvlJc w:val="left"/>
      <w:lvlText w:val="%1."/>
      <w:numFmt w:val="decimal"/>
      <w:start w:val="11"/>
    </w:lvl>
    <w:lvl w:ilvl="1">
      <w:lvlJc w:val="left"/>
      <w:lvlText w:val="(%2)"/>
      <w:numFmt w:val="lowerLetter"/>
      <w:start w:val="1"/>
    </w:lvl>
  </w:abstractNum>
  <w:abstractNum w:abstractNumId="156">
    <w:nsid w:val="7E0F6384"/>
    <w:multiLevelType w:val="hybridMultilevel"/>
    <w:lvl w:ilvl="0">
      <w:lvlJc w:val="left"/>
      <w:lvlText w:val="%1"/>
      <w:numFmt w:val="decimal"/>
      <w:start w:val="1"/>
    </w:lvl>
    <w:lvl w:ilvl="1">
      <w:lvlJc w:val="left"/>
      <w:lvlText w:val="(%2)"/>
      <w:numFmt w:val="lowerLetter"/>
      <w:start w:val="5"/>
    </w:lvl>
  </w:abstractNum>
  <w:abstractNum w:abstractNumId="157">
    <w:nsid w:val="2B4B8B53"/>
    <w:multiLevelType w:val="hybridMultilevel"/>
    <w:lvl w:ilvl="0">
      <w:lvlJc w:val="left"/>
      <w:lvlText w:val="%1."/>
      <w:numFmt w:val="decimal"/>
      <w:start w:val="12"/>
    </w:lvl>
    <w:lvl w:ilvl="1">
      <w:lvlJc w:val="left"/>
      <w:lvlText w:val="(%2)"/>
      <w:numFmt w:val="lowerLetter"/>
      <w:start w:val="1"/>
    </w:lvl>
  </w:abstractNum>
  <w:abstractNum w:abstractNumId="158">
    <w:nsid w:val="72E3413A"/>
    <w:multiLevelType w:val="hybridMultilevel"/>
    <w:lvl w:ilvl="0">
      <w:lvlJc w:val="left"/>
      <w:lvlText w:val="(%1)"/>
      <w:numFmt w:val="lowerRoman"/>
      <w:start w:val="1"/>
    </w:lvl>
  </w:abstractNum>
  <w:abstractNum w:abstractNumId="159">
    <w:nsid w:val="116AE494"/>
    <w:multiLevelType w:val="hybridMultilevel"/>
    <w:lvl w:ilvl="0">
      <w:lvlJc w:val="left"/>
      <w:lvlText w:val="(%1)"/>
      <w:numFmt w:val="lowerLetter"/>
      <w:start w:val="5"/>
    </w:lvl>
  </w:abstractNum>
  <w:abstractNum w:abstractNumId="160">
    <w:nsid w:val="3494B2FB"/>
    <w:multiLevelType w:val="hybridMultilevel"/>
    <w:lvl w:ilvl="0">
      <w:lvlJc w:val="left"/>
      <w:lvlText w:val="(%1)"/>
      <w:numFmt w:val="lowerLetter"/>
      <w:start w:val="7"/>
    </w:lvl>
  </w:abstractNum>
  <w:abstractNum w:abstractNumId="161">
    <w:nsid w:val="B13A31"/>
    <w:multiLevelType w:val="hybridMultilevel"/>
    <w:lvl w:ilvl="0">
      <w:lvlJc w:val="left"/>
      <w:lvlText w:val="%1."/>
      <w:numFmt w:val="upperLetter"/>
      <w:start w:val="9"/>
    </w:lvl>
  </w:abstractNum>
  <w:abstractNum w:abstractNumId="162">
    <w:nsid w:val="64429599"/>
    <w:multiLevelType w:val="hybridMultilevel"/>
    <w:lvl w:ilvl="0">
      <w:lvlJc w:val="left"/>
      <w:lvlText w:val="%1."/>
      <w:numFmt w:val="decimal"/>
      <w:start w:val="1"/>
    </w:lvl>
  </w:abstractNum>
  <w:abstractNum w:abstractNumId="163">
    <w:nsid w:val="631F1690"/>
    <w:multiLevelType w:val="hybridMultilevel"/>
    <w:lvl w:ilvl="0">
      <w:lvlJc w:val="left"/>
      <w:lvlText w:val="%1."/>
      <w:numFmt w:val="decimal"/>
      <w:start w:val="2"/>
    </w:lvl>
  </w:abstractNum>
  <w:abstractNum w:abstractNumId="164">
    <w:nsid w:val="25973E32"/>
    <w:multiLevelType w:val="hybridMultilevel"/>
    <w:lvl w:ilvl="0">
      <w:lvlJc w:val="left"/>
      <w:lvlText w:val="%1"/>
      <w:numFmt w:val="lowerRoman"/>
      <w:start w:val="1"/>
    </w:lvl>
    <w:lvl w:ilvl="1">
      <w:lvlJc w:val="left"/>
      <w:lvlText w:val="(%2)"/>
      <w:numFmt w:val="lowerLetter"/>
      <w:start w:val="1"/>
    </w:lvl>
  </w:abstractNum>
  <w:abstractNum w:abstractNumId="165">
    <w:nsid w:val="EAD6F57"/>
    <w:multiLevelType w:val="hybridMultilevel"/>
    <w:lvl w:ilvl="0">
      <w:lvlJc w:val="left"/>
      <w:lvlText w:val="%1"/>
      <w:numFmt w:val="lowerRoman"/>
      <w:start w:val="1"/>
    </w:lvl>
    <w:lvl w:ilvl="1">
      <w:lvlJc w:val="left"/>
      <w:lvlText w:val="(%2)"/>
      <w:numFmt w:val="lowerLetter"/>
      <w:start w:val="9"/>
    </w:lvl>
  </w:abstractNum>
  <w:abstractNum w:abstractNumId="166">
    <w:nsid w:val="6EC9D844"/>
    <w:multiLevelType w:val="hybridMultilevel"/>
    <w:lvl w:ilvl="0">
      <w:lvlJc w:val="left"/>
      <w:lvlText w:val="%1"/>
      <w:numFmt w:val="lowerRoman"/>
      <w:start w:val="1"/>
    </w:lvl>
    <w:lvl w:ilvl="1">
      <w:lvlJc w:val="left"/>
      <w:lvlText w:val="(%2)"/>
      <w:numFmt w:val="lowerLetter"/>
      <w:start w:val="35"/>
    </w:lvl>
  </w:abstractNum>
  <w:abstractNum w:abstractNumId="167">
    <w:nsid w:val="5C49EAEE"/>
    <w:multiLevelType w:val="hybridMultilevel"/>
    <w:lvl w:ilvl="0">
      <w:lvlJc w:val="left"/>
      <w:lvlText w:val="%1"/>
      <w:numFmt w:val="lowerRoman"/>
      <w:start w:val="1"/>
    </w:lvl>
    <w:lvl w:ilvl="1">
      <w:lvlJc w:val="left"/>
      <w:lvlText w:val="(%2)"/>
      <w:numFmt w:val="lowerLetter"/>
      <w:start w:val="61"/>
    </w:lvl>
  </w:abstractNum>
  <w:abstractNum w:abstractNumId="168">
    <w:nsid w:val="64AF49B"/>
    <w:multiLevelType w:val="hybridMultilevel"/>
    <w:lvl w:ilvl="0">
      <w:lvlJc w:val="left"/>
      <w:lvlText w:val="%1."/>
      <w:numFmt w:val="lowerRoman"/>
      <w:start w:val="1"/>
    </w:lvl>
  </w:abstractNum>
  <w:abstractNum w:abstractNumId="169">
    <w:nsid w:val="397C46BC"/>
    <w:multiLevelType w:val="hybridMultilevel"/>
    <w:lvl w:ilvl="0">
      <w:lvlJc w:val="left"/>
      <w:lvlText w:val="%1."/>
      <w:numFmt w:val="lowerRoman"/>
      <w:start w:val="2"/>
    </w:lvl>
  </w:abstractNum>
  <w:abstractNum w:abstractNumId="170">
    <w:nsid w:val="7E448DE9"/>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2"/>
    </w:lvl>
  </w:abstractNum>
  <w:abstractNum w:abstractNumId="171">
    <w:nsid w:val="5A9CC3E5"/>
    <w:multiLevelType w:val="hybridMultilevel"/>
    <w:lvl w:ilvl="0">
      <w:lvlJc w:val="left"/>
      <w:lvlText w:val="(%1)"/>
      <w:numFmt w:val="lowerLetter"/>
      <w:start w:val="35"/>
    </w:lvl>
    <w:lvl w:ilvl="1">
      <w:lvlJc w:val="left"/>
      <w:lvlText w:val="%2"/>
      <w:numFmt w:val="lowerRoman"/>
      <w:start w:val="1"/>
    </w:lvl>
    <w:lvl w:ilvl="2">
      <w:lvlJc w:val="left"/>
      <w:lvlText w:val="(%3)"/>
      <w:numFmt w:val="lowerLetter"/>
      <w:start w:val="6"/>
    </w:lvl>
  </w:abstractNum>
  <w:abstractNum w:abstractNumId="172">
    <w:nsid w:val="1AFE3625"/>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9"/>
    </w:lvl>
  </w:abstractNum>
  <w:abstractNum w:abstractNumId="173">
    <w:nsid w:val="3CA88ECF"/>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5"/>
    </w:lvl>
  </w:abstractNum>
  <w:abstractNum w:abstractNumId="174">
    <w:nsid w:val="6EBE4208"/>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7"/>
    </w:lvl>
  </w:abstractNum>
  <w:abstractNum w:abstractNumId="175">
    <w:nsid w:val="C058DF5"/>
    <w:multiLevelType w:val="hybridMultilevel"/>
    <w:lvl w:ilvl="0">
      <w:lvlJc w:val="left"/>
      <w:lvlText w:val="%1."/>
      <w:numFmt w:val="decimal"/>
      <w:start w:val="3"/>
    </w:lvl>
  </w:abstractNum>
  <w:abstractNum w:abstractNumId="176">
    <w:nsid w:val="CBE5BE9"/>
    <w:multiLevelType w:val="hybridMultilevel"/>
    <w:lvl w:ilvl="0">
      <w:lvlJc w:val="left"/>
      <w:lvlText w:val="%1."/>
      <w:numFmt w:val="decimal"/>
      <w:start w:val="4"/>
    </w:lvl>
  </w:abstractNum>
  <w:abstractNum w:abstractNumId="177">
    <w:nsid w:val="3102BBE2"/>
    <w:multiLevelType w:val="hybridMultilevel"/>
    <w:lvl w:ilvl="0">
      <w:lvlJc w:val="left"/>
      <w:lvlText w:val="%1."/>
      <w:numFmt w:val="decimal"/>
      <w:start w:val="5"/>
    </w:lvl>
  </w:abstractNum>
  <w:abstractNum w:abstractNumId="178">
    <w:nsid w:val="26A02C5E"/>
    <w:multiLevelType w:val="hybridMultilevel"/>
    <w:lvl w:ilvl="0">
      <w:lvlJc w:val="left"/>
      <w:lvlText w:val="%1."/>
      <w:numFmt w:val="decimal"/>
      <w:start w:val="6"/>
    </w:lvl>
  </w:abstractNum>
  <w:abstractNum w:abstractNumId="179">
    <w:nsid w:val="541C8153"/>
    <w:multiLevelType w:val="hybridMultilevel"/>
    <w:lvl w:ilvl="0">
      <w:lvlJc w:val="left"/>
      <w:lvlText w:val="%1."/>
      <w:numFmt w:val="decimal"/>
      <w:start w:val="7"/>
    </w:lvl>
  </w:abstractNum>
  <w:abstractNum w:abstractNumId="180">
    <w:nsid w:val="67906F60"/>
    <w:multiLevelType w:val="hybridMultilevel"/>
    <w:lvl w:ilvl="0">
      <w:lvlJc w:val="left"/>
      <w:lvlText w:val="%1."/>
      <w:numFmt w:val="decimal"/>
      <w:start w:val="8"/>
    </w:lvl>
  </w:abstractNum>
  <w:abstractNum w:abstractNumId="181">
    <w:nsid w:val="10DB9DAA"/>
    <w:multiLevelType w:val="hybridMultilevel"/>
    <w:lvl w:ilvl="0">
      <w:lvlJc w:val="left"/>
      <w:lvlText w:val="%1."/>
      <w:numFmt w:val="upperLetter"/>
      <w:start w:val="35"/>
    </w:lvl>
  </w:abstractNum>
  <w:abstractNum w:abstractNumId="182">
    <w:nsid w:val="697D2D2"/>
    <w:multiLevelType w:val="hybridMultilevel"/>
    <w:lvl w:ilvl="0">
      <w:lvlJc w:val="left"/>
      <w:lvlText w:val="%1."/>
      <w:numFmt w:val="decimal"/>
      <w:start w:val="1"/>
    </w:lvl>
  </w:abstractNum>
  <w:abstractNum w:abstractNumId="183">
    <w:nsid w:val="6D68AB2"/>
    <w:multiLevelType w:val="hybridMultilevel"/>
    <w:lvl w:ilvl="0">
      <w:lvlJc w:val="left"/>
      <w:lvlText w:val="%1."/>
      <w:numFmt w:val="decimal"/>
      <w:start w:val="2"/>
    </w:lvl>
    <w:lvl w:ilvl="1">
      <w:lvlJc w:val="left"/>
      <w:lvlText w:val="%2"/>
      <w:numFmt w:val="lowerRoman"/>
      <w:start w:val="1"/>
    </w:lvl>
    <w:lvl w:ilvl="2">
      <w:lvlJc w:val="left"/>
      <w:lvlText w:val="(%3)"/>
      <w:numFmt w:val="lowerLetter"/>
      <w:start w:val="1"/>
    </w:lvl>
  </w:abstractNum>
  <w:abstractNum w:abstractNumId="184">
    <w:nsid w:val="3A966CD0"/>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9"/>
    </w:lvl>
  </w:abstractNum>
  <w:abstractNum w:abstractNumId="185">
    <w:nsid w:val="63F37E85"/>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35"/>
    </w:lvl>
  </w:abstractNum>
  <w:abstractNum w:abstractNumId="186">
    <w:nsid w:val="5895F5FA"/>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61"/>
    </w:lvl>
  </w:abstractNum>
  <w:abstractNum w:abstractNumId="187">
    <w:nsid w:val="38A5D054"/>
    <w:multiLevelType w:val="hybridMultilevel"/>
    <w:lvl w:ilvl="0">
      <w:lvlJc w:val="left"/>
      <w:lvlText w:val="%1."/>
      <w:numFmt w:val="decimal"/>
      <w:start w:val="3"/>
    </w:lvl>
    <w:lvl w:ilvl="1">
      <w:lvlJc w:val="left"/>
      <w:lvlText w:val="%2"/>
      <w:numFmt w:val="lowerRoman"/>
      <w:start w:val="1"/>
    </w:lvl>
    <w:lvl w:ilvl="2">
      <w:lvlJc w:val="left"/>
      <w:lvlText w:val="(%3)"/>
      <w:numFmt w:val="lowerLetter"/>
      <w:start w:val="1"/>
    </w:lvl>
  </w:abstractNum>
  <w:abstractNum w:abstractNumId="188">
    <w:nsid w:val="F3F09D8"/>
    <w:multiLevelType w:val="hybridMultilevel"/>
    <w:lvl w:ilvl="0">
      <w:lvlJc w:val="left"/>
      <w:lvlText w:val="(%1)"/>
      <w:numFmt w:val="lowerLetter"/>
      <w:start w:val="4"/>
    </w:lvl>
  </w:abstractNum>
  <w:abstractNum w:abstractNumId="189">
    <w:nsid w:val="4B793735"/>
    <w:multiLevelType w:val="hybridMultilevel"/>
    <w:lvl w:ilvl="0">
      <w:lvlJc w:val="left"/>
      <w:lvlText w:val="%1."/>
      <w:numFmt w:val="decimal"/>
      <w:start w:val="4"/>
    </w:lvl>
  </w:abstractNum>
  <w:abstractNum w:abstractNumId="190">
    <w:nsid w:val="4A10B4E8"/>
    <w:multiLevelType w:val="hybridMultilevel"/>
    <w:lvl w:ilvl="0">
      <w:lvlJc w:val="left"/>
      <w:lvlText w:val="%1."/>
      <w:numFmt w:val="decimal"/>
      <w:start w:val="5"/>
    </w:lvl>
  </w:abstractNum>
  <w:abstractNum w:abstractNumId="191">
    <w:nsid w:val="43D3BCD4"/>
    <w:multiLevelType w:val="hybridMultilevel"/>
    <w:lvl w:ilvl="0">
      <w:lvlJc w:val="left"/>
      <w:lvlText w:val="%1."/>
      <w:numFmt w:val="decimal"/>
      <w:start w:val="6"/>
    </w:lvl>
  </w:abstractNum>
  <w:abstractNum w:abstractNumId="192">
    <w:nsid w:val="4C2A7166"/>
    <w:multiLevelType w:val="hybridMultilevel"/>
    <w:lvl w:ilvl="0">
      <w:lvlJc w:val="left"/>
      <w:lvlText w:val="%1."/>
      <w:numFmt w:val="decimal"/>
      <w:start w:val="7"/>
    </w:lvl>
  </w:abstractNum>
  <w:abstractNum w:abstractNumId="193">
    <w:nsid w:val="2E534A82"/>
    <w:multiLevelType w:val="hybridMultilevel"/>
    <w:lvl w:ilvl="0">
      <w:lvlJc w:val="left"/>
      <w:lvlText w:val="%1."/>
      <w:numFmt w:val="upperLetter"/>
      <w:start w:val="61"/>
    </w:lvl>
  </w:abstractNum>
  <w:abstractNum w:abstractNumId="194">
    <w:nsid w:val="26F2D364"/>
    <w:multiLevelType w:val="hybridMultilevel"/>
    <w:lvl w:ilvl="0">
      <w:lvlJc w:val="left"/>
      <w:lvlText w:val="%1."/>
      <w:numFmt w:val="decimal"/>
      <w:start w:val="1"/>
    </w:lvl>
    <w:lvl w:ilvl="1">
      <w:lvlJc w:val="left"/>
      <w:lvlText w:val="(%2)"/>
      <w:numFmt w:val="lowerLetter"/>
      <w:start w:val="1"/>
    </w:lvl>
  </w:abstractNum>
  <w:abstractNum w:abstractNumId="195">
    <w:nsid w:val="71C1AF98"/>
    <w:multiLevelType w:val="hybridMultilevel"/>
    <w:lvl w:ilvl="0">
      <w:lvlJc w:val="left"/>
      <w:lvlText w:val="(%1)"/>
      <w:numFmt w:val="lowerLetter"/>
      <w:start w:val="2"/>
    </w:lvl>
  </w:abstractNum>
  <w:abstractNum w:abstractNumId="196">
    <w:nsid w:val="3D00B9D9"/>
    <w:multiLevelType w:val="hybridMultilevel"/>
    <w:lvl w:ilvl="0">
      <w:lvlJc w:val="left"/>
      <w:lvlText w:val="(%1)"/>
      <w:numFmt w:val="lowerLetter"/>
      <w:start w:val="3"/>
    </w:lvl>
  </w:abstractNum>
  <w:abstractNum w:abstractNumId="197">
    <w:nsid w:val="15BCABA8"/>
    <w:multiLevelType w:val="hybridMultilevel"/>
    <w:lvl w:ilvl="0">
      <w:lvlJc w:val="left"/>
      <w:lvlText w:val="(%1)"/>
      <w:numFmt w:val="lowerLetter"/>
      <w:start w:val="4"/>
    </w:lvl>
  </w:abstractNum>
  <w:abstractNum w:abstractNumId="198">
    <w:nsid w:val="4E0B9A87"/>
    <w:multiLevelType w:val="hybridMultilevel"/>
    <w:lvl w:ilvl="0">
      <w:lvlJc w:val="left"/>
      <w:lvlText w:val="%1."/>
      <w:numFmt w:val="decimal"/>
      <w:start w:val="2"/>
    </w:lvl>
  </w:abstractNum>
  <w:abstractNum w:abstractNumId="199">
    <w:nsid w:val="434BAE75"/>
    <w:multiLevelType w:val="hybridMultilevel"/>
    <w:lvl w:ilvl="0">
      <w:lvlJc w:val="left"/>
      <w:lvlText w:val="%1."/>
      <w:numFmt w:val="decimal"/>
      <w:start w:val="3"/>
    </w:lvl>
  </w:abstractNum>
  <w:abstractNum w:abstractNumId="200">
    <w:nsid w:val="4F38F265"/>
    <w:multiLevelType w:val="hybridMultilevel"/>
    <w:lvl w:ilvl="0">
      <w:lvlJc w:val="left"/>
      <w:lvlText w:val="%1."/>
      <w:numFmt w:val="decimal"/>
      <w:start w:val="4"/>
    </w:lvl>
  </w:abstractNum>
  <w:abstractNum w:abstractNumId="201">
    <w:nsid w:val="4C502870"/>
    <w:multiLevelType w:val="hybridMultilevel"/>
    <w:lvl w:ilvl="0">
      <w:lvlJc w:val="left"/>
      <w:lvlText w:val="%1."/>
      <w:numFmt w:val="decimal"/>
      <w:start w:val="1"/>
    </w:lvl>
  </w:abstractNum>
  <w:abstractNum w:abstractNumId="202">
    <w:nsid w:val="1DE8725A"/>
    <w:multiLevelType w:val="hybridMultilevel"/>
    <w:lvl w:ilvl="0">
      <w:lvlJc w:val="left"/>
      <w:lvlText w:val="%1."/>
      <w:numFmt w:val="decimal"/>
      <w:start w:val="2"/>
    </w:lvl>
  </w:abstractNum>
  <w:abstractNum w:abstractNumId="203">
    <w:nsid w:val="6A37288A"/>
    <w:multiLevelType w:val="hybridMultilevel"/>
    <w:lvl w:ilvl="0">
      <w:lvlJc w:val="left"/>
      <w:lvlText w:val="%1."/>
      <w:numFmt w:val="decimal"/>
      <w:start w:val="3"/>
    </w:lvl>
  </w:abstractNum>
  <w:abstractNum w:abstractNumId="204">
    <w:nsid w:val="8F8B73F"/>
    <w:multiLevelType w:val="hybridMultilevel"/>
    <w:lvl w:ilvl="0">
      <w:lvlJc w:val="left"/>
      <w:lvlText w:val="%1."/>
      <w:numFmt w:val="decimal"/>
      <w:start w:val="4"/>
    </w:lvl>
  </w:abstractNum>
  <w:abstractNum w:abstractNumId="205">
    <w:nsid w:val="CA6B462"/>
    <w:multiLevelType w:val="hybridMultilevel"/>
    <w:lvl w:ilvl="0">
      <w:lvlJc w:val="left"/>
      <w:lvlText w:val="%1."/>
      <w:numFmt w:val="decimal"/>
      <w:start w:val="5"/>
    </w:lvl>
  </w:abstractNum>
  <w:abstractNum w:abstractNumId="206">
    <w:nsid w:val="763CB680"/>
    <w:multiLevelType w:val="hybridMultilevel"/>
    <w:lvl w:ilvl="0">
      <w:lvlJc w:val="left"/>
      <w:lvlText w:val="%1."/>
      <w:numFmt w:val="decimal"/>
      <w:start w:val="6"/>
    </w:lvl>
  </w:abstractNum>
  <w:abstractNum w:abstractNumId="207">
    <w:nsid w:val="15B71329"/>
    <w:multiLevelType w:val="hybridMultilevel"/>
    <w:lvl w:ilvl="0">
      <w:lvlJc w:val="left"/>
      <w:lvlText w:val="%1."/>
      <w:numFmt w:val="decimal"/>
      <w:start w:val="7"/>
    </w:lvl>
  </w:abstractNum>
  <w:abstractNum w:abstractNumId="208">
    <w:nsid w:val="3DA97044"/>
    <w:multiLevelType w:val="hybridMultilevel"/>
    <w:lvl w:ilvl="0">
      <w:lvlJc w:val="left"/>
      <w:lvlText w:val="%1."/>
      <w:numFmt w:val="decimal"/>
      <w:start w:val="8"/>
    </w:lvl>
  </w:abstractNum>
  <w:abstractNum w:abstractNumId="209">
    <w:nsid w:val="1CDCE2DE"/>
    <w:multiLevelType w:val="hybridMultilevel"/>
    <w:lvl w:ilvl="0">
      <w:lvlJc w:val="left"/>
      <w:lvlText w:val="%1."/>
      <w:numFmt w:val="decimal"/>
      <w:start w:val="9"/>
    </w:lvl>
  </w:abstractNum>
  <w:abstractNum w:abstractNumId="210">
    <w:nsid w:val="69D3947C"/>
    <w:multiLevelType w:val="hybridMultilevel"/>
    <w:lvl w:ilvl="0">
      <w:lvlJc w:val="left"/>
      <w:lvlText w:val="%1."/>
      <w:numFmt w:val="decimal"/>
      <w:start w:val="10"/>
    </w:lvl>
  </w:abstractNum>
  <w:abstractNum w:abstractNumId="211">
    <w:nsid w:val="2539DFA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jpe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png"/><Relationship Id="rId305" Type="http://schemas.openxmlformats.org/officeDocument/2006/relationships/image" Target="media/image298.jpeg"/><Relationship Id="rId306" Type="http://schemas.openxmlformats.org/officeDocument/2006/relationships/image" Target="media/image299.png"/><Relationship Id="rId307" Type="http://schemas.openxmlformats.org/officeDocument/2006/relationships/image" Target="media/image300.jpeg"/><Relationship Id="rId308" Type="http://schemas.openxmlformats.org/officeDocument/2006/relationships/image" Target="media/image301.png"/><Relationship Id="rId309" Type="http://schemas.openxmlformats.org/officeDocument/2006/relationships/image" Target="media/image302.jpe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jpe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png"/><Relationship Id="rId319" Type="http://schemas.openxmlformats.org/officeDocument/2006/relationships/image" Target="media/image312.jpeg"/><Relationship Id="rId320" Type="http://schemas.openxmlformats.org/officeDocument/2006/relationships/image" Target="media/image313.png"/><Relationship Id="rId321" Type="http://schemas.openxmlformats.org/officeDocument/2006/relationships/image" Target="media/image314.jpeg"/><Relationship Id="rId322" Type="http://schemas.openxmlformats.org/officeDocument/2006/relationships/image" Target="media/image315.png"/><Relationship Id="rId323" Type="http://schemas.openxmlformats.org/officeDocument/2006/relationships/image" Target="media/image316.jpeg"/><Relationship Id="rId324" Type="http://schemas.openxmlformats.org/officeDocument/2006/relationships/image" Target="media/image317.png"/><Relationship Id="rId325" Type="http://schemas.openxmlformats.org/officeDocument/2006/relationships/image" Target="media/image318.jpe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png"/><Relationship Id="rId329" Type="http://schemas.openxmlformats.org/officeDocument/2006/relationships/image" Target="media/image322.jpeg"/><Relationship Id="rId330" Type="http://schemas.openxmlformats.org/officeDocument/2006/relationships/image" Target="media/image323.png"/><Relationship Id="rId331" Type="http://schemas.openxmlformats.org/officeDocument/2006/relationships/image" Target="media/image324.jpeg"/><Relationship Id="rId332" Type="http://schemas.openxmlformats.org/officeDocument/2006/relationships/image" Target="media/image325.png"/><Relationship Id="rId333" Type="http://schemas.openxmlformats.org/officeDocument/2006/relationships/image" Target="media/image326.jpeg"/><Relationship Id="rId334" Type="http://schemas.openxmlformats.org/officeDocument/2006/relationships/image" Target="media/image327.png"/><Relationship Id="rId335" Type="http://schemas.openxmlformats.org/officeDocument/2006/relationships/image" Target="media/image328.jpeg"/><Relationship Id="rId336" Type="http://schemas.openxmlformats.org/officeDocument/2006/relationships/image" Target="media/image329.png"/><Relationship Id="rId337" Type="http://schemas.openxmlformats.org/officeDocument/2006/relationships/image" Target="media/image330.jpeg"/><Relationship Id="rId338" Type="http://schemas.openxmlformats.org/officeDocument/2006/relationships/image" Target="media/image331.png"/><Relationship Id="rId339" Type="http://schemas.openxmlformats.org/officeDocument/2006/relationships/image" Target="media/image332.jpeg"/><Relationship Id="rId340" Type="http://schemas.openxmlformats.org/officeDocument/2006/relationships/image" Target="media/image333.png"/><Relationship Id="rId341" Type="http://schemas.openxmlformats.org/officeDocument/2006/relationships/image" Target="media/image334.jpe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jpe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2020-01-24T07:05:07Z</dcterms:created>
  <dcterms:modified xsi:type="dcterms:W3CDTF">2020-01-24T07:05:07Z</dcterms:modified>
</cp:coreProperties>
</file>