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-230505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-669290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4001770</wp:posOffset>
            </wp:positionH>
            <wp:positionV relativeFrom="paragraph">
              <wp:posOffset>-633095</wp:posOffset>
            </wp:positionV>
            <wp:extent cx="58420" cy="646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753745</wp:posOffset>
            </wp:positionV>
            <wp:extent cx="7045960" cy="7298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29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2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2">
            <w:col w:w="2320" w:space="220"/>
            <w:col w:w="854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600" w:firstLine="7"/>
        <w:spacing w:after="0" w:line="26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1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3">
            <w:col w:w="3180" w:space="720"/>
            <w:col w:w="3107" w:space="720"/>
            <w:col w:w="3353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108.08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147,537.875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404.25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137,537.875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23,515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108.08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03/13/2029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108.08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90,803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2/3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500" w:type="dxa"/>
            <w:vAlign w:val="bottom"/>
            <w:vMerge w:val="restart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December 3, 2025.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2026 Grantor Retained Annuity Trust dated January 11, 2026.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Shelly Shaw, General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Counsel, by Power of Attorney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90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20" w:firstLine="4"/>
        <w:spacing w:after="0" w:line="314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500" w:top="179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2026-06-02T15:20:39Z</dcterms:created>
  <dcterms:modified xsi:type="dcterms:W3CDTF">2026-06-02T15:20:39Z</dcterms:modified>
</cp:coreProperties>
</file>