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568960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534670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57785</wp:posOffset>
            </wp:positionV>
            <wp:extent cx="1714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43815</wp:posOffset>
            </wp:positionV>
            <wp:extent cx="1714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46" w:lineRule="exact"/>
        <w:rPr>
          <w:sz w:val="24"/>
          <w:szCs w:val="24"/>
          <w:color w:val="auto"/>
        </w:rPr>
      </w:pPr>
    </w:p>
    <w:p>
      <w:pPr>
        <w:ind w:left="680" w:right="40" w:hanging="654"/>
        <w:spacing w:after="0" w:line="233" w:lineRule="auto"/>
        <w:tabs>
          <w:tab w:leader="none" w:pos="68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62"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For the quarterly period ended August 2, 2025</w:t>
      </w:r>
    </w:p>
    <w:p>
      <w:pPr>
        <w:spacing w:after="0" w:line="31"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 w:lineRule="exact"/>
        <w:rPr>
          <w:sz w:val="24"/>
          <w:szCs w:val="24"/>
          <w:color w:val="auto"/>
        </w:rPr>
      </w:pPr>
    </w:p>
    <w:p>
      <w:pPr>
        <w:ind w:left="680" w:hanging="641"/>
        <w:spacing w:after="0" w:line="233" w:lineRule="auto"/>
        <w:tabs>
          <w:tab w:leader="none" w:pos="680" w:val="left"/>
        </w:tabs>
        <w:numPr>
          <w:ilvl w:val="0"/>
          <w:numId w:val="2"/>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7" w:lineRule="exact"/>
        <w:rPr>
          <w:sz w:val="24"/>
          <w:szCs w:val="24"/>
          <w:color w:val="auto"/>
        </w:rPr>
      </w:pPr>
    </w:p>
    <w:tbl>
      <w:tblPr>
        <w:tblLayout w:type="fixed"/>
        <w:tblInd w:w="380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0"/>
        </w:trPr>
        <w:tc>
          <w:tcPr>
            <w:tcW w:w="232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37"/>
        </w:trPr>
        <w:tc>
          <w:tcPr>
            <w:tcW w:w="292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w w:val="99"/>
              </w:rPr>
              <w:t>Commission File No. 1-7819</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51435</wp:posOffset>
            </wp:positionV>
            <wp:extent cx="1714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21590</wp:posOffset>
            </wp:positionV>
            <wp:extent cx="1714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ectPr>
          <w:pgSz w:w="11900" w:h="16838" w:orient="portrait"/>
          <w:cols w:equalWidth="0" w:num="1">
            <w:col w:w="11200"/>
          </w:cols>
          <w:pgMar w:left="320" w:top="1019" w:right="379" w:bottom="1440" w:gutter="0" w:footer="0" w:header="0"/>
        </w:sectPr>
      </w:pPr>
    </w:p>
    <w:p>
      <w:pPr>
        <w:spacing w:after="0" w:line="201"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04-2348234</w:t>
      </w:r>
    </w:p>
    <w:p>
      <w:pPr>
        <w:spacing w:after="0" w:line="42" w:lineRule="exact"/>
        <w:rPr>
          <w:sz w:val="24"/>
          <w:szCs w:val="24"/>
          <w:color w:val="auto"/>
        </w:rPr>
      </w:pPr>
    </w:p>
    <w:p>
      <w:pPr>
        <w:sectPr>
          <w:pgSz w:w="11900" w:h="16838" w:orient="portrait"/>
          <w:cols w:equalWidth="0" w:num="2">
            <w:col w:w="7360" w:space="720"/>
            <w:col w:w="3120"/>
          </w:cols>
          <w:pgMar w:left="320" w:top="1019" w:right="37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p>
      <w:pPr>
        <w:spacing w:after="0" w:line="127" w:lineRule="exact"/>
        <w:rPr>
          <w:sz w:val="24"/>
          <w:szCs w:val="24"/>
          <w:color w:val="auto"/>
        </w:rPr>
      </w:pPr>
    </w:p>
    <w:p>
      <w:pPr>
        <w:sectPr>
          <w:pgSz w:w="11900" w:h="16838" w:orient="portrait"/>
          <w:cols w:equalWidth="0" w:num="2">
            <w:col w:w="6760" w:space="720"/>
            <w:col w:w="3720"/>
          </w:cols>
          <w:pgMar w:left="320" w:top="1019" w:right="379" w:bottom="1440" w:gutter="0" w:footer="0" w:header="0"/>
          <w:type w:val="continuous"/>
        </w:sectPr>
      </w:pPr>
    </w:p>
    <w:p>
      <w:pPr>
        <w:jc w:val="center"/>
        <w:ind w:left="820"/>
        <w:spacing w:after="0"/>
        <w:rPr>
          <w:sz w:val="20"/>
          <w:szCs w:val="20"/>
          <w:color w:val="auto"/>
        </w:rPr>
      </w:pPr>
      <w:r>
        <w:rPr>
          <w:rFonts w:ascii="Times New Roman" w:cs="Times New Roman" w:eastAsia="Times New Roman" w:hAnsi="Times New Roman"/>
          <w:sz w:val="17"/>
          <w:szCs w:val="17"/>
          <w:b w:val="1"/>
          <w:bCs w:val="1"/>
          <w:color w:val="auto"/>
        </w:rPr>
        <w:t>One Analog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Wilmington,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01887</w:t>
      </w:r>
    </w:p>
    <w:p>
      <w:pPr>
        <w:spacing w:after="0" w:line="31" w:lineRule="exact"/>
        <w:rPr>
          <w:sz w:val="24"/>
          <w:szCs w:val="24"/>
          <w:color w:val="auto"/>
        </w:rPr>
      </w:pPr>
    </w:p>
    <w:p>
      <w:pPr>
        <w:sectPr>
          <w:pgSz w:w="11900" w:h="16838" w:orient="portrait"/>
          <w:cols w:equalWidth="0" w:num="4">
            <w:col w:w="2760" w:space="720"/>
            <w:col w:w="980" w:space="300"/>
            <w:col w:w="2800" w:space="720"/>
            <w:col w:w="2920"/>
          </w:cols>
          <w:pgMar w:left="320" w:top="1019" w:right="379"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(Zip Code)</w:t>
      </w:r>
    </w:p>
    <w:p>
      <w:pPr>
        <w:spacing w:after="0" w:line="100" w:lineRule="exact"/>
        <w:rPr>
          <w:sz w:val="24"/>
          <w:szCs w:val="24"/>
          <w:color w:val="auto"/>
        </w:rPr>
      </w:pPr>
    </w:p>
    <w:p>
      <w:pPr>
        <w:sectPr>
          <w:pgSz w:w="11900" w:h="16838" w:orient="portrait"/>
          <w:cols w:equalWidth="0" w:num="2">
            <w:col w:w="7480" w:space="720"/>
            <w:col w:w="3000"/>
          </w:cols>
          <w:pgMar w:left="320" w:top="1019"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(781) 935-5565</w:t>
      </w:r>
    </w:p>
    <w:p>
      <w:pPr>
        <w:sectPr>
          <w:pgSz w:w="11900" w:h="16838" w:orient="portrait"/>
          <w:cols w:equalWidth="0" w:num="1">
            <w:col w:w="11200"/>
          </w:cols>
          <w:pgMar w:left="320" w:top="1019" w:right="379" w:bottom="1440" w:gutter="0" w:footer="0" w:header="0"/>
          <w:type w:val="continuous"/>
        </w:sectPr>
      </w:pP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67310</wp:posOffset>
            </wp:positionV>
            <wp:extent cx="1714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00"/>
          </w:cols>
          <w:pgMar w:left="320" w:top="1019" w:right="379" w:bottom="1440" w:gutter="0" w:footer="0" w:header="0"/>
          <w:type w:val="continuous"/>
        </w:sectPr>
      </w:pPr>
    </w:p>
    <w:p>
      <w:pPr>
        <w:spacing w:after="0" w:line="46"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sectPr>
          <w:pgSz w:w="11900" w:h="16838" w:orient="portrait"/>
          <w:cols w:equalWidth="0" w:num="3">
            <w:col w:w="4180" w:space="720"/>
            <w:col w:w="1760" w:space="720"/>
            <w:col w:w="3820"/>
          </w:cols>
          <w:pgMar w:left="320" w:top="1019" w:right="37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Common Stock $0.16 2/3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ADI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Nasdaq Global Select Market</w:t>
      </w:r>
    </w:p>
    <w:p>
      <w:pPr>
        <w:spacing w:after="0" w:line="211" w:lineRule="exact"/>
        <w:rPr>
          <w:sz w:val="24"/>
          <w:szCs w:val="24"/>
          <w:color w:val="auto"/>
        </w:rPr>
      </w:pPr>
    </w:p>
    <w:p>
      <w:pPr>
        <w:sectPr>
          <w:pgSz w:w="11900" w:h="16838" w:orient="portrait"/>
          <w:cols w:equalWidth="0" w:num="3">
            <w:col w:w="4740" w:space="720"/>
            <w:col w:w="1800" w:space="720"/>
            <w:col w:w="3220"/>
          </w:cols>
          <w:pgMar w:left="320" w:top="1019" w:right="379" w:bottom="1440" w:gutter="0" w:footer="0" w:header="0"/>
          <w:type w:val="continuous"/>
        </w:sectPr>
      </w:pPr>
    </w:p>
    <w:p>
      <w:pPr>
        <w:spacing w:after="0" w:line="7" w:lineRule="exact"/>
        <w:rPr>
          <w:sz w:val="24"/>
          <w:szCs w:val="24"/>
          <w:color w:val="auto"/>
        </w:rPr>
      </w:pPr>
    </w:p>
    <w:p>
      <w:pPr>
        <w:ind w:right="20" w:firstLine="445"/>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8" w:lineRule="exact"/>
        <w:rPr>
          <w:sz w:val="24"/>
          <w:szCs w:val="24"/>
          <w:color w:val="auto"/>
        </w:rPr>
      </w:pPr>
    </w:p>
    <w:p>
      <w:pPr>
        <w:ind w:right="60" w:firstLine="445"/>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8" w:lineRule="exact"/>
        <w:rPr>
          <w:sz w:val="24"/>
          <w:szCs w:val="24"/>
          <w:color w:val="auto"/>
        </w:rPr>
      </w:pPr>
    </w:p>
    <w:p>
      <w:pPr>
        <w:ind w:right="40" w:firstLine="445"/>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50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70"/>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50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62"/>
        </w:trPr>
        <w:tc>
          <w:tcPr>
            <w:tcW w:w="2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0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146" w:lineRule="exact"/>
        <w:rPr>
          <w:sz w:val="24"/>
          <w:szCs w:val="24"/>
          <w:color w:val="auto"/>
        </w:rPr>
      </w:pPr>
    </w:p>
    <w:p>
      <w:pPr>
        <w:ind w:right="20"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 w:lineRule="exact"/>
        <w:rPr>
          <w:sz w:val="24"/>
          <w:szCs w:val="24"/>
          <w:color w:val="auto"/>
        </w:rPr>
      </w:pPr>
    </w:p>
    <w:p>
      <w:pPr>
        <w:ind w:left="460"/>
        <w:spacing w:after="0" w:line="242" w:lineRule="exact"/>
        <w:tabs>
          <w:tab w:leader="none" w:pos="8780" w:val="left"/>
          <w:tab w:leader="none" w:pos="94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21"/>
          <w:szCs w:val="21"/>
          <w:color w:val="auto"/>
        </w:rPr>
        <w:t>☑</w:t>
      </w:r>
    </w:p>
    <w:p>
      <w:pPr>
        <w:spacing w:after="0" w:line="16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August 2, 2025 there were 491,955,436 shares of common stock of the registrant, $0.16 2/3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00"/>
          </w:cols>
          <w:pgMar w:left="320" w:top="1019" w:right="379" w:bottom="1440" w:gutter="0" w:footer="0" w:header="0"/>
          <w:type w:val="continuous"/>
        </w:sectPr>
      </w:pPr>
    </w:p>
    <w:bookmarkStart w:id="1" w:name="page2"/>
    <w:bookmarkEnd w:id="1"/>
    <w:p>
      <w:pPr>
        <w:ind w:left="398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50"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00" w:lineRule="exact"/>
        <w:rPr>
          <w:sz w:val="20"/>
          <w:szCs w:val="20"/>
          <w:color w:val="auto"/>
        </w:rPr>
      </w:pPr>
    </w:p>
    <w:p>
      <w:pPr>
        <w:spacing w:after="0" w:line="390"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68"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6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62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0"/>
        </w:trPr>
        <w:tc>
          <w:tcPr>
            <w:tcW w:w="45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August 3, 2024</w:t>
            </w:r>
          </w:p>
        </w:tc>
      </w:tr>
      <w:tr>
        <w:trPr>
          <w:trHeight w:val="229"/>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2,880,348</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2,312,209</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7,943,590</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6,983,952</w:t>
            </w:r>
          </w:p>
        </w:tc>
      </w:tr>
      <w:tr>
        <w:trPr>
          <w:trHeight w:val="230"/>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1,090,600</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1,000,970</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3,111,929</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3,018,737</w:t>
            </w:r>
          </w:p>
        </w:tc>
      </w:tr>
      <w:tr>
        <w:trPr>
          <w:trHeight w:val="223"/>
        </w:trPr>
        <w:tc>
          <w:tcPr>
            <w:tcW w:w="4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1,789,748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1,311,239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4,831,661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3,965,215</w:t>
            </w: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454,251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362,671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1,298,980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1,108,960</w:t>
            </w:r>
          </w:p>
        </w:tc>
      </w:tr>
      <w:tr>
        <w:trPr>
          <w:trHeight w:val="230"/>
        </w:trPr>
        <w:tc>
          <w:tcPr>
            <w:tcW w:w="4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325,706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257,213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913,171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791,420</w:t>
            </w:r>
          </w:p>
        </w:tc>
      </w:tr>
      <w:tr>
        <w:trPr>
          <w:trHeight w:val="229"/>
        </w:trPr>
        <w:tc>
          <w:tcPr>
            <w:tcW w:w="4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187,415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187,754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562,245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567,030</w:t>
            </w:r>
          </w:p>
        </w:tc>
      </w:tr>
      <w:tr>
        <w:trPr>
          <w:trHeight w:val="229"/>
        </w:trPr>
        <w:tc>
          <w:tcPr>
            <w:tcW w:w="45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Special charges, net</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12,282</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69,980</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34,399</w:t>
            </w: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971,720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819,920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2,844,376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2,501,809</w:t>
            </w: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818,028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491,319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1,987,285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1,463,406</w:t>
            </w: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79,592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85,179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229,559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239,423</w:t>
            </w:r>
          </w:p>
        </w:tc>
      </w:tr>
      <w:tr>
        <w:trPr>
          <w:trHeight w:val="230"/>
        </w:trPr>
        <w:tc>
          <w:tcPr>
            <w:tcW w:w="4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(72,295)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(50,870)</w:t>
            </w:r>
          </w:p>
        </w:tc>
      </w:tr>
      <w:tr>
        <w:trPr>
          <w:trHeight w:val="230"/>
        </w:trPr>
        <w:tc>
          <w:tcPr>
            <w:tcW w:w="45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9,581</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13,841</w:t>
            </w: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 expense (income)</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54,619</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68,328</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162,372</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202,394</w:t>
            </w: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763,409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422,991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1,824,913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1,261,012</w:t>
            </w: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244,891</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30,759</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345,309</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103,811</w:t>
            </w: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518,518</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392,232</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1,479,604</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1,157,201</w:t>
            </w: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4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common share – basic</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494,390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496,338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495,560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496,077</w:t>
            </w: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common share – diluted</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496,726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498,794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497,865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498,689</w:t>
            </w:r>
          </w:p>
        </w:tc>
      </w:tr>
      <w:tr>
        <w:trPr>
          <w:trHeight w:val="270"/>
        </w:trPr>
        <w:tc>
          <w:tcPr>
            <w:tcW w:w="4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0240"/>
          </w:cols>
          <w:pgMar w:left="340" w:top="1008" w:right="131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340" w:top="1008" w:right="1319" w:bottom="1440" w:gutter="0" w:footer="0" w:header="0"/>
          <w:type w:val="continuous"/>
        </w:sectPr>
      </w:pPr>
    </w:p>
    <w:bookmarkStart w:id="2" w:name="page3"/>
    <w:bookmarkEnd w:id="2"/>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880" w:type="dxa"/>
            <w:vAlign w:val="bottom"/>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0"/>
        </w:trPr>
        <w:tc>
          <w:tcPr>
            <w:tcW w:w="49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August 3, 2024</w:t>
            </w:r>
          </w:p>
        </w:tc>
      </w:tr>
      <w:tr>
        <w:trPr>
          <w:trHeight w:val="229"/>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518,518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392,232</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1,479,604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1,157,201</w:t>
            </w:r>
          </w:p>
        </w:tc>
      </w:tr>
      <w:tr>
        <w:trPr>
          <w:trHeight w:val="229"/>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175"/>
        </w:trPr>
        <w:tc>
          <w:tcPr>
            <w:tcW w:w="49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Change in fair value of derivative instruments designated as cash</w:t>
            </w: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43"/>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flow hedges, net</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7,426</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16,752</w:t>
            </w:r>
          </w:p>
        </w:tc>
      </w:tr>
      <w:tr>
        <w:trPr>
          <w:trHeight w:val="229"/>
        </w:trPr>
        <w:tc>
          <w:tcPr>
            <w:tcW w:w="4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Changes in pension plans, net</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r>
      <w:tr>
        <w:trPr>
          <w:trHeight w:val="223"/>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7,483</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18,584</w:t>
            </w: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513,065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399,715</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1,491,775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1,175,785</w:t>
            </w:r>
          </w:p>
        </w:tc>
      </w:tr>
      <w:tr>
        <w:trPr>
          <w:trHeight w:val="20"/>
        </w:trPr>
        <w:tc>
          <w:tcPr>
            <w:tcW w:w="4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200" w:type="dxa"/>
            <w:vAlign w:val="bottom"/>
          </w:tcPr>
          <w:p>
            <w:pPr>
              <w:spacing w:after="0"/>
              <w:rPr>
                <w:sz w:val="16"/>
                <w:szCs w:val="16"/>
                <w:color w:val="auto"/>
              </w:rPr>
            </w:pPr>
          </w:p>
        </w:tc>
        <w:tc>
          <w:tcPr>
            <w:tcW w:w="15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November 2, 2024</w:t>
            </w:r>
          </w:p>
        </w:tc>
        <w:tc>
          <w:tcPr>
            <w:tcW w:w="0" w:type="dxa"/>
            <w:vAlign w:val="bottom"/>
          </w:tcPr>
          <w:p>
            <w:pPr>
              <w:spacing w:after="0"/>
              <w:rPr>
                <w:sz w:val="1"/>
                <w:szCs w:val="1"/>
                <w:color w:val="auto"/>
              </w:rPr>
            </w:pPr>
          </w:p>
        </w:tc>
      </w:tr>
      <w:tr>
        <w:trPr>
          <w:trHeight w:val="23"/>
        </w:trPr>
        <w:tc>
          <w:tcPr>
            <w:tcW w:w="7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2,321,191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1,991,342</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investments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1,148,096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371,822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1,553,259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1,336,331</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1,596,853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1,447,687</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305,170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337,472</w:t>
            </w:r>
          </w:p>
        </w:tc>
        <w:tc>
          <w:tcPr>
            <w:tcW w:w="0" w:type="dxa"/>
            <w:vAlign w:val="bottom"/>
          </w:tcPr>
          <w:p>
            <w:pPr>
              <w:spacing w:after="0"/>
              <w:rPr>
                <w:sz w:val="1"/>
                <w:szCs w:val="1"/>
                <w:color w:val="auto"/>
              </w:rPr>
            </w:pPr>
          </w:p>
        </w:tc>
      </w:tr>
      <w:tr>
        <w:trPr>
          <w:trHeight w:val="207"/>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6,924,569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5,484,654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property, plant and equipment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3,299,278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3,415,550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26,945,180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26,909,775</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8,402,630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9,585,464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tax 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1,925,442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2,083,752</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695,502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749,082</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non-current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41,268,032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42,743,623</w:t>
            </w:r>
          </w:p>
        </w:tc>
        <w:tc>
          <w:tcPr>
            <w:tcW w:w="0" w:type="dxa"/>
            <w:vAlign w:val="bottom"/>
          </w:tcPr>
          <w:p>
            <w:pPr>
              <w:spacing w:after="0"/>
              <w:rPr>
                <w:sz w:val="1"/>
                <w:szCs w:val="1"/>
                <w:color w:val="auto"/>
              </w:rPr>
            </w:pPr>
          </w:p>
        </w:tc>
      </w:tr>
      <w:tr>
        <w:trPr>
          <w:trHeight w:val="212"/>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48,192,601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48,228,277</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490,723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487,457</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475,033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447,379</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current</w:t>
            </w:r>
          </w:p>
        </w:tc>
        <w:tc>
          <w:tcPr>
            <w:tcW w:w="2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399,636</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paper notes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548,665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547,738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1,464,617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1,106,070</w:t>
            </w:r>
          </w:p>
        </w:tc>
        <w:tc>
          <w:tcPr>
            <w:tcW w:w="0" w:type="dxa"/>
            <w:vAlign w:val="bottom"/>
          </w:tcPr>
          <w:p>
            <w:pPr>
              <w:spacing w:after="0"/>
              <w:rPr>
                <w:sz w:val="1"/>
                <w:szCs w:val="1"/>
                <w:color w:val="auto"/>
              </w:rPr>
            </w:pPr>
          </w:p>
        </w:tc>
      </w:tr>
      <w:tr>
        <w:trPr>
          <w:trHeight w:val="207"/>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2,979,038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2,988,280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8,139,938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6,634,313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2,371,536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2,624,392</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260,486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516,367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544,489</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11,127,721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10,063,680</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Preferred stock, $1.00 par value, 471,934 shares authorized, none outstanding</w:t>
            </w:r>
          </w:p>
        </w:tc>
        <w:tc>
          <w:tcPr>
            <w:tcW w:w="2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5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Common stock, $0.16 2/3 par value, 1,200,000,000 shares authorized, 491,955,436 shares outstanding</w:t>
            </w:r>
          </w:p>
        </w:tc>
        <w:tc>
          <w:tcPr>
            <w:tcW w:w="26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81,994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82,718</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(496,296,854 on November 2, 2024)</w:t>
            </w:r>
          </w:p>
        </w:tc>
        <w:tc>
          <w:tcPr>
            <w:tcW w:w="26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23,938,238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25,082,243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10,238,695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10,196,612</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(173,085)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(185,256)</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34,085,842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35,176,317</w:t>
            </w:r>
          </w:p>
        </w:tc>
        <w:tc>
          <w:tcPr>
            <w:tcW w:w="0" w:type="dxa"/>
            <w:vAlign w:val="bottom"/>
          </w:tcPr>
          <w:p>
            <w:pPr>
              <w:spacing w:after="0"/>
              <w:rPr>
                <w:sz w:val="1"/>
                <w:szCs w:val="1"/>
                <w:color w:val="auto"/>
              </w:rPr>
            </w:pPr>
          </w:p>
        </w:tc>
      </w:tr>
      <w:tr>
        <w:trPr>
          <w:trHeight w:val="212"/>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48,192,601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48,228,277</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00"/>
          </w:cols>
          <w:pgMar w:left="340" w:top="1008"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08" w:right="35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August 2, 2025</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38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00" w:type="dxa"/>
            <w:vAlign w:val="bottom"/>
          </w:tcPr>
          <w:p>
            <w:pPr>
              <w:spacing w:after="0"/>
              <w:rPr>
                <w:sz w:val="2"/>
                <w:szCs w:val="2"/>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2"/>
                <w:szCs w:val="2"/>
                <w:color w:val="auto"/>
              </w:rPr>
            </w:pPr>
          </w:p>
        </w:tc>
        <w:tc>
          <w:tcPr>
            <w:tcW w:w="126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16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MAY 3, 2025</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496,248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82,710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24,885,204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10,210,338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(167,632)</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518,518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$0.99 per share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stock under stock plans and other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(1,074,371)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AUGUST 2, 2025</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491,955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81,994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23,938,238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10,238,695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(173,085)</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5"/>
        </w:trPr>
        <w:tc>
          <w:tcPr>
            <w:tcW w:w="4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August 2, 2025</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38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00" w:type="dxa"/>
            <w:vAlign w:val="bottom"/>
          </w:tcPr>
          <w:p>
            <w:pPr>
              <w:spacing w:after="0"/>
              <w:rPr>
                <w:sz w:val="2"/>
                <w:szCs w:val="2"/>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2"/>
                <w:szCs w:val="2"/>
                <w:color w:val="auto"/>
              </w:rPr>
            </w:pPr>
          </w:p>
        </w:tc>
        <w:tc>
          <w:tcPr>
            <w:tcW w:w="126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16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NOVEMBER 2, 2024</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496,297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82,718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25,082,243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10,196,612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(185,256)</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1,479,604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$2.90 per share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(1,437,521)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stock under stock plans and other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12,171</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(1,483,060)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AUGUST 2, 2025</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491,955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81,994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23,938,238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10,238,695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(173,085)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40"/>
          </w:cols>
          <w:pgMar w:left="320" w:top="1008"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August 3, 2024</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36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200" w:type="dxa"/>
            <w:vAlign w:val="bottom"/>
          </w:tcPr>
          <w:p>
            <w:pPr>
              <w:spacing w:after="0"/>
              <w:rPr>
                <w:sz w:val="2"/>
                <w:szCs w:val="2"/>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2"/>
                <w:szCs w:val="2"/>
                <w:color w:val="auto"/>
              </w:rPr>
            </w:pPr>
          </w:p>
        </w:tc>
        <w:tc>
          <w:tcPr>
            <w:tcW w:w="126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16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MAY 4, 2024</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496,217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82,704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25,103,737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10,239,549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(177,201)</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$0.92 per share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stock under stock plans and other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7,483</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157"/>
              <w:spacing w:after="0"/>
              <w:rPr>
                <w:sz w:val="20"/>
                <w:szCs w:val="20"/>
                <w:color w:val="auto"/>
              </w:rPr>
            </w:pPr>
            <w:r>
              <w:rPr>
                <w:rFonts w:ascii="Times New Roman" w:cs="Times New Roman" w:eastAsia="Times New Roman" w:hAnsi="Times New Roman"/>
                <w:sz w:val="18"/>
                <w:szCs w:val="18"/>
                <w:color w:val="auto"/>
                <w:w w:val="99"/>
              </w:rPr>
              <w:t>(117,888)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AUGUST 3, 2024</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496,493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82,750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25,101,781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10,175,296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(169,718)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4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8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August 3, 2024</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36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200" w:type="dxa"/>
            <w:vAlign w:val="bottom"/>
          </w:tcPr>
          <w:p>
            <w:pPr>
              <w:spacing w:after="0"/>
              <w:rPr>
                <w:sz w:val="2"/>
                <w:szCs w:val="2"/>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2"/>
                <w:szCs w:val="2"/>
                <w:color w:val="auto"/>
              </w:rPr>
            </w:pPr>
          </w:p>
        </w:tc>
        <w:tc>
          <w:tcPr>
            <w:tcW w:w="126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16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OCTOBER 28, 2023</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496,262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82,712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25,313,914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10,356,798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(188,302)</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1,157,201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$2.70 per share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(1,338,703)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stock under stock plans and other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18,584</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157"/>
              <w:spacing w:after="0"/>
              <w:rPr>
                <w:sz w:val="20"/>
                <w:szCs w:val="20"/>
                <w:color w:val="auto"/>
              </w:rPr>
            </w:pPr>
            <w:r>
              <w:rPr>
                <w:rFonts w:ascii="Times New Roman" w:cs="Times New Roman" w:eastAsia="Times New Roman" w:hAnsi="Times New Roman"/>
                <w:sz w:val="18"/>
                <w:szCs w:val="18"/>
                <w:color w:val="auto"/>
                <w:w w:val="99"/>
              </w:rPr>
              <w:t>(520,252)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AUGUST 3, 2024</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496,493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82,750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25,101,781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10,175,296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(169,718)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00"/>
          </w:cols>
          <w:pgMar w:left="320" w:top="1046"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6" w:right="379" w:bottom="1440"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60" w:type="dxa"/>
            <w:vAlign w:val="bottom"/>
            <w:gridSpan w:val="4"/>
          </w:tcPr>
          <w:p>
            <w:pPr>
              <w:jc w:val="right"/>
              <w:ind w:right="111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7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7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260" w:type="dxa"/>
            <w:vAlign w:val="bottom"/>
          </w:tcPr>
          <w:p>
            <w:pPr>
              <w:spacing w:after="0"/>
              <w:rPr>
                <w:sz w:val="16"/>
                <w:szCs w:val="16"/>
                <w:color w:val="auto"/>
              </w:rPr>
            </w:pPr>
          </w:p>
        </w:tc>
        <w:tc>
          <w:tcPr>
            <w:tcW w:w="150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August 3, 2024</w:t>
            </w:r>
          </w:p>
        </w:tc>
      </w:tr>
      <w:tr>
        <w:trPr>
          <w:trHeight w:val="202"/>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1,479,604</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1,157,201</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operations: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3"/>
        </w:trPr>
        <w:tc>
          <w:tcPr>
            <w:tcW w:w="7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301,323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265,530</w:t>
            </w:r>
          </w:p>
        </w:tc>
      </w:tr>
      <w:tr>
        <w:trPr>
          <w:trHeight w:val="21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1,202,179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1,318,325</w:t>
            </w:r>
          </w:p>
        </w:tc>
      </w:tr>
      <w:tr>
        <w:trPr>
          <w:trHeight w:val="213"/>
        </w:trPr>
        <w:tc>
          <w:tcPr>
            <w:tcW w:w="7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235,108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192,262</w:t>
            </w:r>
          </w:p>
        </w:tc>
      </w:tr>
      <w:tr>
        <w:trPr>
          <w:trHeight w:val="21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(269,566)</w:t>
            </w:r>
          </w:p>
        </w:tc>
      </w:tr>
      <w:tr>
        <w:trPr>
          <w:trHeight w:val="213"/>
        </w:trPr>
        <w:tc>
          <w:tcPr>
            <w:tcW w:w="7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23,826</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114,134</w:t>
            </w:r>
          </w:p>
        </w:tc>
      </w:tr>
      <w:tr>
        <w:trPr>
          <w:trHeight w:val="207"/>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adjustments</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1,631,788</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1,644,511</w:t>
            </w:r>
          </w:p>
        </w:tc>
      </w:tr>
      <w:tr>
        <w:trPr>
          <w:trHeight w:val="212"/>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3,111,392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2,801,712</w:t>
            </w:r>
          </w:p>
        </w:tc>
      </w:tr>
      <w:tr>
        <w:trPr>
          <w:trHeight w:val="19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Purchases of short-term available-for-sale investments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(1,150,240)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(438,901)</w:t>
            </w: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Maturities of short-term available-for-sale investments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372,778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(318,399)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(565,053)</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sale of property, plant and equipment, net</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58,892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Payments for acquisitions, net of cash acquired</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(13,595)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10,710</w:t>
            </w:r>
          </w:p>
        </w:tc>
      </w:tr>
      <w:tr>
        <w:trPr>
          <w:trHeight w:val="212"/>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(1,096,216)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(993,244)</w:t>
            </w:r>
          </w:p>
        </w:tc>
      </w:tr>
      <w:tr>
        <w:trPr>
          <w:trHeight w:val="19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debt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1,490,785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1,087,856</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Debt repayments</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(399,998)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commercial paper notes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6,867,508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7,709,492</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Payments of commercial paper notes</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(6,866,581)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(7,709,273)</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(1,484,166)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(520,712)</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Dividend payments to shareholders</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(1,437,521)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(1,338,703)</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employee stock plans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116,355</w:t>
            </w:r>
          </w:p>
        </w:tc>
      </w:tr>
      <w:tr>
        <w:trPr>
          <w:trHeight w:val="213"/>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40,317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(5,512)</w:t>
            </w:r>
          </w:p>
        </w:tc>
      </w:tr>
      <w:tr>
        <w:trPr>
          <w:trHeight w:val="212"/>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(1,685,327)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(660,497)</w:t>
            </w:r>
          </w:p>
        </w:tc>
      </w:tr>
      <w:tr>
        <w:trPr>
          <w:trHeight w:val="207"/>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329,849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1,147,971</w:t>
            </w:r>
          </w:p>
        </w:tc>
      </w:tr>
      <w:tr>
        <w:trPr>
          <w:trHeight w:val="21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1,991,342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958,061</w:t>
            </w:r>
          </w:p>
        </w:tc>
      </w:tr>
      <w:tr>
        <w:trPr>
          <w:trHeight w:val="207"/>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2,321,191</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2,106,032</w:t>
            </w:r>
          </w:p>
        </w:tc>
      </w:tr>
      <w:tr>
        <w:trPr>
          <w:trHeight w:val="23"/>
        </w:trPr>
        <w:tc>
          <w:tcPr>
            <w:tcW w:w="7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AUGUST 2, 2025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tabular amounts in thousands except per share amounts and percentages)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175" w:lineRule="exact"/>
        <w:rPr>
          <w:sz w:val="20"/>
          <w:szCs w:val="20"/>
          <w:color w:val="auto"/>
        </w:rPr>
      </w:pPr>
    </w:p>
    <w:p>
      <w:pPr>
        <w:ind w:right="60" w:firstLine="243"/>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Analog Devices, Inc.’s (the Company) Annual Report on Form 10-K for the fiscal year ended November 2, 2024 (fiscal 2024) and related notes. The results of operations for the interim periods shown in this report are not necessarily indicative of the results that may be expected for the fiscal year ending November 1, 2025 (fiscal 2025) or any future period.</w:t>
      </w:r>
    </w:p>
    <w:p>
      <w:pPr>
        <w:spacing w:after="0" w:line="129" w:lineRule="exact"/>
        <w:rPr>
          <w:sz w:val="20"/>
          <w:szCs w:val="20"/>
          <w:color w:val="auto"/>
        </w:rPr>
      </w:pPr>
    </w:p>
    <w:p>
      <w:pPr>
        <w:ind w:right="220" w:firstLine="243"/>
        <w:spacing w:after="0" w:line="266" w:lineRule="auto"/>
        <w:rPr>
          <w:sz w:val="20"/>
          <w:szCs w:val="20"/>
          <w:color w:val="auto"/>
        </w:rPr>
      </w:pPr>
      <w:r>
        <w:rPr>
          <w:rFonts w:ascii="Times New Roman" w:cs="Times New Roman" w:eastAsia="Times New Roman" w:hAnsi="Times New Roman"/>
          <w:sz w:val="18"/>
          <w:szCs w:val="18"/>
          <w:color w:val="auto"/>
        </w:rPr>
        <w:t>The Company has a 52-53 week fiscal year that ends on the Saturday closest to the last day in October. Fiscal 2025 is a 52-week fiscal year and fiscal 2024 was a 53-week fiscal year. The additional week in fiscal 2024 was included in the first quarter ended February 3, 2024. Therefore, the first nine months of fiscal 2025 included one less week of operations as compared to the first nine months of fiscal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Shareholders’ Equity</w:t>
      </w:r>
    </w:p>
    <w:p>
      <w:pPr>
        <w:spacing w:after="0" w:line="108"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As of August 2, 2025, the Company’s Board of Directors had authorized the repurchase of an aggregate of $26.7 billion of its common stock under its common stock repurchase program and $10.3 billion remained available for repurchases under the program.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Accumulated Other Comprehensive (Loss) Income</w:t>
      </w:r>
    </w:p>
    <w:p>
      <w:pPr>
        <w:spacing w:after="0" w:line="175" w:lineRule="exact"/>
        <w:rPr>
          <w:sz w:val="20"/>
          <w:szCs w:val="20"/>
          <w:color w:val="auto"/>
        </w:rPr>
      </w:pPr>
    </w:p>
    <w:p>
      <w:pPr>
        <w:ind w:right="60" w:firstLine="405"/>
        <w:spacing w:after="0" w:line="275" w:lineRule="auto"/>
        <w:rPr>
          <w:sz w:val="20"/>
          <w:szCs w:val="20"/>
          <w:color w:val="auto"/>
        </w:rPr>
      </w:pPr>
      <w:r>
        <w:rPr>
          <w:rFonts w:ascii="Times New Roman" w:cs="Times New Roman" w:eastAsia="Times New Roman" w:hAnsi="Times New Roman"/>
          <w:sz w:val="18"/>
          <w:szCs w:val="18"/>
          <w:color w:val="auto"/>
        </w:rPr>
        <w:t>The following table provides the changes in accumulated other comprehensive (loss) income (AOCI) by component and the related tax effects during the first nine months of fiscal 2025.</w:t>
      </w:r>
    </w:p>
    <w:tbl>
      <w:tblPr>
        <w:tblLayout w:type="fixed"/>
        <w:tblInd w:w="0" w:type="dxa"/>
        <w:tblCellMar>
          <w:top w:w="0" w:type="dxa"/>
          <w:left w:w="0" w:type="dxa"/>
          <w:bottom w:w="0" w:type="dxa"/>
          <w:right w:w="0" w:type="dxa"/>
        </w:tblCellMar>
      </w:tblPr>
      <w:tr>
        <w:trPr>
          <w:trHeight w:val="165"/>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5" w:lineRule="exact"/>
              <w:rPr>
                <w:sz w:val="20"/>
                <w:szCs w:val="20"/>
                <w:color w:val="auto"/>
              </w:rPr>
            </w:pPr>
            <w:r>
              <w:rPr>
                <w:rFonts w:ascii="Times New Roman" w:cs="Times New Roman" w:eastAsia="Times New Roman" w:hAnsi="Times New Roman"/>
                <w:sz w:val="16"/>
                <w:szCs w:val="16"/>
                <w:b w:val="1"/>
                <w:bCs w:val="1"/>
                <w:color w:val="auto"/>
              </w:rPr>
              <w:t>Foreign</w:t>
            </w: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holding</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130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gains/losses on</w:t>
            </w:r>
          </w:p>
        </w:tc>
        <w:tc>
          <w:tcPr>
            <w:tcW w:w="12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Pension plans</w:t>
            </w:r>
          </w:p>
        </w:tc>
        <w:tc>
          <w:tcPr>
            <w:tcW w:w="300" w:type="dxa"/>
            <w:vAlign w:val="bottom"/>
          </w:tcPr>
          <w:p>
            <w:pPr>
              <w:spacing w:after="0"/>
              <w:rPr>
                <w:sz w:val="14"/>
                <w:szCs w:val="14"/>
                <w:color w:val="auto"/>
              </w:rPr>
            </w:pPr>
          </w:p>
        </w:tc>
        <w:tc>
          <w:tcPr>
            <w:tcW w:w="100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derivatives</w:t>
            </w: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(71,511)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(85,202)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(185,256)</w:t>
            </w:r>
          </w:p>
        </w:tc>
        <w:tc>
          <w:tcPr>
            <w:tcW w:w="0" w:type="dxa"/>
            <w:vAlign w:val="bottom"/>
          </w:tcPr>
          <w:p>
            <w:pPr>
              <w:spacing w:after="0"/>
              <w:rPr>
                <w:sz w:val="1"/>
                <w:szCs w:val="1"/>
                <w:color w:val="auto"/>
              </w:rPr>
            </w:pPr>
          </w:p>
        </w:tc>
      </w:tr>
      <w:tr>
        <w:trPr>
          <w:trHeight w:val="229"/>
        </w:trPr>
        <w:tc>
          <w:tcPr>
            <w:tcW w:w="6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Amounts reclassified out of other comprehensive income</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13,036</w:t>
            </w:r>
          </w:p>
        </w:tc>
        <w:tc>
          <w:tcPr>
            <w:tcW w:w="0" w:type="dxa"/>
            <w:vAlign w:val="bottom"/>
          </w:tcPr>
          <w:p>
            <w:pPr>
              <w:spacing w:after="0"/>
              <w:rPr>
                <w:sz w:val="1"/>
                <w:szCs w:val="1"/>
                <w:color w:val="auto"/>
              </w:rPr>
            </w:pPr>
          </w:p>
        </w:tc>
      </w:tr>
      <w:tr>
        <w:trPr>
          <w:trHeight w:val="230"/>
        </w:trPr>
        <w:tc>
          <w:tcPr>
            <w:tcW w:w="6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effects</w:t>
            </w:r>
          </w:p>
        </w:tc>
        <w:tc>
          <w:tcPr>
            <w:tcW w:w="16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0" w:type="dxa"/>
            <w:vAlign w:val="bottom"/>
          </w:tcPr>
          <w:p>
            <w:pPr>
              <w:spacing w:after="0"/>
              <w:rPr>
                <w:sz w:val="1"/>
                <w:szCs w:val="1"/>
                <w:color w:val="auto"/>
              </w:rPr>
            </w:pPr>
          </w:p>
        </w:tc>
      </w:tr>
      <w:tr>
        <w:trPr>
          <w:trHeight w:val="223"/>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12,171</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August 2, 2025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(72,059)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(74,065)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(173,085)</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amounts reclassified out of AOCI into the Condensed Consolidated Statements of Income and the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Equity with presentation location during each period were as follows: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tbl>
      <w:tblPr>
        <w:tblLayout w:type="fixed"/>
        <w:tblInd w:w="2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56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40" w:type="dxa"/>
            <w:vAlign w:val="bottom"/>
            <w:vMerge w:val="restart"/>
          </w:tcPr>
          <w:p>
            <w:pPr>
              <w:ind w:left="20"/>
              <w:spacing w:after="0" w:line="199" w:lineRule="exact"/>
              <w:rPr>
                <w:sz w:val="20"/>
                <w:szCs w:val="20"/>
                <w:color w:val="auto"/>
              </w:rPr>
            </w:pPr>
            <w:r>
              <w:rPr>
                <w:rFonts w:ascii="Times New Roman" w:cs="Times New Roman" w:eastAsia="Times New Roman" w:hAnsi="Times New Roman"/>
                <w:sz w:val="18"/>
                <w:szCs w:val="18"/>
                <w:b w:val="1"/>
                <w:bCs w:val="1"/>
                <w:color w:val="auto"/>
              </w:rPr>
              <w:t>Comprehensive (Loss) Income</w:t>
            </w: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0" w:type="dxa"/>
            <w:vAlign w:val="bottom"/>
          </w:tcPr>
          <w:p>
            <w:pPr>
              <w:spacing w:after="0"/>
              <w:rPr>
                <w:sz w:val="1"/>
                <w:szCs w:val="1"/>
                <w:color w:val="auto"/>
              </w:rPr>
            </w:pPr>
          </w:p>
        </w:tc>
      </w:tr>
      <w:tr>
        <w:trPr>
          <w:trHeight w:val="156"/>
        </w:trPr>
        <w:tc>
          <w:tcPr>
            <w:tcW w:w="31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w:t>
            </w:r>
          </w:p>
        </w:tc>
        <w:tc>
          <w:tcPr>
            <w:tcW w:w="160" w:type="dxa"/>
            <w:vAlign w:val="bottom"/>
          </w:tcPr>
          <w:p>
            <w:pPr>
              <w:spacing w:after="0"/>
              <w:rPr>
                <w:sz w:val="21"/>
                <w:szCs w:val="21"/>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160" w:type="dxa"/>
            <w:vAlign w:val="bottom"/>
          </w:tcPr>
          <w:p>
            <w:pPr>
              <w:spacing w:after="0"/>
              <w:rPr>
                <w:sz w:val="21"/>
                <w:szCs w:val="21"/>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4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16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00" w:type="dxa"/>
            <w:vAlign w:val="bottom"/>
          </w:tcPr>
          <w:p>
            <w:pPr>
              <w:spacing w:after="0"/>
              <w:rPr>
                <w:sz w:val="21"/>
                <w:szCs w:val="21"/>
                <w:color w:val="auto"/>
              </w:rPr>
            </w:pPr>
          </w:p>
        </w:tc>
        <w:tc>
          <w:tcPr>
            <w:tcW w:w="2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40" w:type="dxa"/>
            <w:vAlign w:val="bottom"/>
            <w:tcBorders>
              <w:top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holding gains/losses on derivatives:</w:t>
            </w: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Currency forwards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00" w:type="dxa"/>
            <w:vAlign w:val="bottom"/>
          </w:tcPr>
          <w:p>
            <w:pPr>
              <w:spacing w:after="0"/>
              <w:rPr>
                <w:sz w:val="19"/>
                <w:szCs w:val="19"/>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9"/>
                <w:szCs w:val="19"/>
                <w:color w:val="auto"/>
              </w:rPr>
            </w:pPr>
          </w:p>
        </w:tc>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0" w:type="dxa"/>
            <w:vAlign w:val="bottom"/>
          </w:tcPr>
          <w:p>
            <w:pPr>
              <w:spacing w:after="0"/>
              <w:rPr>
                <w:sz w:val="1"/>
                <w:szCs w:val="1"/>
                <w:color w:val="auto"/>
              </w:rPr>
            </w:pPr>
          </w:p>
        </w:tc>
      </w:tr>
      <w:tr>
        <w:trPr>
          <w:trHeight w:val="175"/>
        </w:trPr>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marketing, general and</w:t>
            </w: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100" w:type="dxa"/>
            <w:vAlign w:val="bottom"/>
          </w:tcPr>
          <w:p>
            <w:pPr>
              <w:spacing w:after="0"/>
              <w:rPr>
                <w:sz w:val="21"/>
                <w:szCs w:val="21"/>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11,193</w:t>
            </w:r>
          </w:p>
        </w:tc>
        <w:tc>
          <w:tcPr>
            <w:tcW w:w="100" w:type="dxa"/>
            <w:vAlign w:val="bottom"/>
            <w:shd w:val="clear" w:color="auto" w:fill="CCEEFF"/>
          </w:tcPr>
          <w:p>
            <w:pPr>
              <w:spacing w:after="0"/>
              <w:rPr>
                <w:sz w:val="19"/>
                <w:szCs w:val="19"/>
                <w:color w:val="auto"/>
              </w:rPr>
            </w:pPr>
          </w:p>
        </w:tc>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23"/>
        </w:trPr>
        <w:tc>
          <w:tcPr>
            <w:tcW w:w="3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100" w:type="dxa"/>
            <w:vAlign w:val="bottom"/>
            <w:tcBorders>
              <w:bottom w:val="single" w:sz="8" w:color="CCEEFF"/>
            </w:tcBorders>
          </w:tcPr>
          <w:p>
            <w:pPr>
              <w:spacing w:after="0"/>
              <w:rPr>
                <w:sz w:val="19"/>
                <w:szCs w:val="19"/>
                <w:color w:val="auto"/>
              </w:rPr>
            </w:pPr>
          </w:p>
        </w:tc>
        <w:tc>
          <w:tcPr>
            <w:tcW w:w="2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before tax</w:t>
            </w:r>
          </w:p>
        </w:tc>
        <w:tc>
          <w:tcPr>
            <w:tcW w:w="0" w:type="dxa"/>
            <w:vAlign w:val="bottom"/>
          </w:tcPr>
          <w:p>
            <w:pPr>
              <w:spacing w:after="0"/>
              <w:rPr>
                <w:sz w:val="1"/>
                <w:szCs w:val="1"/>
                <w:color w:val="auto"/>
              </w:rPr>
            </w:pPr>
          </w:p>
        </w:tc>
      </w:tr>
      <w:tr>
        <w:trPr>
          <w:trHeight w:val="223"/>
        </w:trPr>
        <w:tc>
          <w:tcPr>
            <w:tcW w:w="3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shd w:val="clear" w:color="auto" w:fill="CCEEFF"/>
          </w:tcPr>
          <w:p>
            <w:pPr>
              <w:spacing w:after="0"/>
              <w:rPr>
                <w:sz w:val="19"/>
                <w:szCs w:val="19"/>
                <w:color w:val="auto"/>
              </w:rPr>
            </w:pPr>
          </w:p>
        </w:tc>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w:t>
            </w:r>
          </w:p>
        </w:tc>
        <w:tc>
          <w:tcPr>
            <w:tcW w:w="0" w:type="dxa"/>
            <w:vAlign w:val="bottom"/>
          </w:tcPr>
          <w:p>
            <w:pPr>
              <w:spacing w:after="0"/>
              <w:rPr>
                <w:sz w:val="1"/>
                <w:szCs w:val="1"/>
                <w:color w:val="auto"/>
              </w:rPr>
            </w:pPr>
          </w:p>
        </w:tc>
      </w:tr>
      <w:tr>
        <w:trPr>
          <w:trHeight w:val="223"/>
        </w:trPr>
        <w:tc>
          <w:tcPr>
            <w:tcW w:w="3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100" w:type="dxa"/>
            <w:vAlign w:val="bottom"/>
          </w:tcPr>
          <w:p>
            <w:pPr>
              <w:spacing w:after="0"/>
              <w:rPr>
                <w:sz w:val="19"/>
                <w:szCs w:val="19"/>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6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Amortization of pension components included in the computation of net periodic pension cost:</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losses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Total amounts reclassified out of AOCI,</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7,309</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10,893</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w:t>
            </w:r>
          </w:p>
        </w:tc>
        <w:tc>
          <w:tcPr>
            <w:tcW w:w="10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Earnings Per Share</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64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518,518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392,232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1,479,604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1,157,201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shares:</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5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496,077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68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tcBorders>
              <w:top w:val="single" w:sz="8" w:color="CCEEFF"/>
            </w:tcBorders>
            <w:vMerge w:val="continue"/>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2.99</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shares:</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494,390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496,338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Assumed exercise of common stock equivalents</w:t>
            </w:r>
          </w:p>
        </w:tc>
        <w:tc>
          <w:tcPr>
            <w:tcW w:w="5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common and common equivalent shares</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496,726</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498,794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497,865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5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Anti-dilutive shares related to:</w:t>
            </w:r>
          </w:p>
        </w:tc>
        <w:tc>
          <w:tcPr>
            <w:tcW w:w="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stock-based awards</w:t>
            </w: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1"/>
        </w:trPr>
        <w:tc>
          <w:tcPr>
            <w:tcW w:w="5080" w:type="dxa"/>
            <w:vAlign w:val="bottom"/>
          </w:tcPr>
          <w:p>
            <w:pPr>
              <w:spacing w:after="0"/>
              <w:rPr>
                <w:sz w:val="24"/>
                <w:szCs w:val="24"/>
                <w:color w:val="auto"/>
              </w:rPr>
            </w:pPr>
          </w:p>
        </w:tc>
        <w:tc>
          <w:tcPr>
            <w:tcW w:w="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5 – Special Charges, Net</w:t>
      </w:r>
    </w:p>
    <w:p>
      <w:pPr>
        <w:spacing w:after="0" w:line="175" w:lineRule="exact"/>
        <w:rPr>
          <w:sz w:val="20"/>
          <w:szCs w:val="20"/>
          <w:color w:val="auto"/>
        </w:rPr>
      </w:pPr>
    </w:p>
    <w:p>
      <w:pPr>
        <w:ind w:right="240" w:firstLine="445"/>
        <w:spacing w:after="0" w:line="271" w:lineRule="auto"/>
        <w:rPr>
          <w:sz w:val="20"/>
          <w:szCs w:val="20"/>
          <w:color w:val="auto"/>
        </w:rPr>
      </w:pPr>
      <w:r>
        <w:rPr>
          <w:rFonts w:ascii="Times New Roman" w:cs="Times New Roman" w:eastAsia="Times New Roman" w:hAnsi="Times New Roman"/>
          <w:sz w:val="18"/>
          <w:szCs w:val="18"/>
          <w:color w:val="auto"/>
        </w:rPr>
        <w:t>Liabilities related to special charges, net are included in Accrued liabilities in the Condensed Consolidated Balance Sheets. The activity is detailed below:</w:t>
      </w: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926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Accrued Special Charges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Global Repositioning Actions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November 2, 2024</w:t>
            </w:r>
          </w:p>
        </w:tc>
        <w:tc>
          <w:tcPr>
            <w:tcW w:w="72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severance costs, net</w:t>
            </w:r>
          </w:p>
        </w:tc>
        <w:tc>
          <w:tcPr>
            <w:tcW w:w="7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56,334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payments</w:t>
            </w:r>
          </w:p>
        </w:tc>
        <w:tc>
          <w:tcPr>
            <w:tcW w:w="7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February 1, 2025</w:t>
            </w:r>
          </w:p>
        </w:tc>
        <w:tc>
          <w:tcPr>
            <w:tcW w:w="7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67,302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severance costs, net</w:t>
            </w:r>
          </w:p>
        </w:tc>
        <w:tc>
          <w:tcPr>
            <w:tcW w:w="7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9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Severance payments</w:t>
            </w:r>
          </w:p>
        </w:tc>
        <w:tc>
          <w:tcPr>
            <w:tcW w:w="7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(51,448)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May 3, 2025</w:t>
            </w:r>
          </w:p>
        </w:tc>
        <w:tc>
          <w:tcPr>
            <w:tcW w:w="72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92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Employee severance costs, net</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9260" w:type="dxa"/>
            <w:vAlign w:val="bottom"/>
            <w:gridSpan w:val="2"/>
            <w:vMerge w:val="continue"/>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2,444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payments</w:t>
            </w:r>
          </w:p>
        </w:tc>
        <w:tc>
          <w:tcPr>
            <w:tcW w:w="7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August 2, 2025</w:t>
            </w:r>
          </w:p>
        </w:tc>
        <w:tc>
          <w:tcPr>
            <w:tcW w:w="7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The Company recorded net special charges of $70.0 million as part of its Global Repositioning Actions in the nine months ended August 2, 2025. The Global Repositioning Actions were part of a transformation initiative aimed at aligning the Company’s enterprise strategy, organizational design and streamlining its operations to achieve its long-term strategic plan. The special charges include severance costs, in accordance with the Company’s ongoing benefit plan or statutory requirements at foreign locations, related to the termination of certain employees in manufacturing, engineering and selling, marketing, general and administrative roles.</w:t>
      </w:r>
    </w:p>
    <w:p>
      <w:pPr>
        <w:spacing w:after="0" w:line="129" w:lineRule="exact"/>
        <w:rPr>
          <w:sz w:val="20"/>
          <w:szCs w:val="20"/>
          <w:color w:val="auto"/>
        </w:rPr>
      </w:pPr>
    </w:p>
    <w:p>
      <w:pPr>
        <w:ind w:right="280" w:firstLine="445"/>
        <w:spacing w:after="0" w:line="282" w:lineRule="auto"/>
        <w:rPr>
          <w:sz w:val="20"/>
          <w:szCs w:val="20"/>
          <w:color w:val="auto"/>
        </w:rPr>
      </w:pPr>
      <w:r>
        <w:rPr>
          <w:rFonts w:ascii="Times New Roman" w:cs="Times New Roman" w:eastAsia="Times New Roman" w:hAnsi="Times New Roman"/>
          <w:sz w:val="18"/>
          <w:szCs w:val="18"/>
          <w:color w:val="auto"/>
        </w:rPr>
        <w:t>During the second quarter of fiscal 2025, the Company completed the sale of its facility in Milpitas, CA, that was previously classified as held for sale, for approximately $39.7 million, net of selling costs, which resulted in an immaterial loss recorded in Special charges, net.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Trends by End Market</w:t>
      </w:r>
    </w:p>
    <w:p>
      <w:pPr>
        <w:spacing w:after="0" w:line="173"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The following tables summarize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and the Company’s methodology evolves and improves,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8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
        </w:trPr>
        <w:tc>
          <w:tcPr>
            <w:tcW w:w="4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0"/>
        </w:trPr>
        <w:tc>
          <w:tcPr>
            <w:tcW w:w="4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200" w:type="dxa"/>
            <w:vAlign w:val="bottom"/>
            <w:tcBorders>
              <w:bottom w:val="single" w:sz="8" w:color="auto"/>
            </w:tcBorders>
          </w:tcPr>
          <w:p>
            <w:pPr>
              <w:spacing w:after="0"/>
              <w:rPr>
                <w:sz w:val="16"/>
                <w:szCs w:val="16"/>
                <w:color w:val="auto"/>
              </w:rPr>
            </w:pPr>
          </w:p>
        </w:tc>
      </w:tr>
      <w:tr>
        <w:trPr>
          <w:trHeight w:val="196"/>
        </w:trPr>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Y/Y%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7"/>
                <w:szCs w:val="17"/>
                <w:color w:val="auto"/>
              </w:rPr>
            </w:pPr>
          </w:p>
        </w:tc>
      </w:tr>
      <w:tr>
        <w:trPr>
          <w:trHeight w:val="229"/>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1,285,041</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1,045,291</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850,619</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694,905</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372,197</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306,832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372,491</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265,181</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2,880,348</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2,312,209</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gridSpan w:val="4"/>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r>
        <w:trPr>
          <w:trHeight w:val="396"/>
        </w:trPr>
        <w:tc>
          <w:tcPr>
            <w:tcW w:w="4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
        </w:trPr>
        <w:tc>
          <w:tcPr>
            <w:tcW w:w="4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0"/>
        </w:trPr>
        <w:tc>
          <w:tcPr>
            <w:tcW w:w="4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200" w:type="dxa"/>
            <w:vAlign w:val="bottom"/>
            <w:tcBorders>
              <w:bottom w:val="single" w:sz="8" w:color="auto"/>
            </w:tcBorders>
          </w:tcPr>
          <w:p>
            <w:pPr>
              <w:spacing w:after="0"/>
              <w:rPr>
                <w:sz w:val="16"/>
                <w:szCs w:val="16"/>
                <w:color w:val="auto"/>
              </w:rPr>
            </w:pPr>
          </w:p>
        </w:tc>
      </w:tr>
      <w:tr>
        <w:trPr>
          <w:trHeight w:val="196"/>
        </w:trPr>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Y/Y%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7"/>
                <w:szCs w:val="17"/>
                <w:color w:val="auto"/>
              </w:rPr>
            </w:pPr>
          </w:p>
        </w:tc>
      </w:tr>
      <w:tr>
        <w:trPr>
          <w:trHeight w:val="229"/>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3,502,751</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3,223,111</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2,445,391</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2,136,173</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1,009,614</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817,436</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985,834</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807,232</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7,943,590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6,983,952</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The sum of the individual percentages may not equal the total due to rounding.</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Sales Channel</w:t>
      </w:r>
    </w:p>
    <w:p>
      <w:pPr>
        <w:spacing w:after="0" w:line="92" w:lineRule="exact"/>
        <w:rPr>
          <w:sz w:val="20"/>
          <w:szCs w:val="20"/>
          <w:color w:val="auto"/>
        </w:rPr>
      </w:pPr>
    </w:p>
    <w:p>
      <w:pPr>
        <w:ind w:right="140" w:firstLine="405"/>
        <w:spacing w:after="0" w:line="260" w:lineRule="auto"/>
        <w:rPr>
          <w:sz w:val="20"/>
          <w:szCs w:val="20"/>
          <w:color w:val="auto"/>
        </w:rPr>
      </w:pPr>
      <w:r>
        <w:rPr>
          <w:rFonts w:ascii="Times New Roman" w:cs="Times New Roman" w:eastAsia="Times New Roman" w:hAnsi="Times New Roman"/>
          <w:sz w:val="18"/>
          <w:szCs w:val="18"/>
          <w:color w:val="auto"/>
        </w:rPr>
        <w:t>The following tables summarize revenue by sales channel. The Company sells its products globally through a direct sales force, third-party distributors, independent sales representatives and via its website. Distributors are customers that buy products with the intention of reselling them. Direct customers are non-distributor customers and consist primarily of original equipment manufacturers. Other customers include the U.S. government, government prime contractors and certain commercial customers for which revenue is recorded over time.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200" w:type="dxa"/>
            <w:vAlign w:val="bottom"/>
            <w:tcBorders>
              <w:bottom w:val="single" w:sz="8" w:color="auto"/>
            </w:tcBorders>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45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Channel</w:t>
            </w:r>
          </w:p>
        </w:tc>
        <w:tc>
          <w:tcPr>
            <w:tcW w:w="30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Distributors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1,592,407</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1,332,244</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 customers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1,240,924</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940,317</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47,017</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39,648</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2,880,348</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2,312,209</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41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200" w:type="dxa"/>
            <w:vAlign w:val="bottom"/>
            <w:tcBorders>
              <w:bottom w:val="single" w:sz="8" w:color="auto"/>
            </w:tcBorders>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45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Channel</w:t>
            </w:r>
          </w:p>
        </w:tc>
        <w:tc>
          <w:tcPr>
            <w:tcW w:w="30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Distributors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4,447,959</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4,115,836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Direct customers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3,386,571</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2,753,885</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109,060</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114,231</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7,943,590</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6,983,952</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The sum of the individual percentages may not equal the total due to rounding.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Fair Value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Recorded at Fair Value on a Recurring Basis</w:t>
      </w:r>
    </w:p>
    <w:p>
      <w:pPr>
        <w:spacing w:after="0" w:line="175"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The tables below, set forth by level, present the Company’s financial assets and liabilities, excluding accrued interest components that were accounted for at fair value on a recurring basis as of August 2, 2025 and November 2, 2024. The tables exclude cash on hand and assets and liabilities that are measured at historical cost or any basis other than fair value. As of August 2, 2025 and November 2, 2024, the Company held $1.4 billion and $1.4 billion, respectively, of cash that is excluded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from the tables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 Value Measurement at</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7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Markets for Identical</w:t>
            </w:r>
          </w:p>
        </w:tc>
        <w:tc>
          <w:tcPr>
            <w:tcW w:w="200" w:type="dxa"/>
            <w:vAlign w:val="bottom"/>
          </w:tcPr>
          <w:p>
            <w:pPr>
              <w:spacing w:after="0"/>
              <w:rPr>
                <w:sz w:val="15"/>
                <w:szCs w:val="15"/>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4"/>
                <w:szCs w:val="14"/>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7"/>
                <w:szCs w:val="17"/>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7"/>
                <w:szCs w:val="17"/>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5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Government and institutional 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555,878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555,878</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Corporate obligations (1)</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396,109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396,109</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 (2):</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Corporate obligations (1)</w:t>
            </w: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654,391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654,391</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Bank obligations (1)</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493,705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493,705</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 (3)</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10,313</w:t>
            </w:r>
          </w:p>
        </w:tc>
        <w:tc>
          <w:tcPr>
            <w:tcW w:w="0" w:type="dxa"/>
            <w:vAlign w:val="bottom"/>
          </w:tcPr>
          <w:p>
            <w:pPr>
              <w:spacing w:after="0"/>
              <w:rPr>
                <w:sz w:val="1"/>
                <w:szCs w:val="1"/>
                <w:color w:val="auto"/>
              </w:rPr>
            </w:pP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100,559</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1,554,518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2,210,955</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 (3)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10,535</w:t>
            </w:r>
          </w:p>
        </w:tc>
        <w:tc>
          <w:tcPr>
            <w:tcW w:w="0" w:type="dxa"/>
            <w:vAlign w:val="bottom"/>
          </w:tcPr>
          <w:p>
            <w:pPr>
              <w:spacing w:after="0"/>
              <w:rPr>
                <w:sz w:val="1"/>
                <w:szCs w:val="1"/>
                <w:color w:val="auto"/>
              </w:rPr>
            </w:pP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derivatives (4)</w:t>
            </w: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17,404</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27,939</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of the Company’s investments classified as available-for-sale as of August 2, 2025 was $1.6 billion.</w:t>
      </w:r>
    </w:p>
    <w:p>
      <w:pPr>
        <w:spacing w:after="0" w:line="27" w:lineRule="exact"/>
        <w:rPr>
          <w:rFonts w:ascii="Times New Roman" w:cs="Times New Roman" w:eastAsia="Times New Roman" w:hAnsi="Times New Roman"/>
          <w:sz w:val="18"/>
          <w:szCs w:val="18"/>
          <w:color w:val="auto"/>
        </w:rPr>
      </w:pPr>
    </w:p>
    <w:p>
      <w:pPr>
        <w:ind w:left="660" w:right="380" w:hanging="328"/>
        <w:spacing w:after="0" w:line="250" w:lineRule="auto"/>
        <w:tabs>
          <w:tab w:leader="none" w:pos="6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Available-for-sale securities are classified as current assets on the Condensed Consolidated Balance Sheets if the securities are available to be converted into cash to fund current operations.</w:t>
      </w:r>
    </w:p>
    <w:p>
      <w:pPr>
        <w:ind w:left="660" w:right="340" w:hanging="328"/>
        <w:spacing w:after="0" w:line="250" w:lineRule="auto"/>
        <w:tabs>
          <w:tab w:leader="none" w:pos="6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master netting arrangements by counterparty with respect to derivative contracts. See Note 8,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in these Notes to Condensed Consolidated Financial Statements for more information related to the Company’s master netting arrangements.</w:t>
      </w:r>
    </w:p>
    <w:p>
      <w:pPr>
        <w:ind w:left="660" w:right="40" w:hanging="328"/>
        <w:spacing w:after="0" w:line="255" w:lineRule="auto"/>
        <w:tabs>
          <w:tab w:leader="none" w:pos="6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carrying value of the related debt was adjusted by an equal and offsetting amount. The fair value of interest rate derivatives is estimated using a discounted cash flow analysis based on the contractual terms of the derivatives. See Note 8,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in these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November 2, 2024</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Measurement at</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7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Markets for Identical</w:t>
            </w:r>
          </w:p>
        </w:tc>
        <w:tc>
          <w:tcPr>
            <w:tcW w:w="200" w:type="dxa"/>
            <w:vAlign w:val="bottom"/>
          </w:tcPr>
          <w:p>
            <w:pPr>
              <w:spacing w:after="0"/>
              <w:rPr>
                <w:sz w:val="15"/>
                <w:szCs w:val="15"/>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2"/>
                <w:szCs w:val="12"/>
                <w:color w:val="auto"/>
              </w:rPr>
            </w:pPr>
          </w:p>
        </w:tc>
        <w:tc>
          <w:tcPr>
            <w:tcW w:w="16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420" w:type="dxa"/>
            <w:vAlign w:val="bottom"/>
          </w:tcPr>
          <w:p>
            <w:pPr>
              <w:spacing w:after="0"/>
              <w:rPr>
                <w:sz w:val="12"/>
                <w:szCs w:val="12"/>
                <w:color w:val="auto"/>
              </w:rPr>
            </w:pPr>
          </w:p>
        </w:tc>
        <w:tc>
          <w:tcPr>
            <w:tcW w:w="1340" w:type="dxa"/>
            <w:vAlign w:val="bottom"/>
            <w:vMerge w:val="restart"/>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Government and institutional 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592,560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592,560</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Securities with one year or less to maturity:</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Corporate obligations (1)</w:t>
            </w: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71,246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71,246</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Bank obligations (1)</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300,576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300,576</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 (2)</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w:t>
            </w:r>
          </w:p>
        </w:tc>
        <w:tc>
          <w:tcPr>
            <w:tcW w:w="0" w:type="dxa"/>
            <w:vAlign w:val="bottom"/>
          </w:tcPr>
          <w:p>
            <w:pPr>
              <w:spacing w:after="0"/>
              <w:rPr>
                <w:sz w:val="1"/>
                <w:szCs w:val="1"/>
                <w:color w:val="auto"/>
              </w:rPr>
            </w:pP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92,698</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1,064,398</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 (2)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16,279</w:t>
            </w:r>
          </w:p>
        </w:tc>
        <w:tc>
          <w:tcPr>
            <w:tcW w:w="0" w:type="dxa"/>
            <w:vAlign w:val="bottom"/>
          </w:tcPr>
          <w:p>
            <w:pPr>
              <w:spacing w:after="0"/>
              <w:rPr>
                <w:sz w:val="1"/>
                <w:szCs w:val="1"/>
                <w:color w:val="auto"/>
              </w:rPr>
            </w:pP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derivatives (3)</w:t>
            </w: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36,855</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53,134</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of the Company’s investments classified as available-for-sale as of November 2, 2024 was $382.9 million.</w:t>
      </w:r>
    </w:p>
    <w:p>
      <w:pPr>
        <w:spacing w:after="0" w:line="27" w:lineRule="exact"/>
        <w:rPr>
          <w:rFonts w:ascii="Times New Roman" w:cs="Times New Roman" w:eastAsia="Times New Roman" w:hAnsi="Times New Roman"/>
          <w:sz w:val="18"/>
          <w:szCs w:val="18"/>
          <w:color w:val="auto"/>
        </w:rPr>
      </w:pPr>
    </w:p>
    <w:p>
      <w:pPr>
        <w:ind w:left="660" w:right="340" w:hanging="328"/>
        <w:spacing w:after="0" w:line="250" w:lineRule="auto"/>
        <w:tabs>
          <w:tab w:leader="none" w:pos="6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master netting arrangements by counterparty with respect to derivative contracts. See Note 8,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in these Notes to Condensed Consolidated Financial Statements for more information related to the Company’s master netting arrangements.</w:t>
      </w:r>
    </w:p>
    <w:p>
      <w:pPr>
        <w:ind w:left="660" w:right="40" w:hanging="328"/>
        <w:spacing w:after="0" w:line="255" w:lineRule="auto"/>
        <w:tabs>
          <w:tab w:leader="none" w:pos="6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carrying value of the related debt was adjusted by an equal and offsetting amount. The fair value of interest rate derivatives is estimated using a discounted cash flow analysis based on the contractual terms of the derivatives. See Note 8,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in these Notes to Condensed Consolidated Financial Statements.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Not Recorded at Fair Value on a Recurring Basis</w:t>
      </w:r>
    </w:p>
    <w:p>
      <w:pPr>
        <w:spacing w:after="0" w:line="135"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table below presents the estimated fair values of certain financial instruments not recorded at fair value on a recurring basis. Given the short tenure of the Company’s commercial paper notes, the carrying value of the outstanding commercial paper notes approximates the fair values, and therefore, are excluded from the table below ($548.7 million and $547.7 million as of August 2, 2025 and November 2, 2024, respectively). The fair values of the senior unsecured notes are obtained from broker prices and are classified as Level 1 measurements according to the fair value hierarchy.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6" w:right="3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0"/>
        </w:trPr>
        <w:tc>
          <w:tcPr>
            <w:tcW w:w="4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20" w:type="dxa"/>
            <w:vAlign w:val="bottom"/>
            <w:gridSpan w:val="4"/>
          </w:tcPr>
          <w:p>
            <w:pPr>
              <w:jc w:val="right"/>
              <w:ind w:right="951"/>
              <w:spacing w:after="0"/>
              <w:rPr>
                <w:sz w:val="20"/>
                <w:szCs w:val="20"/>
                <w:color w:val="auto"/>
              </w:rPr>
            </w:pPr>
            <w:r>
              <w:rPr>
                <w:rFonts w:ascii="Times New Roman" w:cs="Times New Roman" w:eastAsia="Times New Roman" w:hAnsi="Times New Roman"/>
                <w:sz w:val="14"/>
                <w:szCs w:val="14"/>
                <w:b w:val="1"/>
                <w:bCs w:val="1"/>
                <w:color w:val="auto"/>
              </w:rPr>
              <w:t>November 2, 2024</w:t>
            </w:r>
          </w:p>
        </w:tc>
        <w:tc>
          <w:tcPr>
            <w:tcW w:w="0" w:type="dxa"/>
            <w:vAlign w:val="bottom"/>
          </w:tcPr>
          <w:p>
            <w:pPr>
              <w:spacing w:after="0"/>
              <w:rPr>
                <w:sz w:val="1"/>
                <w:szCs w:val="1"/>
                <w:color w:val="auto"/>
              </w:rPr>
            </w:pPr>
          </w:p>
        </w:tc>
      </w:tr>
      <w:tr>
        <w:trPr>
          <w:trHeight w:val="2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42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1"/>
                <w:szCs w:val="11"/>
                <w:color w:val="auto"/>
              </w:rPr>
            </w:pPr>
          </w:p>
        </w:tc>
        <w:tc>
          <w:tcPr>
            <w:tcW w:w="148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80" w:type="dxa"/>
            <w:vAlign w:val="bottom"/>
          </w:tcPr>
          <w:p>
            <w:pPr>
              <w:spacing w:after="0"/>
              <w:rPr>
                <w:sz w:val="11"/>
                <w:szCs w:val="11"/>
                <w:color w:val="auto"/>
              </w:rPr>
            </w:pPr>
          </w:p>
        </w:tc>
        <w:tc>
          <w:tcPr>
            <w:tcW w:w="126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4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43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April 2025</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397,027</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2026</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892,974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882,795</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June 2027</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421,077</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June 2028</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855,077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2028</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673,316</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2030</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June 2030</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656,509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2031</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2031</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879,165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843,766</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2032</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287,172</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2034</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April 2034</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553,375</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2036</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2036</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144,278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136,718</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2041</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2041</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534,435</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2045</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2045</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332,587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322,942</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2051</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2051</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655,668</w:t>
            </w:r>
          </w:p>
        </w:tc>
        <w:tc>
          <w:tcPr>
            <w:tcW w:w="0" w:type="dxa"/>
            <w:vAlign w:val="bottom"/>
          </w:tcPr>
          <w:p>
            <w:pPr>
              <w:spacing w:after="0"/>
              <w:rPr>
                <w:sz w:val="1"/>
                <w:szCs w:val="1"/>
                <w:color w:val="auto"/>
              </w:rPr>
            </w:pPr>
          </w:p>
        </w:tc>
      </w:tr>
      <w:tr>
        <w:trPr>
          <w:trHeight w:val="229"/>
        </w:trPr>
        <w:tc>
          <w:tcPr>
            <w:tcW w:w="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2054</w:t>
            </w:r>
          </w:p>
        </w:tc>
        <w:tc>
          <w:tcPr>
            <w:tcW w:w="4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Notes, due April 2054</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532,331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541,912</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senior unsecured notes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8,217,077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7,476,723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7,117,077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6,250,203</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Derivatives</w:t>
      </w:r>
    </w:p>
    <w:p>
      <w:pPr>
        <w:spacing w:after="0" w:line="173" w:lineRule="exact"/>
        <w:rPr>
          <w:sz w:val="20"/>
          <w:szCs w:val="20"/>
          <w:color w:val="auto"/>
        </w:rPr>
      </w:pPr>
    </w:p>
    <w:p>
      <w:pPr>
        <w:jc w:val="both"/>
        <w:ind w:right="220" w:firstLine="445"/>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Foreign Exchange Exposure Management </w:t>
      </w:r>
      <w:r>
        <w:rPr>
          <w:rFonts w:ascii="Times New Roman" w:cs="Times New Roman" w:eastAsia="Times New Roman" w:hAnsi="Times New Roman"/>
          <w:sz w:val="18"/>
          <w:szCs w:val="18"/>
          <w:color w:val="auto"/>
        </w:rPr>
        <w:t>— The total notional amounts of forward foreign currency derivative instruments designated as hedging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of cash flow hedges as of August 2, 2025 and November 2, 2024 were $282.2 million and $257.0 million, respectively, and the fair values of these instruments in the Company’s Condensed Consolidated Balance Sheets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gridSpan w:val="4"/>
          </w:tcPr>
          <w:p>
            <w:pPr>
              <w:jc w:val="right"/>
              <w:ind w:right="1116"/>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384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60" w:type="dxa"/>
            <w:vAlign w:val="bottom"/>
          </w:tcPr>
          <w:p>
            <w:pPr>
              <w:spacing w:after="0"/>
              <w:rPr>
                <w:sz w:val="16"/>
                <w:szCs w:val="16"/>
                <w:color w:val="auto"/>
              </w:rPr>
            </w:pPr>
          </w:p>
        </w:tc>
        <w:tc>
          <w:tcPr>
            <w:tcW w:w="38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160" w:type="dxa"/>
            <w:vAlign w:val="bottom"/>
          </w:tcPr>
          <w:p>
            <w:pPr>
              <w:spacing w:after="0"/>
              <w:rPr>
                <w:sz w:val="16"/>
                <w:szCs w:val="16"/>
                <w:color w:val="auto"/>
              </w:rPr>
            </w:pPr>
          </w:p>
        </w:tc>
        <w:tc>
          <w:tcPr>
            <w:tcW w:w="14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November 2, 2024</w:t>
            </w:r>
          </w:p>
        </w:tc>
        <w:tc>
          <w:tcPr>
            <w:tcW w:w="0" w:type="dxa"/>
            <w:vAlign w:val="bottom"/>
          </w:tcPr>
          <w:p>
            <w:pPr>
              <w:spacing w:after="0"/>
              <w:rPr>
                <w:sz w:val="1"/>
                <w:szCs w:val="1"/>
                <w:color w:val="auto"/>
              </w:rPr>
            </w:pPr>
          </w:p>
        </w:tc>
      </w:tr>
      <w:tr>
        <w:trPr>
          <w:trHeight w:val="229"/>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foreign currency exchange contracts</w:t>
            </w:r>
          </w:p>
        </w:tc>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34"/>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Forward foreign currency exchange contracts</w:t>
            </w: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420" w:firstLine="445"/>
        <w:spacing w:after="0" w:line="263" w:lineRule="auto"/>
        <w:rPr>
          <w:sz w:val="20"/>
          <w:szCs w:val="20"/>
          <w:color w:val="auto"/>
        </w:rPr>
      </w:pPr>
      <w:r>
        <w:rPr>
          <w:rFonts w:ascii="Times New Roman" w:cs="Times New Roman" w:eastAsia="Times New Roman" w:hAnsi="Times New Roman"/>
          <w:sz w:val="18"/>
          <w:szCs w:val="18"/>
          <w:color w:val="auto"/>
        </w:rPr>
        <w:t>As of August 2, 2025 and November 2, 2024, the total notional amounts of undesignated hedges related to forward foreign currency exchange contracts were $184.7 million and $176.8 million, respectively, and the fair values of undesignated hedges in the Company’s Condensed Consolidated Balance Sheets were as follows:</w:t>
      </w:r>
    </w:p>
    <w:p>
      <w:pPr>
        <w:spacing w:after="0" w:line="2"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4"/>
          <w:szCs w:val="14"/>
          <w:b w:val="1"/>
          <w:bCs w:val="1"/>
          <w:color w:val="auto"/>
        </w:rPr>
        <w:t>Fair Value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33655</wp:posOffset>
            </wp:positionV>
            <wp:extent cx="20574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35" w:lineRule="exact"/>
        <w:rPr>
          <w:sz w:val="20"/>
          <w:szCs w:val="20"/>
          <w:color w:val="auto"/>
        </w:rPr>
      </w:pPr>
    </w:p>
    <w:p>
      <w:pPr>
        <w:ind w:left="5300"/>
        <w:spacing w:after="0"/>
        <w:tabs>
          <w:tab w:leader="none" w:pos="8300" w:val="left"/>
          <w:tab w:leader="none" w:pos="9880" w:val="left"/>
        </w:tabs>
        <w:rPr>
          <w:sz w:val="20"/>
          <w:szCs w:val="20"/>
          <w:color w:val="auto"/>
        </w:rPr>
      </w:pPr>
      <w:r>
        <w:rPr>
          <w:rFonts w:ascii="Times New Roman" w:cs="Times New Roman" w:eastAsia="Times New Roman" w:hAnsi="Times New Roman"/>
          <w:sz w:val="14"/>
          <w:szCs w:val="14"/>
          <w:b w:val="1"/>
          <w:bCs w:val="1"/>
          <w:color w:val="auto"/>
        </w:rPr>
        <w:t>Balance Sheet Location</w:t>
      </w:r>
      <w:r>
        <w:rPr>
          <w:sz w:val="20"/>
          <w:szCs w:val="20"/>
          <w:color w:val="auto"/>
        </w:rPr>
        <w:tab/>
      </w:r>
      <w:r>
        <w:rPr>
          <w:rFonts w:ascii="Times New Roman" w:cs="Times New Roman" w:eastAsia="Times New Roman" w:hAnsi="Times New Roman"/>
          <w:sz w:val="14"/>
          <w:szCs w:val="14"/>
          <w:b w:val="1"/>
          <w:bCs w:val="1"/>
          <w:color w:val="auto"/>
        </w:rPr>
        <w:t>August 2, 2025</w:t>
      </w:r>
      <w:r>
        <w:rPr>
          <w:sz w:val="20"/>
          <w:szCs w:val="20"/>
          <w:color w:val="auto"/>
        </w:rPr>
        <w:tab/>
      </w:r>
      <w:r>
        <w:rPr>
          <w:rFonts w:ascii="Times New Roman" w:cs="Times New Roman" w:eastAsia="Times New Roman" w:hAnsi="Times New Roman"/>
          <w:sz w:val="14"/>
          <w:szCs w:val="14"/>
          <w:b w:val="1"/>
          <w:bCs w:val="1"/>
          <w:color w:val="auto"/>
        </w:rPr>
        <w:t>November 2, 2024</w:t>
      </w:r>
    </w:p>
    <w:p>
      <w:pPr>
        <w:sectPr>
          <w:pgSz w:w="11900" w:h="16838" w:orient="portrait"/>
          <w:cols w:equalWidth="0" w:num="1">
            <w:col w:w="11240"/>
          </w:cols>
          <w:pgMar w:left="320" w:top="1168" w:right="339" w:bottom="1440" w:gutter="0" w:footer="0" w:header="0"/>
        </w:sectPr>
      </w:pPr>
    </w:p>
    <w:p>
      <w:pPr>
        <w:spacing w:after="0" w:line="48"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Undesignated hedges related to forward foreign currency exchange contracts</w:t>
      </w:r>
    </w:p>
    <w:p>
      <w:pPr>
        <w:spacing w:after="0" w:line="1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Undesignated hedges related to forward foreign currency exchange contracts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3,513</w:t>
            </w:r>
          </w:p>
        </w:tc>
        <w:tc>
          <w:tcPr>
            <w:tcW w:w="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6,538</w:t>
            </w:r>
          </w:p>
        </w:tc>
      </w:tr>
      <w:tr>
        <w:trPr>
          <w:trHeight w:val="41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0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7,464</w:t>
            </w:r>
          </w:p>
        </w:tc>
        <w:tc>
          <w:tcPr>
            <w:tcW w:w="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-530860</wp:posOffset>
            </wp:positionV>
            <wp:extent cx="7132320" cy="265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4140" w:space="40"/>
            <w:col w:w="7060"/>
          </w:cols>
          <w:pgMar w:left="320" w:top="1168" w:right="339" w:bottom="1440" w:gutter="0" w:footer="0" w:header="0"/>
          <w:type w:val="continuous"/>
        </w:sectPr>
      </w:pPr>
    </w:p>
    <w:p>
      <w:pPr>
        <w:ind w:right="180" w:firstLine="445"/>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Interest Rate Exposure Management </w:t>
      </w:r>
      <w:r>
        <w:rPr>
          <w:rFonts w:ascii="Times New Roman" w:cs="Times New Roman" w:eastAsia="Times New Roman" w:hAnsi="Times New Roman"/>
          <w:sz w:val="18"/>
          <w:szCs w:val="18"/>
          <w:color w:val="auto"/>
        </w:rPr>
        <w:t>— The Company does not consider the risk of counterparty default to be significant. The gain or loss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interest rate swap transactions attributable to the hedged benchmark interest rate risk and the offsetting gain or loss on the related interest rate swaps were recorded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40" w:type="dxa"/>
            <w:vAlign w:val="bottom"/>
            <w:gridSpan w:val="4"/>
          </w:tcPr>
          <w:p>
            <w:pPr>
              <w:jc w:val="right"/>
              <w:ind w:right="1096"/>
              <w:spacing w:after="0"/>
              <w:rPr>
                <w:sz w:val="20"/>
                <w:szCs w:val="20"/>
                <w:color w:val="auto"/>
              </w:rPr>
            </w:pPr>
            <w:r>
              <w:rPr>
                <w:rFonts w:ascii="Times New Roman" w:cs="Times New Roman" w:eastAsia="Times New Roman" w:hAnsi="Times New Roman"/>
                <w:sz w:val="14"/>
                <w:szCs w:val="14"/>
                <w:b w:val="1"/>
                <w:bCs w:val="1"/>
                <w:color w:val="auto"/>
              </w:rPr>
              <w:t>August 2, 2025</w:t>
            </w:r>
          </w:p>
        </w:tc>
      </w:tr>
      <w:tr>
        <w:trPr>
          <w:trHeight w:val="23"/>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Loss on Swaps</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Gain on Note</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17,404</w:t>
            </w:r>
          </w:p>
        </w:tc>
        <w:tc>
          <w:tcPr>
            <w:tcW w:w="14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17,404</w:t>
            </w:r>
          </w:p>
        </w:tc>
      </w:tr>
    </w:tbl>
    <w:p>
      <w:pPr>
        <w:spacing w:after="0" w:line="238" w:lineRule="exact"/>
        <w:rPr>
          <w:sz w:val="20"/>
          <w:szCs w:val="20"/>
          <w:color w:val="auto"/>
        </w:rPr>
      </w:pPr>
    </w:p>
    <w:p>
      <w:pPr>
        <w:ind w:right="280" w:firstLine="445"/>
        <w:spacing w:after="0" w:line="266" w:lineRule="auto"/>
        <w:rPr>
          <w:sz w:val="20"/>
          <w:szCs w:val="20"/>
          <w:color w:val="auto"/>
        </w:rPr>
      </w:pPr>
      <w:r>
        <w:rPr>
          <w:rFonts w:ascii="Times New Roman" w:cs="Times New Roman" w:eastAsia="Times New Roman" w:hAnsi="Times New Roman"/>
          <w:sz w:val="18"/>
          <w:szCs w:val="18"/>
          <w:color w:val="auto"/>
        </w:rPr>
        <w:t xml:space="preserve">For information on the unrealized holding gains (losses) on derivatives included in and reclassified out of AOCI into the Condensed Consolidated Statements of Income related to forward foreign currency exchange contracts, see Note 3, </w:t>
      </w:r>
      <w:r>
        <w:rPr>
          <w:rFonts w:ascii="Times New Roman" w:cs="Times New Roman" w:eastAsia="Times New Roman" w:hAnsi="Times New Roman"/>
          <w:sz w:val="18"/>
          <w:szCs w:val="18"/>
          <w:i w:val="1"/>
          <w:iCs w:val="1"/>
          <w:color w:val="auto"/>
        </w:rPr>
        <w:t>Accumulated Other Comprehensive (Loss) Income,</w:t>
      </w:r>
      <w:r>
        <w:rPr>
          <w:rFonts w:ascii="Times New Roman" w:cs="Times New Roman" w:eastAsia="Times New Roman" w:hAnsi="Times New Roman"/>
          <w:sz w:val="18"/>
          <w:szCs w:val="18"/>
          <w:color w:val="auto"/>
        </w:rPr>
        <w:t xml:space="preserve"> in these Notes to Condensed Consolidated Financial Statements for further information.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8"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9 – Inventories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Inventories at August 2, 2025 and November 2, 2024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240" w:type="dxa"/>
            <w:vAlign w:val="bottom"/>
          </w:tcPr>
          <w:p>
            <w:pPr>
              <w:spacing w:after="0"/>
              <w:rPr>
                <w:sz w:val="16"/>
                <w:szCs w:val="16"/>
                <w:color w:val="auto"/>
              </w:rPr>
            </w:pPr>
          </w:p>
        </w:tc>
        <w:tc>
          <w:tcPr>
            <w:tcW w:w="16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November 2, 2024</w:t>
            </w:r>
          </w:p>
        </w:tc>
      </w:tr>
      <w:tr>
        <w:trPr>
          <w:trHeight w:val="23"/>
        </w:trPr>
        <w:tc>
          <w:tcPr>
            <w:tcW w:w="7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93,608</w:t>
            </w: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1,171,900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1,047,022</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356,232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307,057</w:t>
            </w:r>
          </w:p>
        </w:tc>
      </w:tr>
      <w:tr>
        <w:trPr>
          <w:trHeight w:val="223"/>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inventories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1,596,853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1,447,687</w:t>
            </w:r>
          </w:p>
        </w:tc>
      </w:tr>
      <w:tr>
        <w:trPr>
          <w:trHeight w:val="21"/>
        </w:trPr>
        <w:tc>
          <w:tcPr>
            <w:tcW w:w="7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11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On April 11, 2025, the Company entered into its Fourth Amended and Restated Revolving Credit Agreement (Revolving Credit Agreement) with the Company and Bank of America, N.A. as administrative agent and the other banks identified therein as lenders, which further amended and restated its revolving credit agreement dated as of June 23, 2021. The Revolving Credit Agreement provides for a five-year unsecured revolving credit facility in an aggregate principal amount of up to $3.0 billion, expiring on April 11, 2030.</w:t>
      </w:r>
    </w:p>
    <w:p>
      <w:pPr>
        <w:spacing w:after="0" w:line="72"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 Revolving Credit Agreement contains customary representations and warranties, and affirmative and negative covenants and events of default applicable to the Company and its subsidiaries. As of August 2, 2025, the Company was in compliance with these covenants.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second quarter of fiscal 2025, the Company repaid the $400.0 million principal amount on its 2025 Notes, due April 2025.</w:t>
      </w:r>
    </w:p>
    <w:p>
      <w:pPr>
        <w:spacing w:after="0" w:line="117"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On June 16, 2025, in an underwritten public offering, the Company issued $850.0 million aggregate principal amount of 4.250% senior notes due June 15, 2028 (the 2028 Notes) with semi-annual fixed interest payments due on June 15 and December 15 of each year, commencing December 15, 2025. The net proceeds of the offering were $845.3 million, after discounts and issuance costs. Prior to May 15, 2028 (the date that is one month prior to the maturity date of the 2028 Notes), the Company may, at its option, redeem the 2028 Notes, in whole or in part, at any time and from time to time, at a redemption price equal to the greater of: (1) (a) the sum of the present values of the remaining scheduled payments of principal and interest thereon discounted to the redemption date (assuming the 2028 Notes matured on June 15, 2028) on a semi-annual basis at the applicable treasury rate plus 10 basis points less (b) interest accrued to the date of redemption, and (2) 100% of the principal amount of the 2028 Notes to be redeemed, plus, in either case, accrued and unpaid interest thereon to the redemption date. On or after May 15, 2028, the Company may, at its option, redeem the 2028 Notes, in whole or in part, at any time and from time to time, at a redemption price equal to 100% of the principal amount of the 2028 Notes being redeemed plus accrued and unpaid interest thereon to the redemption date. The 2028 Notes are unsecured and rank equally in right of payment with all of the Company’s other existing and future unsecured senior indebtedness.</w:t>
      </w:r>
    </w:p>
    <w:p>
      <w:pPr>
        <w:spacing w:after="0" w:line="84"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On June 16, 2025, in an underwritten public offering, the Company issued $650.0 million aggregate principal amount of 4.500% senior notes due June 15, 2030 (the 2030 Notes) with semi-annual fixed interest payments due on June 15 and December 15 of each year, commencing December 15, 2025. The net proceeds of the offering were $645.5 million, after discounts and issuance costs. Prior to May 15, 2030 (the date that is one month prior to the maturity date of the 2030 Notes), the Company may, at its option, redeem the 2030 Notes, in whole or in part, at any time and from time to time, at a redemption price equal to the greater of: (1) (a) the sum of the present values of the remaining scheduled payments of principal and interest thereon discounted to the redemption date (assuming the 2030 Notes matured on June 15, 2030) on a semi-annual basis at the applicable treasury rate plus 10 basis points less (b) interest accrued to the date of redemption, and (2) 100% of the principal amount of the 2030 Notes to be redeemed, plus, in either case, accrued and unpaid interest thereon to the redemption date. On or after May 15, 2030, the Company may, at its option, redeem the 2030 Notes, in whole or in part, at any time and from time to time, at a redemption price equal to 100% of the principal amount of the 2030 Notes being redeemed plus accrued and unpaid interest thereon to the redemption date. The 2030 Notes are unsecured and rank equally in right of payment with all of the Company’s other existing and future unsecured senior indebtedness.</w:t>
      </w:r>
    </w:p>
    <w:p>
      <w:pPr>
        <w:spacing w:after="0" w:line="84"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color w:val="auto"/>
        </w:rPr>
        <w:t>The 2028 Notes and the 2030 Notes were issued pursuant to a base indenture between the Company and The Bank of New York Mellon Trust Company, N.A., as trustee, as supplemented by a supplemental indenture, which contains certain covenants, events of default and other customary provisions. The covenants applicable to the 2028 Notes and the 2030 Notes limit the Company’s ability to incur, create, assume or guarantee any debt for borrowed money secured by a lien upon a principal property; enter into certain sale and lease-back transactions with respect to a principal property; and consolidate with</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5" w:name="page16"/>
    <w:bookmarkEnd w:id="15"/>
    <w:p>
      <w:pPr>
        <w:ind w:right="140"/>
        <w:spacing w:after="0" w:line="282" w:lineRule="auto"/>
        <w:rPr>
          <w:sz w:val="20"/>
          <w:szCs w:val="20"/>
          <w:color w:val="auto"/>
        </w:rPr>
      </w:pPr>
      <w:r>
        <w:rPr>
          <w:rFonts w:ascii="Times New Roman" w:cs="Times New Roman" w:eastAsia="Times New Roman" w:hAnsi="Times New Roman"/>
          <w:sz w:val="18"/>
          <w:szCs w:val="18"/>
          <w:color w:val="auto"/>
        </w:rPr>
        <w:t>or merge into, or transfer or lease all or substantially all of its assets to, any other party. As of August 2, 2025, the Company was in compliance with these covenants.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108"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On July 4, 2025, the reconciliation bill, commonly known as the One Big Beautiful Bill Act (OBBBA), was enacted into law. The OBBBA, among other things, eliminates the requirement to capitalize U.S. R&amp;D expenses, permanently extends certain provisions of the Tax Cuts &amp; Jobs Act of 2017 and modifies certain international tax provisions, including changes to the Global Intangible Low-Taxed Income (GILTI) and the foreign-derived intangible income regimes, with effective dates beginning in calendar year 2025 and extending through calendar year 2027. As the OBBBA was enacted during the Company’s fiscal quarter ended August 2, 2025, the Company has considered and reflected the impacts on the condensed consolidated financial statements. The Company is in the process of evaluating the financial statement impact of these provisions to future periods, but does not expect the OBBBA to have a material impact on the consolidated financial statements.</w:t>
      </w:r>
    </w:p>
    <w:p>
      <w:pPr>
        <w:spacing w:after="0" w:line="67" w:lineRule="exact"/>
        <w:rPr>
          <w:sz w:val="20"/>
          <w:szCs w:val="20"/>
          <w:color w:val="auto"/>
        </w:rPr>
      </w:pPr>
    </w:p>
    <w:p>
      <w:pPr>
        <w:ind w:right="240" w:firstLine="445"/>
        <w:spacing w:after="0" w:line="266" w:lineRule="auto"/>
        <w:rPr>
          <w:sz w:val="20"/>
          <w:szCs w:val="20"/>
          <w:color w:val="auto"/>
        </w:rPr>
      </w:pPr>
      <w:r>
        <w:rPr>
          <w:rFonts w:ascii="Times New Roman" w:cs="Times New Roman" w:eastAsia="Times New Roman" w:hAnsi="Times New Roman"/>
          <w:sz w:val="18"/>
          <w:szCs w:val="18"/>
          <w:color w:val="auto"/>
        </w:rPr>
        <w:t>The Company accounts for GILTI under the deferred method. As a result of the enactment of the OBBBA, which revised the applicable GILTI tax rate for the Company’s fiscal years beginning in 2027 in the third quarter of fiscal 2025, the Company recorded a net deferred tax expense of $153.8 million related to the remeasurement of its GILTI-related deferred tax assets and liabilities.</w:t>
      </w:r>
    </w:p>
    <w:p>
      <w:pPr>
        <w:spacing w:after="0" w:line="41"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The Company has numerous audits ongoing throughout the world including: an IRS income tax audit for the fiscal years ended October 30, 2021 (fiscal 2021), November 2, 2019 (fiscal 2019) and November 3, 2018 (fiscal 2018); a pre-acquisition IRS income tax audit for Maxim Integrated Products, Inc.’s (Maxim) fiscal years ended June 27, 2015 through August 26, 2021; and various U.S. state and local audits and international audits, including Irish corporate tax audits for fiscal 2021. The Company’s U.S. federal income tax returns prior to fiscal 2018 are no longer subject to examination, except for the applicable Maxim pre-acquisition fiscal years noted above.</w:t>
      </w:r>
    </w:p>
    <w:p>
      <w:pPr>
        <w:spacing w:after="0" w:line="62"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During the second quarter of fiscal 2025, the Company received an assessment from the U.S. Internal Revenue Service (IRS) for fiscal 2018 and fiscal 2019, totaling approximately $267.0 million. The assessment excludes any penalties and interest. The assessment pertains to transfer pricing arrangements between the Company and one of its wholly-owned foreign subsidiaries. The Company firmly disagrees with this assessment and maintains that its transfer pricing is appropriate. Consequently, the Company has not recorded any additional tax liability related to fiscal 2018 and fiscal 2019 in relation to this issue, nor to any other periods. The Company intends to vigorously defend its original tax return position and is currently preparing for an appeal with the IRS. Should the IRS ultimately prevail regarding its assessments for fiscal 2018 and fiscal 2019, such a resolution, along with any potential impact on subsequent fiscal years, could have a material adverse effect on the Company’s income tax expense and net earnings in future periods.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New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to Be Implemented</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90"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enhances the disclosure requirements for reportable segments. ASU 2023-07 requires segment disclosure to include significant segment expense categories and amounts, and qualitative detail of other segment items. Disclosure of multiple measures of segment profit and loss may also be reported. ASU 2023-07 is effective for fiscal years beginning after December 15, 2023, and interim periods within fiscal years beginning after December 15, 2024, with early adoption permitted. The Company is currently evaluating the impact, if any, adoption will have on its financial statement disclosures.</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04"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requires the disaggregation of information in existing income tax disclosures related to the effective tax rate reconciliation and income taxes paid. ASU 2023-09 is effective for fiscal years beginning after December 15, 2024, with early adoption permitted. The Company is currently evaluating the impact, if any, adoption will have on its financial statement disclosures.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6" w:name="page17"/>
    <w:bookmarkEnd w:id="16"/>
    <w:p>
      <w:pPr>
        <w:ind w:left="460"/>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90"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requiring public companies to disaggregate key expense categories such as inventory purchases, employee compensation and depreciation in their financial statements. This aims to improve investor insights into company performance. ASU 2024-03 is effective for fiscal years beginning after December 15, 2026, and interim periods within fiscal years beginning after December 15, 2027, with early adoption permitted. The Company is currently evaluating the impact, if any, adoption will have on its financial statement disclosures.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Subsequent Events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August 15, 2025, the Company increased the aggregate amount that it may issue under its commercial paper program from $2.5 billion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$3.0 billion outstanding at any time. For further information on the Company’s commercial paper program, see Note 13,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Condensed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Consolidated Financial Statements in Part II, Item 8 of the Annual Report on Form 10-K for the fiscal year-ended November 2, 2024, which was filed with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Securities and Exchange Commission on November 26, 2024.</w:t>
      </w:r>
    </w:p>
    <w:p>
      <w:pPr>
        <w:spacing w:after="0" w:line="153"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On August 19, 2025, the Board of Directors of the Company declared a cash dividend of $0.99 per outstanding share of common stock. The dividend will be paid on September 16, 2025 to all shareholders of record at the close of business on September 2, 2025 and is expected to total approximately $487.0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05" w:right="419" w:bottom="1440" w:gutter="0" w:footer="0" w:header="0"/>
        </w:sectPr>
      </w:pPr>
    </w:p>
    <w:bookmarkStart w:id="17" w:name="page18"/>
    <w:bookmarkEnd w:id="17"/>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70"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This information should be read in conjunction with the unaudited condensed consolidated financial statements and related notes included in Part I, Item 1 of this Quarterly Report on Form 10-Q and the audited consolidated financial statements and related notes and Management’s Discussion and Analysis of Financial Condition and Results of Operations in our Annual Report on Form 10-K for the fiscal year ended November 2, 2024 (fiscal 2024).</w:t>
      </w:r>
    </w:p>
    <w:p>
      <w:pPr>
        <w:spacing w:after="0" w:line="122"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including the following discussion,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“potential,” “may,” “could” and “will,” and variations of such words and similar expressions are intended to identify such forward-looking statements. Our actual results could differ materially from those anticipated in these forward-looking statements as a result of various factors.</w:t>
      </w:r>
    </w:p>
    <w:p>
      <w:pPr>
        <w:spacing w:after="0" w:line="138"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The following important factors and uncertainties, among others, could cause actual results to differ materially from those described in the forward-looking statements: economic, political, legal and regulatory uncertainty or conflicts, including increased uncertainty and volatility with respect to tariffs, export controls and other trade restrictions, actions taken or which may be taken by the presidential administration, executive offices of the U.S. government, or U.S. Congress, monetary policy, political, geopolitical, trade, or other issues in the United States or internationally, and the ongoing conflicts between Russia and Ukraine and in Israel and the Middle East; changes in demand for semiconductor products; manufacturing delays, product and raw materials availability and supply chain disruptions; diversion of products from our authorized distribution channels; changes in export classifications, import and export regulations or duties and tariffs; our development of technologies and research and development investments; our future liquidity, capital needs and capital expenditures; our ability to compete successfully in the markets in which we operate; our ability to recruit and retain key personnel; risks related to acquisitions or other strategic transactions; security breaches or other cyber incidents; adverse results in litigation matters; reputational damage; changes in our estimates of our expected tax rates based on current tax law; risks related to our indebtedness; the discretion of our Board of Directors to declare dividends and our ability to pay dividends in the future; factors impacting our ability to repurchase shares; and uncertainty as to the long-term value of our common stock. Additional factors that could cause actual results to differ materially from those described in these forward-looking statements include the risk factors included in Part I, Item 1A, “Risk Factors” of our Annual Report on Form 10-K for fiscal 2024. Forward-looking statements represent management’s current expectations and are inherently uncertain. We undertake no obligation to revise or update any forward-looking statements, including to reflect events or circumstances occurring after the date of the filing of this report, except to the extent required by law.</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in the tables below are reflected in thousands except per share amounts and percentages.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60" w:type="dxa"/>
            <w:vAlign w:val="bottom"/>
          </w:tcPr>
          <w:p>
            <w:pPr>
              <w:spacing w:after="0"/>
              <w:rPr>
                <w:sz w:val="16"/>
                <w:szCs w:val="16"/>
                <w:color w:val="auto"/>
              </w:rPr>
            </w:pPr>
          </w:p>
        </w:tc>
      </w:tr>
      <w:tr>
        <w:trPr>
          <w:trHeight w:val="23"/>
        </w:trPr>
        <w:tc>
          <w:tcPr>
            <w:tcW w:w="4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0"/>
        </w:trPr>
        <w:tc>
          <w:tcPr>
            <w:tcW w:w="4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280" w:type="dxa"/>
            <w:vAlign w:val="bottom"/>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2,880,348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2,312,209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568,139</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518,518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392,232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126,286</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as a % of revenue</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449"/>
        </w:trPr>
        <w:tc>
          <w:tcPr>
            <w:tcW w:w="4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60" w:type="dxa"/>
            <w:vAlign w:val="bottom"/>
          </w:tcPr>
          <w:p>
            <w:pPr>
              <w:spacing w:after="0"/>
              <w:rPr>
                <w:sz w:val="24"/>
                <w:szCs w:val="24"/>
                <w:color w:val="auto"/>
              </w:rPr>
            </w:pPr>
          </w:p>
        </w:tc>
      </w:tr>
      <w:tr>
        <w:trPr>
          <w:trHeight w:val="23"/>
        </w:trPr>
        <w:tc>
          <w:tcPr>
            <w:tcW w:w="4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0"/>
        </w:trPr>
        <w:tc>
          <w:tcPr>
            <w:tcW w:w="4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280" w:type="dxa"/>
            <w:vAlign w:val="bottom"/>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7,943,590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6,983,952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959,638</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1,479,604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1,157,201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322,403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as a % of revenue</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bl>
    <w:p>
      <w:pPr>
        <w:spacing w:after="0" w:line="225"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We have a 52-53 week fiscal year that ends on the Saturday closest to the last day in October. The fiscal year ending November 1, 2025 (fiscal 2025) is a 52-week fiscal year and fiscal 2024 was a 53-week fiscal year. The additional week in fiscal 2024 was included in the first quarter ended February 3, 2024. Therefore, the first nine months of fiscal 2025 included one less week of operations as compared to the first nine months of fiscal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Trends by End Market</w:t>
      </w:r>
    </w:p>
    <w:p>
      <w:pPr>
        <w:spacing w:after="0" w:line="106"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The following tables summarize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and our methodology evolves and improves,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jc w:val="center"/>
              <w:ind w:left="109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Y/Y%</w:t>
            </w:r>
          </w:p>
        </w:tc>
        <w:tc>
          <w:tcPr>
            <w:tcW w:w="240" w:type="dxa"/>
            <w:vAlign w:val="bottom"/>
          </w:tcPr>
          <w:p>
            <w:pPr>
              <w:spacing w:after="0"/>
              <w:rPr>
                <w:sz w:val="11"/>
                <w:szCs w:val="11"/>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29"/>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1,285,041</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1,045,291</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850,619</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694,905</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372,197</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306,832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372,491</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265,181</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2,880,348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2,312,209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CCEEFF"/>
            </w:tcBorders>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Y/Y%</w:t>
            </w:r>
          </w:p>
        </w:tc>
        <w:tc>
          <w:tcPr>
            <w:tcW w:w="240" w:type="dxa"/>
            <w:vAlign w:val="bottom"/>
          </w:tcPr>
          <w:p>
            <w:pPr>
              <w:spacing w:after="0"/>
              <w:rPr>
                <w:sz w:val="11"/>
                <w:szCs w:val="11"/>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29"/>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3,502,751</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3,223,111</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2,445,391</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2,136,173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1,009,614</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817,436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985,834</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807,232</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7,943,590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6,983,952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The sum of the individual percentages may not equal the total due to rounding.</w:t>
      </w:r>
    </w:p>
    <w:p>
      <w:pPr>
        <w:spacing w:after="0" w:line="198" w:lineRule="exact"/>
        <w:rPr>
          <w:sz w:val="20"/>
          <w:szCs w:val="20"/>
          <w:color w:val="auto"/>
        </w:rPr>
      </w:pPr>
    </w:p>
    <w:p>
      <w:pPr>
        <w:jc w:val="both"/>
        <w:ind w:right="40" w:firstLine="445"/>
        <w:spacing w:after="0" w:line="282" w:lineRule="auto"/>
        <w:rPr>
          <w:sz w:val="20"/>
          <w:szCs w:val="20"/>
          <w:color w:val="auto"/>
        </w:rPr>
      </w:pPr>
      <w:r>
        <w:rPr>
          <w:rFonts w:ascii="Times New Roman" w:cs="Times New Roman" w:eastAsia="Times New Roman" w:hAnsi="Times New Roman"/>
          <w:sz w:val="18"/>
          <w:szCs w:val="18"/>
          <w:color w:val="auto"/>
        </w:rPr>
        <w:t>Revenue increased 25% and 14% in the three- and nine-month periods ended August 2, 2025 as compared to the same periods of the prior fiscal year as a result of a broad-based increase in demand for our products.</w:t>
      </w:r>
    </w:p>
    <w:p>
      <w:pPr>
        <w:spacing w:after="0" w:line="54"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In addition to increased demand, the increase in the nine-month period is due to customer inventory balances normalizing in the Industrial end market, the increases in the Automotive end market are primarily driven by increases from connectivity solutions, and the increases in the Communications end market are primarily driven by growth in the wireline sub-market from data center infrastructure build outs, primarily to support growth in artificial intelligence applications. The increases in the Consumer end market are primarily related to portable consumer products. These increases in the nine-month period were partially offset by the impact of an additional week of operations in the first quarter of fiscal 2024 as compared to the first quarter of fiscal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Sales Channel</w:t>
      </w:r>
    </w:p>
    <w:p>
      <w:pPr>
        <w:spacing w:after="0" w:line="106"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following tables summarize revenue by sales channel. We sell our products globally through a direct sales force, third-party distributors, independent sales representatives and via our website. Distributors are customers that buy products with the intention of reselling them. Direct customers are non-distributor customers and consist primarily of original equipment manufacturers. Other customers include the U.S. government, government prime contractors and certain commercial customers for which revenue is recorded over time.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1" w:right="3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80" w:type="dxa"/>
            <w:vAlign w:val="bottom"/>
          </w:tcPr>
          <w:p>
            <w:pPr>
              <w:spacing w:after="0"/>
              <w:rPr>
                <w:sz w:val="16"/>
                <w:szCs w:val="16"/>
                <w:color w:val="auto"/>
              </w:rPr>
            </w:pPr>
          </w:p>
        </w:tc>
      </w:tr>
      <w:tr>
        <w:trPr>
          <w:trHeight w:val="23"/>
        </w:trPr>
        <w:tc>
          <w:tcPr>
            <w:tcW w:w="4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3"/>
          </w:tcPr>
          <w:p>
            <w:pPr>
              <w:spacing w:after="0"/>
              <w:rPr>
                <w:sz w:val="2"/>
                <w:szCs w:val="2"/>
                <w:color w:val="auto"/>
              </w:rPr>
            </w:pPr>
          </w:p>
        </w:tc>
      </w:tr>
      <w:tr>
        <w:trPr>
          <w:trHeight w:val="190"/>
        </w:trPr>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2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300" w:type="dxa"/>
            <w:vAlign w:val="bottom"/>
          </w:tcPr>
          <w:p>
            <w:pPr>
              <w:spacing w:after="0"/>
              <w:rPr>
                <w:sz w:val="16"/>
                <w:szCs w:val="16"/>
                <w:color w:val="auto"/>
              </w:rPr>
            </w:pPr>
          </w:p>
        </w:tc>
        <w:tc>
          <w:tcPr>
            <w:tcW w:w="3020" w:type="dxa"/>
            <w:vAlign w:val="bottom"/>
            <w:gridSpan w:val="3"/>
          </w:tcPr>
          <w:p>
            <w:pPr>
              <w:jc w:val="right"/>
              <w:ind w:right="1114"/>
              <w:spacing w:after="0"/>
              <w:rPr>
                <w:sz w:val="20"/>
                <w:szCs w:val="20"/>
                <w:color w:val="auto"/>
              </w:rPr>
            </w:pPr>
            <w:r>
              <w:rPr>
                <w:rFonts w:ascii="Times New Roman" w:cs="Times New Roman" w:eastAsia="Times New Roman" w:hAnsi="Times New Roman"/>
                <w:sz w:val="14"/>
                <w:szCs w:val="14"/>
                <w:b w:val="1"/>
                <w:bCs w:val="1"/>
                <w:color w:val="auto"/>
              </w:rPr>
              <w:t>August 3, 2024</w:t>
            </w:r>
          </w:p>
        </w:tc>
      </w:tr>
      <w:tr>
        <w:trPr>
          <w:trHeight w:val="196"/>
        </w:trPr>
        <w:tc>
          <w:tcPr>
            <w:tcW w:w="45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8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8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 of Revenue*</w:t>
            </w:r>
          </w:p>
        </w:tc>
      </w:tr>
      <w:tr>
        <w:trPr>
          <w:trHeight w:val="216"/>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w:t>
            </w: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30"/>
        </w:trPr>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Distributors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1,592,407</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1,332,244</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29"/>
        </w:trPr>
        <w:tc>
          <w:tcPr>
            <w:tcW w:w="4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 customers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1,240,924</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940,317</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29"/>
        </w:trPr>
        <w:tc>
          <w:tcPr>
            <w:tcW w:w="45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47,017</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39,648</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48"/>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2,880,348</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2,312,209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396"/>
        </w:trPr>
        <w:tc>
          <w:tcPr>
            <w:tcW w:w="4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80" w:type="dxa"/>
            <w:vAlign w:val="bottom"/>
          </w:tcPr>
          <w:p>
            <w:pPr>
              <w:spacing w:after="0"/>
              <w:rPr>
                <w:sz w:val="24"/>
                <w:szCs w:val="24"/>
                <w:color w:val="auto"/>
              </w:rPr>
            </w:pPr>
          </w:p>
        </w:tc>
      </w:tr>
      <w:tr>
        <w:trPr>
          <w:trHeight w:val="23"/>
        </w:trPr>
        <w:tc>
          <w:tcPr>
            <w:tcW w:w="4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3"/>
          </w:tcPr>
          <w:p>
            <w:pPr>
              <w:spacing w:after="0"/>
              <w:rPr>
                <w:sz w:val="2"/>
                <w:szCs w:val="2"/>
                <w:color w:val="auto"/>
              </w:rPr>
            </w:pPr>
          </w:p>
        </w:tc>
      </w:tr>
      <w:tr>
        <w:trPr>
          <w:trHeight w:val="190"/>
        </w:trPr>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2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300" w:type="dxa"/>
            <w:vAlign w:val="bottom"/>
          </w:tcPr>
          <w:p>
            <w:pPr>
              <w:spacing w:after="0"/>
              <w:rPr>
                <w:sz w:val="16"/>
                <w:szCs w:val="16"/>
                <w:color w:val="auto"/>
              </w:rPr>
            </w:pPr>
          </w:p>
        </w:tc>
        <w:tc>
          <w:tcPr>
            <w:tcW w:w="3020" w:type="dxa"/>
            <w:vAlign w:val="bottom"/>
            <w:gridSpan w:val="3"/>
          </w:tcPr>
          <w:p>
            <w:pPr>
              <w:jc w:val="right"/>
              <w:ind w:right="1114"/>
              <w:spacing w:after="0"/>
              <w:rPr>
                <w:sz w:val="20"/>
                <w:szCs w:val="20"/>
                <w:color w:val="auto"/>
              </w:rPr>
            </w:pPr>
            <w:r>
              <w:rPr>
                <w:rFonts w:ascii="Times New Roman" w:cs="Times New Roman" w:eastAsia="Times New Roman" w:hAnsi="Times New Roman"/>
                <w:sz w:val="14"/>
                <w:szCs w:val="14"/>
                <w:b w:val="1"/>
                <w:bCs w:val="1"/>
                <w:color w:val="auto"/>
              </w:rPr>
              <w:t>August 3, 2024</w:t>
            </w:r>
          </w:p>
        </w:tc>
      </w:tr>
      <w:tr>
        <w:trPr>
          <w:trHeight w:val="196"/>
        </w:trPr>
        <w:tc>
          <w:tcPr>
            <w:tcW w:w="45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8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8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 of Revenue*</w:t>
            </w:r>
          </w:p>
        </w:tc>
      </w:tr>
      <w:tr>
        <w:trPr>
          <w:trHeight w:val="216"/>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w:t>
            </w: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30"/>
        </w:trPr>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Distributors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4,447,959</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4,115,836</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29"/>
        </w:trPr>
        <w:tc>
          <w:tcPr>
            <w:tcW w:w="4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 customers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3,386,571</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2,753,885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29"/>
        </w:trPr>
        <w:tc>
          <w:tcPr>
            <w:tcW w:w="45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109,060</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114,231</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48"/>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7,943,590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6,983,952</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The sum of the individual percentages may not equal the total due to rounding.</w:t>
      </w:r>
    </w:p>
    <w:p>
      <w:pPr>
        <w:spacing w:after="0" w:line="252"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As indicated in the tables above, the percentage of total revenue sold via each channel has remained relatively consistent in the periods presented, but can fluctuate from time to time based on end market revenue trends. As a percentage of total revenue, the decrease in the distributor channel is primarily due to the decrease in the percentage of revenue from our Industrial end market.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6"/>
                <w:szCs w:val="16"/>
                <w:color w:val="auto"/>
              </w:rPr>
            </w:pPr>
          </w:p>
        </w:tc>
      </w:tr>
      <w:tr>
        <w:trPr>
          <w:trHeight w:val="23"/>
        </w:trPr>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20" w:type="dxa"/>
            <w:vAlign w:val="bottom"/>
            <w:gridSpan w:val="3"/>
          </w:tcPr>
          <w:p>
            <w:pPr>
              <w:spacing w:after="0"/>
              <w:rPr>
                <w:sz w:val="2"/>
                <w:szCs w:val="2"/>
                <w:color w:val="auto"/>
              </w:rPr>
            </w:pPr>
          </w:p>
        </w:tc>
        <w:tc>
          <w:tcPr>
            <w:tcW w:w="124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r>
      <w:tr>
        <w:trPr>
          <w:trHeight w:val="190"/>
        </w:trPr>
        <w:tc>
          <w:tcPr>
            <w:tcW w:w="1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14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142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1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1,789,748</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   1,311,239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478,509</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4,831,661</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   3,965,215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866,446</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34"/>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60.8 %</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233"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Gross margin percentage increased by 540 and 400 basis points in the three- and nine-month periods ended August 2, 2025 as compared to the same periods of the prior fiscal year, primarily due to higher utilization of our factories as a result of increased customer demand as well as a decrease in amortization expense related to acquired intangible assets.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(R&amp;D)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6"/>
                <w:szCs w:val="16"/>
                <w:color w:val="auto"/>
              </w:rPr>
            </w:pPr>
          </w:p>
        </w:tc>
      </w:tr>
      <w:tr>
        <w:trPr>
          <w:trHeight w:val="23"/>
        </w:trPr>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200" w:type="dxa"/>
            <w:vAlign w:val="bottom"/>
            <w:gridSpan w:val="3"/>
          </w:tcPr>
          <w:p>
            <w:pPr>
              <w:spacing w:after="0"/>
              <w:rPr>
                <w:sz w:val="2"/>
                <w:szCs w:val="2"/>
                <w:color w:val="auto"/>
              </w:rPr>
            </w:pPr>
          </w:p>
        </w:tc>
        <w:tc>
          <w:tcPr>
            <w:tcW w:w="124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r>
      <w:tr>
        <w:trPr>
          <w:trHeight w:val="190"/>
        </w:trPr>
        <w:tc>
          <w:tcPr>
            <w:tcW w:w="14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142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1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R&amp;D expenses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454,251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362,671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91,580</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1,298,980</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   1,108,960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190,020</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175"/>
        </w:trPr>
        <w:tc>
          <w:tcPr>
            <w:tcW w:w="1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R&amp;D expenses as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 of revenue</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238"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R&amp;D expenses increased in the three- and nine-month periods ended August 2, 2025, as compared to the same periods of the prior fiscal year, primarily as a result of higher R&amp;D employee-related variable compensation expenses and higher salary and benefit expenses. R&amp;D expenses as a percentage of revenue will fluctuate from year-to-year depending on the amount of revenue and the success of new product development efforts, which we view as critical to our future growth. We expect to continue the development of innovative technologies and processes for new products. We believe that a continued commitment to R&amp;D is essential to maintain product leadership with our existing products as well as to provide innovative new product offerings.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Selling, Marketing, General and Administrative (SMG&amp;A)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6"/>
                <w:szCs w:val="16"/>
                <w:color w:val="auto"/>
              </w:rPr>
            </w:pPr>
          </w:p>
        </w:tc>
      </w:tr>
      <w:tr>
        <w:trPr>
          <w:trHeight w:val="23"/>
        </w:trPr>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20" w:type="dxa"/>
            <w:vAlign w:val="bottom"/>
            <w:gridSpan w:val="3"/>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r>
      <w:tr>
        <w:trPr>
          <w:trHeight w:val="190"/>
        </w:trPr>
        <w:tc>
          <w:tcPr>
            <w:tcW w:w="13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2"/>
        </w:trPr>
        <w:tc>
          <w:tcPr>
            <w:tcW w:w="138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SMG&amp;A</w:t>
            </w:r>
          </w:p>
        </w:tc>
        <w:tc>
          <w:tcPr>
            <w:tcW w:w="1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r>
      <w:tr>
        <w:trPr>
          <w:trHeight w:val="243"/>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325,706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257,213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68,493</w:t>
            </w:r>
          </w:p>
        </w:tc>
        <w:tc>
          <w:tcPr>
            <w:tcW w:w="10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27 %  $</w:t>
            </w:r>
          </w:p>
        </w:tc>
        <w:tc>
          <w:tcPr>
            <w:tcW w:w="11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913,171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791,420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121,751</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176"/>
        </w:trPr>
        <w:tc>
          <w:tcPr>
            <w:tcW w:w="1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SMG&amp;A</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4"/>
        </w:trPr>
        <w:tc>
          <w:tcPr>
            <w:tcW w:w="13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expenses as a %</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4"/>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revenue</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238" w:lineRule="exact"/>
        <w:rPr>
          <w:sz w:val="20"/>
          <w:szCs w:val="20"/>
          <w:color w:val="auto"/>
        </w:rPr>
      </w:pPr>
    </w:p>
    <w:p>
      <w:pPr>
        <w:ind w:right="300" w:firstLine="445"/>
        <w:spacing w:after="0" w:line="282" w:lineRule="auto"/>
        <w:rPr>
          <w:sz w:val="20"/>
          <w:szCs w:val="20"/>
          <w:color w:val="auto"/>
        </w:rPr>
      </w:pPr>
      <w:r>
        <w:rPr>
          <w:rFonts w:ascii="Times New Roman" w:cs="Times New Roman" w:eastAsia="Times New Roman" w:hAnsi="Times New Roman"/>
          <w:sz w:val="18"/>
          <w:szCs w:val="18"/>
          <w:color w:val="auto"/>
        </w:rPr>
        <w:t>SMG&amp;A expenses increased in the three- and nine-month periods ended August 2, 2025, as compared to the same periods of the prior fiscal year, primarily as a result of higher SMG&amp;A employee-related variable compensation expenses and higher salary and benefit expenses.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Intangibles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6"/>
                <w:szCs w:val="16"/>
                <w:color w:val="auto"/>
              </w:rPr>
            </w:pPr>
          </w:p>
        </w:tc>
      </w:tr>
      <w:tr>
        <w:trPr>
          <w:trHeight w:val="23"/>
        </w:trPr>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40" w:type="dxa"/>
            <w:vAlign w:val="bottom"/>
            <w:gridSpan w:val="3"/>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980" w:type="dxa"/>
            <w:vAlign w:val="bottom"/>
          </w:tcPr>
          <w:p>
            <w:pPr>
              <w:spacing w:after="0"/>
              <w:rPr>
                <w:sz w:val="2"/>
                <w:szCs w:val="2"/>
                <w:color w:val="auto"/>
              </w:rPr>
            </w:pPr>
          </w:p>
        </w:tc>
      </w:tr>
      <w:tr>
        <w:trPr>
          <w:trHeight w:val="190"/>
        </w:trPr>
        <w:tc>
          <w:tcPr>
            <w:tcW w:w="14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2"/>
        </w:trPr>
        <w:tc>
          <w:tcPr>
            <w:tcW w:w="142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r>
      <w:tr>
        <w:trPr>
          <w:trHeight w:val="243"/>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187,415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187,754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  $</w:t>
            </w:r>
          </w:p>
        </w:tc>
        <w:tc>
          <w:tcPr>
            <w:tcW w:w="11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562,245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567,030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75"/>
        </w:trPr>
        <w:tc>
          <w:tcPr>
            <w:tcW w:w="1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6"/>
        </w:trPr>
        <w:tc>
          <w:tcPr>
            <w:tcW w:w="1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expenses as a % of</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225" w:lineRule="exact"/>
        <w:rPr>
          <w:sz w:val="20"/>
          <w:szCs w:val="20"/>
          <w:color w:val="auto"/>
        </w:rPr>
      </w:pPr>
    </w:p>
    <w:p>
      <w:pPr>
        <w:ind w:right="360" w:firstLine="445"/>
        <w:spacing w:after="0" w:line="282" w:lineRule="auto"/>
        <w:rPr>
          <w:sz w:val="20"/>
          <w:szCs w:val="20"/>
          <w:color w:val="auto"/>
        </w:rPr>
      </w:pPr>
      <w:r>
        <w:rPr>
          <w:rFonts w:ascii="Times New Roman" w:cs="Times New Roman" w:eastAsia="Times New Roman" w:hAnsi="Times New Roman"/>
          <w:sz w:val="18"/>
          <w:szCs w:val="18"/>
          <w:color w:val="auto"/>
        </w:rPr>
        <w:t>Amortization expenses decreased in the three- and nine-month periods ended August 2, 2025, as compared to the same periods of the prior fiscal year, primarily as a result of a portion of our acquired intangible assets becoming fully amortized during fiscal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Charges, Net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60" w:type="dxa"/>
            <w:vAlign w:val="bottom"/>
          </w:tcPr>
          <w:p>
            <w:pPr>
              <w:spacing w:after="0"/>
              <w:rPr>
                <w:sz w:val="16"/>
                <w:szCs w:val="16"/>
                <w:color w:val="auto"/>
              </w:rPr>
            </w:pPr>
          </w:p>
        </w:tc>
      </w:tr>
      <w:tr>
        <w:trPr>
          <w:trHeight w:val="23"/>
        </w:trPr>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80" w:type="dxa"/>
            <w:vAlign w:val="bottom"/>
            <w:gridSpan w:val="3"/>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r>
      <w:tr>
        <w:trPr>
          <w:trHeight w:val="190"/>
        </w:trPr>
        <w:tc>
          <w:tcPr>
            <w:tcW w:w="14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70"/>
        </w:trPr>
        <w:tc>
          <w:tcPr>
            <w:tcW w:w="1460" w:type="dxa"/>
            <w:vAlign w:val="bottom"/>
            <w:tcBorders>
              <w:top w:val="single" w:sz="8" w:color="CCEEFF"/>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Special charges,</w:t>
            </w:r>
          </w:p>
        </w:tc>
        <w:tc>
          <w:tcPr>
            <w:tcW w:w="1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r>
      <w:tr>
        <w:trPr>
          <w:trHeight w:val="234"/>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10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69,980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35,581</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r>
    </w:tbl>
    <w:p>
      <w:pPr>
        <w:spacing w:after="0" w:line="238"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 xml:space="preserve">Special charges, net decreased in the three-month period ended August 2, 2025, as compared to the same period of the prior fiscal year, primarily due to decreased charges related to our Global Repositioning Actions. Special charges, net increased in the nine-month period ended August 2, 2025, as compared to the same period of the prior fiscal year, primarily due to charges related to our Global Repositioning Actions recorded in the first quarter of fiscal 2025. See Note 5, </w:t>
      </w:r>
      <w:r>
        <w:rPr>
          <w:rFonts w:ascii="Times New Roman" w:cs="Times New Roman" w:eastAsia="Times New Roman" w:hAnsi="Times New Roman"/>
          <w:sz w:val="18"/>
          <w:szCs w:val="18"/>
          <w:i w:val="1"/>
          <w:iCs w:val="1"/>
          <w:color w:val="auto"/>
        </w:rPr>
        <w:t>Special Charges, Net</w:t>
      </w:r>
      <w:r>
        <w:rPr>
          <w:rFonts w:ascii="Times New Roman" w:cs="Times New Roman" w:eastAsia="Times New Roman" w:hAnsi="Times New Roman"/>
          <w:sz w:val="18"/>
          <w:szCs w:val="18"/>
          <w:color w:val="auto"/>
        </w:rPr>
        <w:t>, in the Notes to Condensed Consolidated Financial Statements in Part I, Item 1 of this Quarterly Report on Form 10-Q for further discussion.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Nonoperating Expense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0"/>
        </w:trPr>
        <w:tc>
          <w:tcPr>
            <w:tcW w:w="35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 expense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68,328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(13,709)</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202,394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(40,022)</w:t>
            </w:r>
          </w:p>
        </w:tc>
      </w:tr>
    </w:tbl>
    <w:p>
      <w:pPr>
        <w:spacing w:after="0" w:line="238"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The year-over-year decrease in nonoperating expense (income) in the three-month period ended August 2, 2025, as compared to the same period of the prior fiscal year, was primarily due to lower foreign currency expenses and lower interest expense on our debt obligations.</w:t>
      </w:r>
    </w:p>
    <w:p>
      <w:pPr>
        <w:spacing w:after="0" w:line="108"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year-over-year decrease in nonoperating expense (income) in the nine-month period ended August 2, 2025, as compared to the same period of the prior fiscal year, was primarily due to the result of higher interest income on our cash, cash equivalents and short-term investments, lower interest expense on our debt obligations and lower foreign currency expenses.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0"/>
        </w:trPr>
        <w:tc>
          <w:tcPr>
            <w:tcW w:w="3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244,891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30,759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214,132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345,309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103,811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241,498</w:t>
            </w:r>
          </w:p>
        </w:tc>
      </w:tr>
      <w:tr>
        <w:trPr>
          <w:trHeight w:val="234"/>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58" w:lineRule="exact"/>
        <w:rPr>
          <w:sz w:val="20"/>
          <w:szCs w:val="20"/>
          <w:color w:val="auto"/>
        </w:rPr>
      </w:pPr>
    </w:p>
    <w:p>
      <w:pPr>
        <w:ind w:right="20" w:firstLine="445"/>
        <w:spacing w:after="0" w:line="250" w:lineRule="auto"/>
        <w:rPr>
          <w:sz w:val="20"/>
          <w:szCs w:val="20"/>
          <w:color w:val="auto"/>
        </w:rPr>
      </w:pPr>
      <w:r>
        <w:rPr>
          <w:rFonts w:ascii="Times New Roman" w:cs="Times New Roman" w:eastAsia="Times New Roman" w:hAnsi="Times New Roman"/>
          <w:sz w:val="18"/>
          <w:szCs w:val="18"/>
          <w:color w:val="auto"/>
        </w:rPr>
        <w:t>The tax rates for the three- and nine-month periods ended August 2, 2025 increased primarily due to a net deferred tax expense of $153.8 million recorded in the third quarter of fiscal 2025 related to the remeasurement of our GILTI-related deferred tax assets and liabilities attributable to the passage of the OBBBA.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
        </w:trPr>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20" w:type="dxa"/>
            <w:vAlign w:val="bottom"/>
            <w:gridSpan w:val="3"/>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980" w:type="dxa"/>
            <w:vAlign w:val="bottom"/>
          </w:tcPr>
          <w:p>
            <w:pPr>
              <w:spacing w:after="0"/>
              <w:rPr>
                <w:sz w:val="2"/>
                <w:szCs w:val="2"/>
                <w:color w:val="auto"/>
              </w:rPr>
            </w:pPr>
          </w:p>
        </w:tc>
      </w:tr>
      <w:tr>
        <w:trPr>
          <w:trHeight w:val="190"/>
        </w:trPr>
        <w:tc>
          <w:tcPr>
            <w:tcW w:w="15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1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518,518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392,232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126,286</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1,479,604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1,157,201</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322,403</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184"/>
        </w:trPr>
        <w:tc>
          <w:tcPr>
            <w:tcW w:w="15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Net income as a %</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4"/>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revenue</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9"/>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Net income increased in the three-month period ended August 2, 2025, as compared to the same period of the prior fiscal year, as the result of a</w:t>
      </w:r>
    </w:p>
    <w:p>
      <w:pPr>
        <w:spacing w:after="0" w:line="27"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8"/>
          <w:szCs w:val="18"/>
          <w:color w:val="auto"/>
        </w:rPr>
        <w:t>$326.7 million increase in operating income and a $13.7 million decrease in nonoperating expense (income), partially offset by a $214.1 million increase in provision for income taxes.</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income increased in the nine-month period ended August 2, 2025, as compared to the same period of the prior fiscal year, as the result of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$523.9 million increase in operating income and a $40.0 million decrease in nonoperating expense (income), partially offset by a $241.5 million increase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At August 2, 2025, our principal source of liquidity was $3.5 billion of cash, cash equivalents and short-term investments, of which approximately $2.3 billion was held in the United States, and the balance of which was held outside the United States in various foreign subsidiaries. We manage our worldwide cash requirements by, among other things, reviewing available funds held by our foreign subsidiaries and the cost effectiveness by which those funds can be accessed in the United States. We do not expect current regulatory restrictions or taxes on repatriation to have a material adverse effect on our overall liquidity, financial condition or results of operations. Our cash, cash equivalents and short-term investments consist of highly liquid investments, including money market funds and corporate and bank obligations. We maintain these balances with counterparties with high credit ratings, and continually monitor the amount of credit exposure to any one issuer and diversify our investments in order to minimize our credit risk.</w:t>
      </w:r>
    </w:p>
    <w:p>
      <w:pPr>
        <w:spacing w:after="0" w:line="81" w:lineRule="exact"/>
        <w:rPr>
          <w:sz w:val="20"/>
          <w:szCs w:val="20"/>
          <w:color w:val="auto"/>
        </w:rPr>
      </w:pPr>
    </w:p>
    <w:p>
      <w:pPr>
        <w:ind w:right="380" w:firstLine="445"/>
        <w:spacing w:after="0" w:line="263" w:lineRule="auto"/>
        <w:rPr>
          <w:sz w:val="20"/>
          <w:szCs w:val="20"/>
          <w:color w:val="auto"/>
        </w:rPr>
      </w:pPr>
      <w:r>
        <w:rPr>
          <w:rFonts w:ascii="Times New Roman" w:cs="Times New Roman" w:eastAsia="Times New Roman" w:hAnsi="Times New Roman"/>
          <w:sz w:val="18"/>
          <w:szCs w:val="18"/>
          <w:color w:val="auto"/>
        </w:rPr>
        <w:t>We believe that our existing sources of liquidity and cash expected to be generated from future operations, together with existing and anticipated available short- and long-term financing, will be sufficient to fund operations, capital expenditures, research and development efforts and dividend payments (if any) in the immediate future and for at least the next twelve months.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60" w:type="dxa"/>
            <w:vAlign w:val="bottom"/>
            <w:gridSpan w:val="4"/>
          </w:tcPr>
          <w:p>
            <w:pPr>
              <w:jc w:val="right"/>
              <w:ind w:right="115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7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7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300" w:type="dxa"/>
            <w:vAlign w:val="bottom"/>
          </w:tcPr>
          <w:p>
            <w:pPr>
              <w:spacing w:after="0"/>
              <w:rPr>
                <w:sz w:val="16"/>
                <w:szCs w:val="16"/>
                <w:color w:val="auto"/>
              </w:rPr>
            </w:pPr>
          </w:p>
        </w:tc>
        <w:tc>
          <w:tcPr>
            <w:tcW w:w="15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August 3, 2024</w:t>
            </w:r>
          </w:p>
        </w:tc>
      </w:tr>
      <w:tr>
        <w:trPr>
          <w:trHeight w:val="229"/>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3,111,392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2,801,712</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operations as a % of revenue</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(1,096,216)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(993,244)</w:t>
            </w: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(1,685,327)</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(660,497)</w:t>
            </w:r>
          </w:p>
        </w:tc>
      </w:tr>
    </w:tbl>
    <w:p>
      <w:pPr>
        <w:spacing w:after="0" w:line="179" w:lineRule="exact"/>
        <w:rPr>
          <w:sz w:val="20"/>
          <w:szCs w:val="20"/>
          <w:color w:val="auto"/>
        </w:rPr>
      </w:pPr>
    </w:p>
    <w:p>
      <w:pPr>
        <w:jc w:val="both"/>
        <w:ind w:right="60" w:firstLine="445"/>
        <w:spacing w:after="0" w:line="282" w:lineRule="auto"/>
        <w:rPr>
          <w:sz w:val="20"/>
          <w:szCs w:val="20"/>
          <w:color w:val="auto"/>
        </w:rPr>
      </w:pPr>
      <w:r>
        <w:rPr>
          <w:rFonts w:ascii="Times New Roman" w:cs="Times New Roman" w:eastAsia="Times New Roman" w:hAnsi="Times New Roman"/>
          <w:sz w:val="18"/>
          <w:szCs w:val="18"/>
          <w:color w:val="auto"/>
        </w:rPr>
        <w:t>The following changes contributed to the net change in cash and cash equivalents in the nine-month period ended August 2, 2025 as compared to the same period in fiscal 2024.</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is net income adjusted for certain non-cash items and changes in operating assets and liabilities. The increase in cash provided by operating activities during the nine-month period ended August 2, 2025, as compared to the same period of the prior fiscal year, was mainly the result of higher net income adjusted for non-cash items.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Investing cash flows generally consist of purchases of property, plant and equipment, available-for-sale investments and acquisitions of other businesses. The change in investing cash flows during the nine-month period ended August 2, 2025, as compared to the same period of the prior fiscal year, was primarily the result of changes in our short-term investments and a decrease in cash used for capital expenditures as the rate of spending on our global resiliency and hybrid manufacturing footprint moderated. The change in investing cash flows also included net proceeds from the sale of property, plant and equipment during the second quarter of fiscal 2025, partially offset by cash paid for an acquisition in the first quarter of fiscal 2025.</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Financing cash flows generally consist of payments of dividends to stockholders, repurchases of common stock, issuance and repayment of debt and proceeds from the sale of shares of common stock pursuant to employee equity incentive plans. The change in cash used for financing activities during the nine-month period ended August 2, 2025, as compared to the same period of the prior fiscal year, was primarily the result of higher common stock repurchases and higher dividend payments to shareholders.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18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November 2, 2024</w:t>
            </w: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1,553,259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1,336,331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216,928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Days sales outstanding*</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1,596,853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1,447,687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149,166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4"/>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Days cost of sales in inventory*</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27" w:lineRule="exact"/>
        <w:rPr>
          <w:sz w:val="20"/>
          <w:szCs w:val="20"/>
          <w:color w:val="auto"/>
        </w:rPr>
      </w:pPr>
    </w:p>
    <w:p>
      <w:pPr>
        <w:ind w:left="380" w:right="220" w:hanging="332"/>
        <w:spacing w:after="0" w:line="275" w:lineRule="auto"/>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use the average of the current quarter and prior quarter ending net accounts receivable and ending inventory balance in our calculation of days sales outstanding and days cost of sales in inventory, respectively.</w:t>
      </w:r>
    </w:p>
    <w:p>
      <w:pPr>
        <w:spacing w:after="0" w:line="56" w:lineRule="exact"/>
        <w:rPr>
          <w:sz w:val="20"/>
          <w:szCs w:val="20"/>
          <w:color w:val="auto"/>
        </w:rPr>
      </w:pPr>
    </w:p>
    <w:p>
      <w:pPr>
        <w:ind w:right="280" w:firstLine="445"/>
        <w:spacing w:after="0" w:line="282" w:lineRule="auto"/>
        <w:rPr>
          <w:sz w:val="20"/>
          <w:szCs w:val="20"/>
          <w:color w:val="auto"/>
        </w:rPr>
      </w:pPr>
      <w:r>
        <w:rPr>
          <w:rFonts w:ascii="Times New Roman" w:cs="Times New Roman" w:eastAsia="Times New Roman" w:hAnsi="Times New Roman"/>
          <w:sz w:val="18"/>
          <w:szCs w:val="18"/>
          <w:color w:val="auto"/>
        </w:rPr>
        <w:t>The increase in accounts receivable in dollars was primarily the result of variations in the timing of collections and billings and increased revenue levels in the third quarter of fiscal 2025 as compared to the fourth quarter of fiscal 2024.</w:t>
      </w:r>
    </w:p>
    <w:p>
      <w:pPr>
        <w:spacing w:after="0" w:line="54"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Inventory increased primarily as a result of our efforts to balance manufacturing production, demand and inventory levels. Our inventory levels are impacted by our need to support forecasted sales demand and variations between those forecasts and actual demand.</w:t>
      </w:r>
    </w:p>
    <w:p>
      <w:pPr>
        <w:spacing w:after="0" w:line="54"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Current liabilities decreased to $2,979.0 million at August 2, 2025 as compared to $2,988.3 million at the end of fiscal 2024 primarily due to the repayment of approximately $400.0 million of debt during the second quarter of fiscal 2025 partially offset by higher accrued liabilities.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8" w:right="3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6"/>
        </w:trPr>
        <w:tc>
          <w:tcPr>
            <w:tcW w:w="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Debt</w:t>
            </w:r>
          </w:p>
        </w:tc>
        <w:tc>
          <w:tcPr>
            <w:tcW w:w="8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24"/>
        </w:trPr>
        <w:tc>
          <w:tcPr>
            <w:tcW w:w="400" w:type="dxa"/>
            <w:vAlign w:val="bottom"/>
          </w:tcPr>
          <w:p>
            <w:pPr>
              <w:spacing w:after="0"/>
              <w:rPr>
                <w:sz w:val="24"/>
                <w:szCs w:val="24"/>
                <w:color w:val="auto"/>
              </w:rPr>
            </w:pPr>
          </w:p>
        </w:tc>
        <w:tc>
          <w:tcPr>
            <w:tcW w:w="8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 of August 2, 2025, our debt obligations consisted of the following:</w:t>
            </w: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2"/>
        </w:trPr>
        <w:tc>
          <w:tcPr>
            <w:tcW w:w="40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Principal Amount</w:t>
            </w:r>
          </w:p>
        </w:tc>
      </w:tr>
      <w:tr>
        <w:trPr>
          <w:trHeight w:val="241"/>
        </w:trPr>
        <w:tc>
          <w:tcPr>
            <w:tcW w:w="400" w:type="dxa"/>
            <w:vAlign w:val="bottom"/>
            <w:tcBorders>
              <w:bottom w:val="single" w:sz="8" w:color="CCEEFF"/>
            </w:tcBorders>
          </w:tcPr>
          <w:p>
            <w:pPr>
              <w:spacing w:after="0"/>
              <w:rPr>
                <w:sz w:val="20"/>
                <w:szCs w:val="20"/>
                <w:color w:val="auto"/>
              </w:rPr>
            </w:pPr>
          </w:p>
        </w:tc>
        <w:tc>
          <w:tcPr>
            <w:tcW w:w="86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w:t>
            </w:r>
          </w:p>
        </w:tc>
      </w:tr>
      <w:tr>
        <w:trPr>
          <w:trHeight w:val="225"/>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 notes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548,665</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2026</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June 2027</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440,212</w:t>
            </w: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June 2028</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850,000</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2028</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2030</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June 2030</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2031</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2031</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2032</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2034</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April 2034</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2036</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2036</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144,278</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2041</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2041</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2045</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2045</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332,587</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2051</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2051</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30"/>
        </w:trPr>
        <w:tc>
          <w:tcPr>
            <w:tcW w:w="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2054</w:t>
            </w:r>
          </w:p>
        </w:tc>
        <w:tc>
          <w:tcPr>
            <w:tcW w:w="8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Notes, due April 2054</w:t>
            </w: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550,000</w:t>
            </w:r>
          </w:p>
        </w:tc>
      </w:tr>
      <w:tr>
        <w:trPr>
          <w:trHeight w:val="248"/>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8,765,742</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86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320" w:firstLine="445"/>
        <w:spacing w:after="0" w:line="261" w:lineRule="auto"/>
        <w:rPr>
          <w:sz w:val="20"/>
          <w:szCs w:val="20"/>
          <w:color w:val="auto"/>
        </w:rPr>
      </w:pPr>
      <w:r>
        <w:rPr>
          <w:rFonts w:ascii="Times New Roman" w:cs="Times New Roman" w:eastAsia="Times New Roman" w:hAnsi="Times New Roman"/>
          <w:sz w:val="18"/>
          <w:szCs w:val="18"/>
          <w:color w:val="auto"/>
        </w:rPr>
        <w:t>The indentures governing our outstanding notes contain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August 2, 2025, we were in compliance with these covenants.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 Program</w:t>
      </w:r>
    </w:p>
    <w:p>
      <w:pPr>
        <w:spacing w:after="0" w:line="92"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Under our commercial paper program, we may issue short-term, unsecured commercial paper notes in amounts up to a maximum aggregate face amount of $2.5 billion outstanding at any time, with maturities of up to 397 days from the date of issuance. As of August 2, 2025, we had $548.7 million of outstanding borrowings under the commercial paper program recorded in the Condensed Consolidated Balance Sheet. In August 2025, during our fourth fiscal quarter, we increased the aggregate amount we may issue under our commercial paper program from $2.5 billion to $3.0 billion outstanding at any time. We use the net proceeds of the commercial paper program for general corporate purposes, including without limitation, repayment of indebtedness, stock repurchases, acquisitions, capital expenditures and working capital.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jc w:val="both"/>
        <w:ind w:right="340" w:firstLine="445"/>
        <w:spacing w:after="0" w:line="266" w:lineRule="auto"/>
        <w:rPr>
          <w:sz w:val="20"/>
          <w:szCs w:val="20"/>
          <w:color w:val="auto"/>
        </w:rPr>
      </w:pPr>
      <w:r>
        <w:rPr>
          <w:rFonts w:ascii="Times New Roman" w:cs="Times New Roman" w:eastAsia="Times New Roman" w:hAnsi="Times New Roman"/>
          <w:sz w:val="18"/>
          <w:szCs w:val="18"/>
          <w:color w:val="auto"/>
        </w:rPr>
        <w:t>The Revolving Credit Agreement provides for a five-year unsecured revolving credit facility in an aggregate principal amount not to exceed $3.0 billion (subject to certain terms and conditions). We may borrow under this revolving credit facility in the future and use the proceeds for repayment of existing indebtedness, stock repurchases, acquisitions, capital expenditures, working capital and other lawful corporate purposes.</w:t>
      </w:r>
    </w:p>
    <w:p>
      <w:pPr>
        <w:spacing w:after="0" w:line="68"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The Revolving Credit Agreement contains customary representations and warranties, and affirmative and negative covenants and events of default. The events of default include, among others, nonpayment of principal, interest, fees or other amounts, failure to perform certain covenants, cross-defaults to certain other indebtedness, insolvency or bankruptcy, customary ERISA defaults or the occurrence of a change of control. The negative covenants include limitations on liens and mergers and other fundamental changes, among others. The Revolving Credit Agreement also requires we maintain a ratio of consolidated earnings before interest, taxes, depreciation, and amortization (EBITDA) to consolidated interest charges of no less than 3.00 to 1.00 for any fiscal quarter ending thereafter. As of August 2, 2025, we were in compliance with these covenants.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06"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As of August 2, 2025, our Board of Directors had authorized us to repurchase an aggregate of $26.7 billion of our common stock under our common stock repurchase program and $10.3 billion remained available for repurchases under the program. The repurchased shares are held as authorized but unissued shares of common stock. Unless terminated earlier by resolution of our Board of Directors, the repurchase program will expire when we have utilized the entire amount authorized for repurchases of shares under the program. Future repurchases of common stock will be dependent upon our financial position, results of operations, outlook, liquidity and other factors we deem relevant.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92"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Net additions to property, plant and equipment were $318.4 million in the first nine months of fiscal 2025. We expect capital expenditures for fiscal 2025 to be between approximately 4% and 6% of fiscal 2025 revenue as spending returns to our long-term operating model. These capital expenditures will be funded with a combination of cash on hand and cash expected to be generated from future operations, together with existing and anticipated available short- and long-term financing.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On August 19, 2025, our Board of Directors declared a cash dividend of $0.99 per outstanding share of common stock. The dividend will be paid on September 16, 2025 to all shareholders of record at the close of business on September 2, 2025 and is expected to total approximately $487.0 million. We currently expect quarterly dividends to continue in future periods. The declaration of any future quarterly dividends, or a future increase in the quarterly dividend amount, will be at the discretion of the Board of Directors and will be dependent upon our financial position, results of operations, outlook, liquidity and other factors deemed relevant by the Board of Directors.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the third quarter of fiscal 2025, we issued $850.0 million aggregate principal amount of 4.250% senior unsecured notes due June 15, 2028 (2028 Notes) and $650.0 million aggregate principal amount of 4.500% senior unsecured notes due June 15, 2030 (2030 Notes). The 2028 Notes and the 2030 Notes have semi-annual fixed interest payments due on June 15 and December 15 of each year, commencing December 15, 2025. For additional information, see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Condensed Consolidated Financial Statements in Part I, Item 1 of this Quarterly Report on Form 10-Q.</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ind w:right="200" w:firstLine="445"/>
        <w:spacing w:after="0" w:line="258" w:lineRule="auto"/>
        <w:rPr>
          <w:sz w:val="20"/>
          <w:szCs w:val="20"/>
          <w:color w:val="auto"/>
        </w:rPr>
      </w:pPr>
      <w:r>
        <w:rPr>
          <w:rFonts w:ascii="Times New Roman" w:cs="Times New Roman" w:eastAsia="Times New Roman" w:hAnsi="Times New Roman"/>
          <w:sz w:val="18"/>
          <w:szCs w:val="18"/>
          <w:color w:val="auto"/>
        </w:rPr>
        <w:t xml:space="preserve">From time to time, new accounting pronouncements are issued by the Financial Accounting Standards Board that are adopted by us as of the specified effective date. Unless otherwise discussed, management believes that the impact of recently issued standards will not have a material impact on our future financial condition, results of operations, and disclosures. See Note 12, </w:t>
      </w:r>
      <w:r>
        <w:rPr>
          <w:rFonts w:ascii="Times New Roman" w:cs="Times New Roman" w:eastAsia="Times New Roman" w:hAnsi="Times New Roman"/>
          <w:sz w:val="18"/>
          <w:szCs w:val="18"/>
          <w:i w:val="1"/>
          <w:iCs w:val="1"/>
          <w:color w:val="auto"/>
        </w:rPr>
        <w:t>New Accounting Pronouncements,</w:t>
      </w:r>
      <w:r>
        <w:rPr>
          <w:rFonts w:ascii="Times New Roman" w:cs="Times New Roman" w:eastAsia="Times New Roman" w:hAnsi="Times New Roman"/>
          <w:sz w:val="18"/>
          <w:szCs w:val="18"/>
          <w:color w:val="auto"/>
        </w:rPr>
        <w:t xml:space="preserve"> in the Notes to Condensed Consolidated Financial Statements in Part I, Item 1 of this Quarterly Report on Form 10-Q for a description of recently issued and adopted accounting pronouncements, including the dates of adoption and impact on our historical financial condition, results of operations, and disclosures.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26" w:name="page27"/>
    <w:bookmarkEnd w:id="26"/>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We are subject to market risks related to our financial instruments, including those identified in Part II, Item 7A, “Quantitative and Qualitative Disclosures about Market Risk” of our Annual Report on Form 10-K for the fiscal year ended November 2, 2024, which was filed with the Securities and Exchange Commission on November 26, 2024. There were no material changes in the nine-month period ended August 2, 2025 to the information identified in the Annual Report on Form 10-K for the fiscal year ended November 2, 2024.</w:t>
      </w:r>
    </w:p>
    <w:p>
      <w:pPr>
        <w:spacing w:after="0" w:line="122"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7" w:lineRule="exact"/>
        <w:rPr>
          <w:sz w:val="20"/>
          <w:szCs w:val="20"/>
          <w:color w:val="auto"/>
        </w:rPr>
      </w:pPr>
    </w:p>
    <w:p>
      <w:pPr>
        <w:ind w:firstLine="8"/>
        <w:spacing w:after="0" w:line="253" w:lineRule="auto"/>
        <w:tabs>
          <w:tab w:leader="none" w:pos="2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Evaluation of Disclosure Controls and Procedures</w:t>
      </w:r>
      <w:r>
        <w:rPr>
          <w:rFonts w:ascii="Times New Roman" w:cs="Times New Roman" w:eastAsia="Times New Roman" w:hAnsi="Times New Roman"/>
          <w:sz w:val="18"/>
          <w:szCs w:val="18"/>
          <w:color w:val="auto"/>
        </w:rPr>
        <w:t>. Our management, with the participation of our Chief Executive Officer and Chief Financial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evaluated the effectiveness of our disclosure controls and procedures as of August 2, 2025.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August 2, 2025, our Chief Executive Officer and Chief Financial Officer concluded that, as of such date, our disclosure controls and procedures were effective at the reasonable assurance level.</w:t>
      </w:r>
    </w:p>
    <w:p>
      <w:pPr>
        <w:spacing w:after="0" w:line="10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No change in our internal control over financial reporting (as defined in Rules 13a-15(f) and</w:t>
      </w:r>
    </w:p>
    <w:p>
      <w:pPr>
        <w:spacing w:after="0" w:line="29" w:lineRule="exact"/>
        <w:rPr>
          <w:rFonts w:ascii="Times New Roman" w:cs="Times New Roman" w:eastAsia="Times New Roman" w:hAnsi="Times New Roman"/>
          <w:sz w:val="18"/>
          <w:szCs w:val="18"/>
          <w:color w:val="auto"/>
        </w:rPr>
      </w:pPr>
    </w:p>
    <w:p>
      <w:pPr>
        <w:ind w:right="4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under the Exchange Act) occurred during the quarter ended August 2, 2025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27" w:name="page28"/>
    <w:bookmarkEnd w:id="2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We are subject to a number of risks that could adversely affect our business, results of operations, financial condition and future prospects, including those identified in Part I, Item 1A, “Risk Factors” of our Annual Report on Form 10-K for the fiscal year ended November 2, 2024, which was filed with the Securities and Exchange Commission on November 26, 2024.</w:t>
      </w: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08" w:right="4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50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9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6"/>
        </w:trPr>
        <w:tc>
          <w:tcPr>
            <w:tcW w:w="9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6"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37"/>
        </w:trPr>
        <w:tc>
          <w:tcPr>
            <w:tcW w:w="9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7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jc w:val="center"/>
              <w:ind w:right="101"/>
              <w:spacing w:after="0" w:line="137"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6"/>
        </w:trPr>
        <w:tc>
          <w:tcPr>
            <w:tcW w:w="980" w:type="dxa"/>
            <w:vAlign w:val="bottom"/>
          </w:tcPr>
          <w:p>
            <w:pPr>
              <w:spacing w:after="0"/>
              <w:rPr>
                <w:sz w:val="12"/>
                <w:szCs w:val="12"/>
                <w:color w:val="auto"/>
              </w:rPr>
            </w:pPr>
          </w:p>
        </w:tc>
        <w:tc>
          <w:tcPr>
            <w:tcW w:w="3460" w:type="dxa"/>
            <w:vAlign w:val="bottom"/>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6"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98"/>
        </w:trPr>
        <w:tc>
          <w:tcPr>
            <w:tcW w:w="980" w:type="dxa"/>
            <w:vAlign w:val="bottom"/>
          </w:tcPr>
          <w:p>
            <w:pPr>
              <w:spacing w:after="0"/>
              <w:rPr>
                <w:sz w:val="17"/>
                <w:szCs w:val="17"/>
                <w:color w:val="auto"/>
              </w:rPr>
            </w:pPr>
          </w:p>
        </w:tc>
        <w:tc>
          <w:tcPr>
            <w:tcW w:w="3460" w:type="dxa"/>
            <w:vAlign w:val="bottom"/>
            <w:vMerge w:val="continue"/>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20" w:type="dxa"/>
            <w:vAlign w:val="bottom"/>
          </w:tcPr>
          <w:p>
            <w:pPr>
              <w:spacing w:after="0"/>
              <w:rPr>
                <w:sz w:val="17"/>
                <w:szCs w:val="17"/>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 Per Share (b)</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(c)</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28"/>
        </w:trPr>
        <w:tc>
          <w:tcPr>
            <w:tcW w:w="4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4, 2025 through May 31, 2025</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1,217,136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214.45</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1,195,522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11,095,423,271</w:t>
            </w:r>
          </w:p>
        </w:tc>
        <w:tc>
          <w:tcPr>
            <w:tcW w:w="0" w:type="dxa"/>
            <w:vAlign w:val="bottom"/>
          </w:tcPr>
          <w:p>
            <w:pPr>
              <w:spacing w:after="0"/>
              <w:rPr>
                <w:sz w:val="1"/>
                <w:szCs w:val="1"/>
                <w:color w:val="auto"/>
              </w:rPr>
            </w:pPr>
          </w:p>
        </w:tc>
      </w:tr>
      <w:tr>
        <w:trPr>
          <w:trHeight w:val="229"/>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1, 2025 through June 28, 2025</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1,402,921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228.08</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1,396,080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10,777,025,002</w:t>
            </w: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29, 2025 through August 2, 2025</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2,061,232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235.04</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2,052,170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10,294,691,776</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4,681,289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227.60</w:t>
            </w:r>
          </w:p>
        </w:tc>
        <w:tc>
          <w:tcPr>
            <w:tcW w:w="10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4,643,772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10,294,691,776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620" w:hanging="328"/>
        <w:spacing w:after="0" w:line="261" w:lineRule="auto"/>
        <w:tabs>
          <w:tab w:leader="none" w:pos="6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aggregate of 37,517 shares withheld by us from employees to satisfy employee tax obligations upon vesting of restricted stock units/awards granted to our employees under our equity compensation plans.</w:t>
      </w:r>
    </w:p>
    <w:p>
      <w:pPr>
        <w:ind w:left="660" w:right="160" w:hanging="328"/>
        <w:spacing w:after="0" w:line="250"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for shares in connection with vesting of restricted stock units/awards are averages of the closing stock price at the vesting date which is used to calculate the number of shares to be withheld.</w:t>
      </w:r>
    </w:p>
    <w:p>
      <w:pPr>
        <w:ind w:left="660" w:right="420" w:hanging="328"/>
        <w:spacing w:after="0" w:line="255" w:lineRule="auto"/>
        <w:tabs>
          <w:tab w:leader="none" w:pos="6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repurchased pursuant to the stock repurchase program publicly announced on August 12, 2004 and updated thereafter. Under the repurchase program, we may repurchase outstanding shares of our common stock from time to time in the open market and through privately negotiated transactions.</w:t>
      </w:r>
    </w:p>
    <w:p>
      <w:pPr>
        <w:spacing w:after="0" w:line="371"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jc w:val="both"/>
        <w:ind w:right="120" w:firstLine="445"/>
        <w:spacing w:after="0" w:line="266" w:lineRule="auto"/>
        <w:rPr>
          <w:sz w:val="20"/>
          <w:szCs w:val="20"/>
          <w:color w:val="auto"/>
        </w:rPr>
      </w:pPr>
      <w:r>
        <w:rPr>
          <w:rFonts w:ascii="Times New Roman" w:cs="Times New Roman" w:eastAsia="Times New Roman" w:hAnsi="Times New Roman"/>
          <w:sz w:val="18"/>
          <w:szCs w:val="18"/>
          <w:color w:val="auto"/>
        </w:rPr>
        <w:t>The following table describes contracts, instructions or written plans for the sale or purchase of our securities adopted or terminated by our directors or officers during the third quarter of fiscal 2025 that are intended to satisfy the affirmative defense conditions of Rule 10b5-1(c) under the Exchange Act (Rule 10b5-1 trading arrangement).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Adoption/</w:t>
            </w:r>
          </w:p>
        </w:tc>
        <w:tc>
          <w:tcPr>
            <w:tcW w:w="354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Number of</w:t>
            </w:r>
          </w:p>
        </w:tc>
        <w:tc>
          <w:tcPr>
            <w:tcW w:w="0" w:type="dxa"/>
            <w:vAlign w:val="bottom"/>
          </w:tcPr>
          <w:p>
            <w:pPr>
              <w:spacing w:after="0"/>
              <w:rPr>
                <w:sz w:val="1"/>
                <w:szCs w:val="1"/>
                <w:color w:val="auto"/>
              </w:rPr>
            </w:pPr>
          </w:p>
        </w:tc>
      </w:tr>
      <w:tr>
        <w:trPr>
          <w:trHeight w:val="146"/>
        </w:trPr>
        <w:tc>
          <w:tcPr>
            <w:tcW w:w="3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114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580" w:type="dxa"/>
            <w:vAlign w:val="bottom"/>
            <w:vMerge w:val="continue"/>
          </w:tcPr>
          <w:p>
            <w:pPr>
              <w:spacing w:after="0"/>
              <w:rPr>
                <w:sz w:val="12"/>
                <w:szCs w:val="12"/>
                <w:color w:val="auto"/>
              </w:rPr>
            </w:pPr>
          </w:p>
        </w:tc>
        <w:tc>
          <w:tcPr>
            <w:tcW w:w="3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Duration of Rule 10b5-1 Trading Arrangement</w:t>
            </w:r>
          </w:p>
        </w:tc>
        <w:tc>
          <w:tcPr>
            <w:tcW w:w="1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Securities to Be Purchased or</w:t>
            </w:r>
          </w:p>
        </w:tc>
        <w:tc>
          <w:tcPr>
            <w:tcW w:w="0" w:type="dxa"/>
            <w:vAlign w:val="bottom"/>
          </w:tcPr>
          <w:p>
            <w:pPr>
              <w:spacing w:after="0"/>
              <w:rPr>
                <w:sz w:val="1"/>
                <w:szCs w:val="1"/>
                <w:color w:val="auto"/>
              </w:rPr>
            </w:pPr>
          </w:p>
        </w:tc>
      </w:tr>
      <w:tr>
        <w:trPr>
          <w:trHeight w:val="198"/>
        </w:trPr>
        <w:tc>
          <w:tcPr>
            <w:tcW w:w="306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3540" w:type="dxa"/>
            <w:vAlign w:val="bottom"/>
            <w:vMerge w:val="continue"/>
          </w:tcPr>
          <w:p>
            <w:pPr>
              <w:spacing w:after="0"/>
              <w:rPr>
                <w:sz w:val="17"/>
                <w:szCs w:val="17"/>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Sold</w:t>
            </w:r>
          </w:p>
        </w:tc>
        <w:tc>
          <w:tcPr>
            <w:tcW w:w="0" w:type="dxa"/>
            <w:vAlign w:val="bottom"/>
          </w:tcPr>
          <w:p>
            <w:pPr>
              <w:spacing w:after="0"/>
              <w:rPr>
                <w:sz w:val="1"/>
                <w:szCs w:val="1"/>
                <w:color w:val="auto"/>
              </w:rPr>
            </w:pPr>
          </w:p>
        </w:tc>
      </w:tr>
      <w:tr>
        <w:trPr>
          <w:trHeight w:val="180"/>
        </w:trPr>
        <w:tc>
          <w:tcPr>
            <w:tcW w:w="306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Vincent Roche</w:t>
            </w:r>
          </w:p>
        </w:tc>
        <w:tc>
          <w:tcPr>
            <w:tcW w:w="11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354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Until May 1, 2026, or such earlier date upon</w:t>
            </w:r>
          </w:p>
        </w:tc>
        <w:tc>
          <w:tcPr>
            <w:tcW w:w="1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Sale of up to 140,000</w:t>
            </w:r>
          </w:p>
        </w:tc>
        <w:tc>
          <w:tcPr>
            <w:tcW w:w="0" w:type="dxa"/>
            <w:vAlign w:val="bottom"/>
          </w:tcPr>
          <w:p>
            <w:pPr>
              <w:spacing w:after="0"/>
              <w:rPr>
                <w:sz w:val="1"/>
                <w:szCs w:val="1"/>
                <w:color w:val="auto"/>
              </w:rPr>
            </w:pPr>
          </w:p>
        </w:tc>
      </w:tr>
      <w:tr>
        <w:trPr>
          <w:trHeight w:val="81"/>
        </w:trPr>
        <w:tc>
          <w:tcPr>
            <w:tcW w:w="3060" w:type="dxa"/>
            <w:vAlign w:val="bottom"/>
            <w:vMerge w:val="restart"/>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rPr>
              <w:t>Chief Executive Officer and Chair of the</w:t>
            </w:r>
          </w:p>
        </w:tc>
        <w:tc>
          <w:tcPr>
            <w:tcW w:w="1140" w:type="dxa"/>
            <w:vAlign w:val="bottom"/>
            <w:vMerge w:val="restart"/>
            <w:shd w:val="clear" w:color="auto" w:fill="CCEEFF"/>
          </w:tcPr>
          <w:p>
            <w:pPr>
              <w:jc w:val="center"/>
              <w:ind w:right="16"/>
              <w:spacing w:after="0" w:line="184" w:lineRule="exact"/>
              <w:rPr>
                <w:sz w:val="20"/>
                <w:szCs w:val="20"/>
                <w:color w:val="auto"/>
              </w:rPr>
            </w:pPr>
            <w:r>
              <w:rPr>
                <w:rFonts w:ascii="Times New Roman" w:cs="Times New Roman" w:eastAsia="Times New Roman" w:hAnsi="Times New Roman"/>
                <w:sz w:val="18"/>
                <w:szCs w:val="18"/>
                <w:color w:val="auto"/>
                <w:w w:val="98"/>
              </w:rPr>
              <w:t>Termination</w:t>
            </w:r>
          </w:p>
        </w:tc>
        <w:tc>
          <w:tcPr>
            <w:tcW w:w="1580" w:type="dxa"/>
            <w:vAlign w:val="bottom"/>
            <w:vMerge w:val="restart"/>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May 23, 2025 (1)</w:t>
            </w:r>
          </w:p>
        </w:tc>
        <w:tc>
          <w:tcPr>
            <w:tcW w:w="3540" w:type="dxa"/>
            <w:vAlign w:val="bottom"/>
            <w:vMerge w:val="restart"/>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rPr>
              <w:t>which all transactions are completed or expire</w:t>
            </w:r>
          </w:p>
        </w:tc>
        <w:tc>
          <w:tcPr>
            <w:tcW w:w="19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3060" w:type="dxa"/>
            <w:vAlign w:val="bottom"/>
            <w:vMerge w:val="continue"/>
            <w:shd w:val="clear" w:color="auto" w:fill="CCEEFF"/>
          </w:tcPr>
          <w:p>
            <w:pPr>
              <w:spacing w:after="0"/>
              <w:rPr>
                <w:sz w:val="8"/>
                <w:szCs w:val="8"/>
                <w:color w:val="auto"/>
              </w:rPr>
            </w:pPr>
          </w:p>
        </w:tc>
        <w:tc>
          <w:tcPr>
            <w:tcW w:w="1140" w:type="dxa"/>
            <w:vAlign w:val="bottom"/>
            <w:vMerge w:val="continue"/>
            <w:shd w:val="clear" w:color="auto" w:fill="CCEEFF"/>
          </w:tcPr>
          <w:p>
            <w:pPr>
              <w:spacing w:after="0"/>
              <w:rPr>
                <w:sz w:val="8"/>
                <w:szCs w:val="8"/>
                <w:color w:val="auto"/>
              </w:rPr>
            </w:pPr>
          </w:p>
        </w:tc>
        <w:tc>
          <w:tcPr>
            <w:tcW w:w="1580" w:type="dxa"/>
            <w:vAlign w:val="bottom"/>
            <w:vMerge w:val="continue"/>
            <w:shd w:val="clear" w:color="auto" w:fill="CCEEFF"/>
          </w:tcPr>
          <w:p>
            <w:pPr>
              <w:spacing w:after="0"/>
              <w:rPr>
                <w:sz w:val="8"/>
                <w:szCs w:val="8"/>
                <w:color w:val="auto"/>
              </w:rPr>
            </w:pPr>
          </w:p>
        </w:tc>
        <w:tc>
          <w:tcPr>
            <w:tcW w:w="3540" w:type="dxa"/>
            <w:vAlign w:val="bottom"/>
            <w:vMerge w:val="continue"/>
            <w:shd w:val="clear" w:color="auto" w:fill="CCEEFF"/>
          </w:tcPr>
          <w:p>
            <w:pPr>
              <w:spacing w:after="0"/>
              <w:rPr>
                <w:sz w:val="8"/>
                <w:szCs w:val="8"/>
                <w:color w:val="auto"/>
              </w:rPr>
            </w:pPr>
          </w:p>
        </w:tc>
        <w:tc>
          <w:tcPr>
            <w:tcW w:w="1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shares (2)</w:t>
            </w:r>
          </w:p>
        </w:tc>
        <w:tc>
          <w:tcPr>
            <w:tcW w:w="0" w:type="dxa"/>
            <w:vAlign w:val="bottom"/>
          </w:tcPr>
          <w:p>
            <w:pPr>
              <w:spacing w:after="0"/>
              <w:rPr>
                <w:sz w:val="1"/>
                <w:szCs w:val="1"/>
                <w:color w:val="auto"/>
              </w:rPr>
            </w:pPr>
          </w:p>
        </w:tc>
      </w:tr>
      <w:tr>
        <w:trPr>
          <w:trHeight w:val="131"/>
        </w:trPr>
        <w:tc>
          <w:tcPr>
            <w:tcW w:w="3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Board of Directors</w:t>
            </w:r>
          </w:p>
        </w:tc>
        <w:tc>
          <w:tcPr>
            <w:tcW w:w="11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3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without execution</w:t>
            </w:r>
          </w:p>
        </w:tc>
        <w:tc>
          <w:tcPr>
            <w:tcW w:w="19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060" w:type="dxa"/>
            <w:vAlign w:val="bottom"/>
            <w:vMerge w:val="continue"/>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3540" w:type="dxa"/>
            <w:vAlign w:val="bottom"/>
            <w:vMerge w:val="continue"/>
            <w:shd w:val="clear" w:color="auto" w:fill="CCEEFF"/>
          </w:tcPr>
          <w:p>
            <w:pPr>
              <w:spacing w:after="0"/>
              <w:rPr>
                <w:sz w:val="8"/>
                <w:szCs w:val="8"/>
                <w:color w:val="auto"/>
              </w:rPr>
            </w:pPr>
          </w:p>
        </w:tc>
        <w:tc>
          <w:tcPr>
            <w:tcW w:w="19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30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Vincent Roche</w:t>
            </w:r>
          </w:p>
        </w:tc>
        <w:tc>
          <w:tcPr>
            <w:tcW w:w="1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5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Until May 1, 2026, or such earlier date upon</w:t>
            </w: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Sale of up to</w:t>
            </w:r>
          </w:p>
        </w:tc>
        <w:tc>
          <w:tcPr>
            <w:tcW w:w="0" w:type="dxa"/>
            <w:vAlign w:val="bottom"/>
          </w:tcPr>
          <w:p>
            <w:pPr>
              <w:spacing w:after="0"/>
              <w:rPr>
                <w:sz w:val="1"/>
                <w:szCs w:val="1"/>
                <w:color w:val="auto"/>
              </w:rPr>
            </w:pPr>
          </w:p>
        </w:tc>
      </w:tr>
      <w:tr>
        <w:trPr>
          <w:trHeight w:val="81"/>
        </w:trPr>
        <w:tc>
          <w:tcPr>
            <w:tcW w:w="3060" w:type="dxa"/>
            <w:vAlign w:val="bottom"/>
            <w:vMerge w:val="restart"/>
          </w:tcPr>
          <w:p>
            <w:pPr>
              <w:jc w:val="center"/>
              <w:spacing w:after="0" w:line="184" w:lineRule="exact"/>
              <w:rPr>
                <w:sz w:val="20"/>
                <w:szCs w:val="20"/>
                <w:color w:val="auto"/>
              </w:rPr>
            </w:pPr>
            <w:r>
              <w:rPr>
                <w:rFonts w:ascii="Times New Roman" w:cs="Times New Roman" w:eastAsia="Times New Roman" w:hAnsi="Times New Roman"/>
                <w:sz w:val="18"/>
                <w:szCs w:val="18"/>
                <w:color w:val="auto"/>
              </w:rPr>
              <w:t>Chief Executive Officer and Chair of the</w:t>
            </w:r>
          </w:p>
        </w:tc>
        <w:tc>
          <w:tcPr>
            <w:tcW w:w="1140" w:type="dxa"/>
            <w:vAlign w:val="bottom"/>
            <w:vMerge w:val="restart"/>
          </w:tcPr>
          <w:p>
            <w:pPr>
              <w:jc w:val="center"/>
              <w:ind w:right="16"/>
              <w:spacing w:after="0" w:line="184" w:lineRule="exact"/>
              <w:rPr>
                <w:sz w:val="20"/>
                <w:szCs w:val="20"/>
                <w:color w:val="auto"/>
              </w:rPr>
            </w:pPr>
            <w:r>
              <w:rPr>
                <w:rFonts w:ascii="Times New Roman" w:cs="Times New Roman" w:eastAsia="Times New Roman" w:hAnsi="Times New Roman"/>
                <w:sz w:val="18"/>
                <w:szCs w:val="18"/>
                <w:color w:val="auto"/>
                <w:w w:val="99"/>
              </w:rPr>
              <w:t>Adoption</w:t>
            </w:r>
          </w:p>
        </w:tc>
        <w:tc>
          <w:tcPr>
            <w:tcW w:w="1580" w:type="dxa"/>
            <w:vAlign w:val="bottom"/>
            <w:vMerge w:val="restart"/>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May 23, 2025 (1)</w:t>
            </w:r>
          </w:p>
        </w:tc>
        <w:tc>
          <w:tcPr>
            <w:tcW w:w="3540" w:type="dxa"/>
            <w:vAlign w:val="bottom"/>
            <w:vMerge w:val="restart"/>
          </w:tcPr>
          <w:p>
            <w:pPr>
              <w:jc w:val="center"/>
              <w:spacing w:after="0" w:line="184" w:lineRule="exact"/>
              <w:rPr>
                <w:sz w:val="20"/>
                <w:szCs w:val="20"/>
                <w:color w:val="auto"/>
              </w:rPr>
            </w:pPr>
            <w:r>
              <w:rPr>
                <w:rFonts w:ascii="Times New Roman" w:cs="Times New Roman" w:eastAsia="Times New Roman" w:hAnsi="Times New Roman"/>
                <w:sz w:val="18"/>
                <w:szCs w:val="18"/>
                <w:color w:val="auto"/>
              </w:rPr>
              <w:t>which all transactions are completed or expire</w:t>
            </w: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306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3540" w:type="dxa"/>
            <w:vAlign w:val="bottom"/>
            <w:vMerge w:val="continue"/>
          </w:tcPr>
          <w:p>
            <w:pPr>
              <w:spacing w:after="0"/>
              <w:rPr>
                <w:sz w:val="8"/>
                <w:szCs w:val="8"/>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90,000 shares</w:t>
            </w:r>
          </w:p>
        </w:tc>
        <w:tc>
          <w:tcPr>
            <w:tcW w:w="0" w:type="dxa"/>
            <w:vAlign w:val="bottom"/>
          </w:tcPr>
          <w:p>
            <w:pPr>
              <w:spacing w:after="0"/>
              <w:rPr>
                <w:sz w:val="1"/>
                <w:szCs w:val="1"/>
                <w:color w:val="auto"/>
              </w:rPr>
            </w:pPr>
          </w:p>
        </w:tc>
      </w:tr>
      <w:tr>
        <w:trPr>
          <w:trHeight w:val="131"/>
        </w:trPr>
        <w:tc>
          <w:tcPr>
            <w:tcW w:w="3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Board of Directors</w:t>
            </w:r>
          </w:p>
        </w:tc>
        <w:tc>
          <w:tcPr>
            <w:tcW w:w="11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without execution</w:t>
            </w:r>
          </w:p>
        </w:tc>
        <w:tc>
          <w:tcPr>
            <w:tcW w:w="1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06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540" w:type="dxa"/>
            <w:vAlign w:val="bottom"/>
            <w:vMerge w:val="continue"/>
          </w:tcPr>
          <w:p>
            <w:pPr>
              <w:spacing w:after="0"/>
              <w:rPr>
                <w:sz w:val="8"/>
                <w:szCs w:val="8"/>
                <w:color w:val="auto"/>
              </w:rPr>
            </w:pPr>
          </w:p>
        </w:tc>
        <w:tc>
          <w:tcPr>
            <w:tcW w:w="1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480" w:hanging="328"/>
        <w:spacing w:after="0" w:line="261"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modification, as described in Rule 10b5-1(c)(1)(iv) under the Exchange Act, of a Rule 10b5-1 trading arrangement originally adopted on March 13, 2025.</w:t>
      </w:r>
    </w:p>
    <w:p>
      <w:pPr>
        <w:ind w:left="640" w:hanging="30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termination, no shares of our common stock had been sold under the Rule 10b5-1 trading arrangement.</w:t>
      </w:r>
    </w:p>
    <w:p>
      <w:pPr>
        <w:spacing w:after="0" w:line="112"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None of our officers or directors adopted or terminated a non-Rule 10b5-1 trading arrangement (as defined in Item 408(c) of Regulation S-K) during the third quarter of fiscal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080" w:type="dxa"/>
            <w:vAlign w:val="bottom"/>
            <w:gridSpan w:val="9"/>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51"/>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6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3"/>
        </w:trPr>
        <w:tc>
          <w:tcPr>
            <w:tcW w:w="700" w:type="dxa"/>
            <w:vAlign w:val="bottom"/>
            <w:tcBorders>
              <w:top w:val="single" w:sz="8" w:color="auto"/>
            </w:tcBorders>
          </w:tcPr>
          <w:p>
            <w:pPr>
              <w:jc w:val="center"/>
              <w:ind w:left="271"/>
              <w:spacing w:after="0"/>
              <w:rPr>
                <w:sz w:val="20"/>
                <w:szCs w:val="20"/>
                <w:color w:val="auto"/>
              </w:rPr>
            </w:pPr>
            <w:r>
              <w:rPr>
                <w:rFonts w:ascii="Times New Roman" w:cs="Times New Roman" w:eastAsia="Times New Roman" w:hAnsi="Times New Roman"/>
                <w:sz w:val="18"/>
                <w:szCs w:val="18"/>
                <w:color w:val="auto"/>
                <w:w w:val="97"/>
              </w:rPr>
              <w:t>4.1</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20" w:type="dxa"/>
            <w:vAlign w:val="bottom"/>
            <w:gridSpan w:val="8"/>
          </w:tcPr>
          <w:p>
            <w:pPr>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Supplemental Indenture, dated June 16, 2025, between Analog Devices, Inc. and The Bank of New York Mellon Trust Company,</w:t>
              </w:r>
            </w:hyperlink>
          </w:p>
        </w:tc>
      </w:tr>
      <w:tr>
        <w:trPr>
          <w:trHeight w:val="169"/>
        </w:trPr>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300" w:type="dxa"/>
            <w:vAlign w:val="bottom"/>
            <w:tcBorders>
              <w:top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N.A., as trustee (including the forms of note contained therein)</w:t>
              </w:r>
              <w:r>
                <w:rPr>
                  <w:rFonts w:ascii="Times New Roman" w:cs="Times New Roman" w:eastAsia="Times New Roman" w:hAnsi="Times New Roman"/>
                  <w:sz w:val="18"/>
                  <w:szCs w:val="18"/>
                  <w:color w:val="000000"/>
                  <w:w w:val="99"/>
                </w:rPr>
                <w:t>, filed as Exhibit 4.2 to the Company’s Current Report on Form 8-</w:t>
              </w:r>
            </w:hyperlink>
          </w:p>
        </w:tc>
        <w:tc>
          <w:tcPr>
            <w:tcW w:w="3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auto"/>
                <w:w w:val="92"/>
              </w:rPr>
              <w:t>K as</w:t>
            </w:r>
          </w:p>
        </w:tc>
      </w:tr>
      <w:tr>
        <w:trPr>
          <w:trHeight w:val="191"/>
        </w:trPr>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540" w:type="dxa"/>
            <w:vAlign w:val="bottom"/>
            <w:tcBorders>
              <w:top w:val="single" w:sz="8" w:color="0000FF"/>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filed with the Commission on June 16, 2025.</w:t>
            </w: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900" w:type="dxa"/>
            <w:vAlign w:val="bottom"/>
            <w:gridSpan w:val="2"/>
          </w:tcPr>
          <w:p>
            <w:pPr>
              <w:spacing w:after="0"/>
              <w:rPr>
                <w:sz w:val="16"/>
                <w:szCs w:val="16"/>
                <w:color w:val="auto"/>
              </w:rPr>
            </w:pPr>
          </w:p>
        </w:tc>
        <w:tc>
          <w:tcPr>
            <w:tcW w:w="260" w:type="dxa"/>
            <w:vAlign w:val="bottom"/>
          </w:tcPr>
          <w:p>
            <w:pPr>
              <w:spacing w:after="0"/>
              <w:rPr>
                <w:sz w:val="16"/>
                <w:szCs w:val="16"/>
                <w:color w:val="auto"/>
              </w:rPr>
            </w:pPr>
          </w:p>
        </w:tc>
      </w:tr>
      <w:tr>
        <w:trPr>
          <w:trHeight w:val="194"/>
        </w:trPr>
        <w:tc>
          <w:tcPr>
            <w:tcW w:w="108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31.1†</w:t>
            </w:r>
          </w:p>
        </w:tc>
        <w:tc>
          <w:tcPr>
            <w:tcW w:w="460" w:type="dxa"/>
            <w:vAlign w:val="bottom"/>
          </w:tcPr>
          <w:p>
            <w:pPr>
              <w:spacing w:after="0"/>
              <w:rPr>
                <w:sz w:val="16"/>
                <w:szCs w:val="16"/>
                <w:color w:val="auto"/>
              </w:rPr>
            </w:pPr>
          </w:p>
        </w:tc>
        <w:tc>
          <w:tcPr>
            <w:tcW w:w="962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FF"/>
              </w:rPr>
              <w:t>Certification Pursuant to Rule 13a-14(a) and 15d-14(a) of the Securities Exchange Act, as Adopted Pursuant to Section 302 of the</w:t>
            </w:r>
          </w:p>
        </w:tc>
      </w:tr>
      <w:tr>
        <w:trPr>
          <w:trHeight w:val="169"/>
        </w:trPr>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Sarbanes-Oxley Act of 2002 (Chief Executive Officer).</w:t>
            </w:r>
          </w:p>
        </w:tc>
        <w:tc>
          <w:tcPr>
            <w:tcW w:w="5360" w:type="dxa"/>
            <w:vAlign w:val="bottom"/>
            <w:tcBorders>
              <w:top w:val="single" w:sz="8" w:color="0000FF"/>
            </w:tcBorders>
            <w:gridSpan w:val="5"/>
          </w:tcPr>
          <w:p>
            <w:pPr>
              <w:spacing w:after="0"/>
              <w:rPr>
                <w:sz w:val="14"/>
                <w:szCs w:val="14"/>
                <w:color w:val="auto"/>
              </w:rPr>
            </w:pPr>
          </w:p>
        </w:tc>
        <w:tc>
          <w:tcPr>
            <w:tcW w:w="260" w:type="dxa"/>
            <w:vAlign w:val="bottom"/>
          </w:tcPr>
          <w:p>
            <w:pPr>
              <w:spacing w:after="0"/>
              <w:rPr>
                <w:sz w:val="14"/>
                <w:szCs w:val="14"/>
                <w:color w:val="auto"/>
              </w:rPr>
            </w:pPr>
          </w:p>
        </w:tc>
      </w:tr>
      <w:tr>
        <w:trPr>
          <w:trHeight w:val="209"/>
        </w:trPr>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460" w:type="dxa"/>
            <w:vAlign w:val="bottom"/>
          </w:tcPr>
          <w:p>
            <w:pPr>
              <w:spacing w:after="0"/>
              <w:rPr>
                <w:sz w:val="18"/>
                <w:szCs w:val="18"/>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Pursuant to Rule 13a-14(a) and 15d-14(a) of the Securities Exchange Act, as Adopted Pursuant to Section 302 of the</w:t>
            </w:r>
          </w:p>
        </w:tc>
      </w:tr>
      <w:tr>
        <w:trPr>
          <w:trHeight w:val="169"/>
        </w:trPr>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36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Sarbanes-Oxley Act of 2002 (Chief Financial Officer).</w:t>
            </w:r>
          </w:p>
        </w:tc>
        <w:tc>
          <w:tcPr>
            <w:tcW w:w="260" w:type="dxa"/>
            <w:vAlign w:val="bottom"/>
          </w:tcPr>
          <w:p>
            <w:pPr>
              <w:spacing w:after="0"/>
              <w:rPr>
                <w:sz w:val="14"/>
                <w:szCs w:val="14"/>
                <w:color w:val="auto"/>
              </w:rPr>
            </w:pPr>
          </w:p>
        </w:tc>
      </w:tr>
      <w:tr>
        <w:trPr>
          <w:trHeight w:val="20"/>
        </w:trPr>
        <w:tc>
          <w:tcPr>
            <w:tcW w:w="10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40" w:type="dxa"/>
            <w:vAlign w:val="bottom"/>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r>
      <w:tr>
        <w:trPr>
          <w:trHeight w:val="210"/>
        </w:trPr>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460" w:type="dxa"/>
            <w:vAlign w:val="bottom"/>
          </w:tcPr>
          <w:p>
            <w:pPr>
              <w:spacing w:after="0"/>
              <w:rPr>
                <w:sz w:val="18"/>
                <w:szCs w:val="18"/>
                <w:color w:val="auto"/>
              </w:rPr>
            </w:pPr>
          </w:p>
        </w:tc>
        <w:tc>
          <w:tcPr>
            <w:tcW w:w="54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(Chief Executive Officer).</w:t>
            </w:r>
          </w:p>
        </w:tc>
        <w:tc>
          <w:tcPr>
            <w:tcW w:w="4160" w:type="dxa"/>
            <w:vAlign w:val="bottom"/>
            <w:gridSpan w:val="3"/>
          </w:tcPr>
          <w:p>
            <w:pPr>
              <w:spacing w:after="0"/>
              <w:rPr>
                <w:sz w:val="18"/>
                <w:szCs w:val="18"/>
                <w:color w:val="auto"/>
              </w:rPr>
            </w:pPr>
          </w:p>
        </w:tc>
      </w:tr>
      <w:tr>
        <w:trPr>
          <w:trHeight w:val="209"/>
        </w:trPr>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460" w:type="dxa"/>
            <w:vAlign w:val="bottom"/>
          </w:tcPr>
          <w:p>
            <w:pPr>
              <w:spacing w:after="0"/>
              <w:rPr>
                <w:sz w:val="18"/>
                <w:szCs w:val="18"/>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(Chief Financial Officer).</w:t>
            </w:r>
          </w:p>
        </w:tc>
      </w:tr>
      <w:tr>
        <w:trPr>
          <w:trHeight w:val="20"/>
        </w:trPr>
        <w:tc>
          <w:tcPr>
            <w:tcW w:w="10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0" w:type="dxa"/>
            <w:vAlign w:val="bottom"/>
            <w:gridSpan w:val="4"/>
            <w:shd w:val="clear" w:color="auto" w:fill="0000FF"/>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r>
      <w:tr>
        <w:trPr>
          <w:trHeight w:val="205"/>
        </w:trPr>
        <w:tc>
          <w:tcPr>
            <w:tcW w:w="1080" w:type="dxa"/>
            <w:vAlign w:val="bottom"/>
            <w:gridSpan w:val="2"/>
          </w:tcPr>
          <w:p>
            <w:pPr>
              <w:jc w:val="center"/>
              <w:ind w:right="20"/>
              <w:spacing w:after="0" w:line="205" w:lineRule="exact"/>
              <w:rPr>
                <w:sz w:val="20"/>
                <w:szCs w:val="20"/>
                <w:color w:val="auto"/>
              </w:rPr>
            </w:pPr>
            <w:r>
              <w:rPr>
                <w:rFonts w:ascii="Times New Roman" w:cs="Times New Roman" w:eastAsia="Times New Roman" w:hAnsi="Times New Roman"/>
                <w:sz w:val="18"/>
                <w:szCs w:val="18"/>
                <w:color w:val="auto"/>
              </w:rPr>
              <w:t>101.INS†</w:t>
            </w:r>
          </w:p>
        </w:tc>
        <w:tc>
          <w:tcPr>
            <w:tcW w:w="460" w:type="dxa"/>
            <w:vAlign w:val="bottom"/>
          </w:tcPr>
          <w:p>
            <w:pPr>
              <w:spacing w:after="0"/>
              <w:rPr>
                <w:sz w:val="17"/>
                <w:szCs w:val="17"/>
                <w:color w:val="auto"/>
              </w:rPr>
            </w:pPr>
          </w:p>
        </w:tc>
        <w:tc>
          <w:tcPr>
            <w:tcW w:w="962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29"/>
        </w:trPr>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29"/>
        </w:trPr>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460" w:type="dxa"/>
            <w:vAlign w:val="bottom"/>
          </w:tcPr>
          <w:p>
            <w:pPr>
              <w:spacing w:after="0"/>
              <w:rPr>
                <w:sz w:val="19"/>
                <w:szCs w:val="19"/>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230"/>
        </w:trPr>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101.CAL†</w:t>
            </w:r>
          </w:p>
        </w:tc>
        <w:tc>
          <w:tcPr>
            <w:tcW w:w="460" w:type="dxa"/>
            <w:vAlign w:val="bottom"/>
          </w:tcPr>
          <w:p>
            <w:pPr>
              <w:spacing w:after="0"/>
              <w:rPr>
                <w:sz w:val="19"/>
                <w:szCs w:val="19"/>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229"/>
        </w:trPr>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101.LAB†</w:t>
            </w:r>
          </w:p>
        </w:tc>
        <w:tc>
          <w:tcPr>
            <w:tcW w:w="460" w:type="dxa"/>
            <w:vAlign w:val="bottom"/>
          </w:tcPr>
          <w:p>
            <w:pPr>
              <w:spacing w:after="0"/>
              <w:rPr>
                <w:sz w:val="19"/>
                <w:szCs w:val="19"/>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Labels Linkbase Document.</w:t>
            </w:r>
          </w:p>
        </w:tc>
      </w:tr>
      <w:tr>
        <w:trPr>
          <w:trHeight w:val="230"/>
        </w:trPr>
        <w:tc>
          <w:tcPr>
            <w:tcW w:w="10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101.PRE†</w:t>
            </w:r>
          </w:p>
        </w:tc>
        <w:tc>
          <w:tcPr>
            <w:tcW w:w="460" w:type="dxa"/>
            <w:vAlign w:val="bottom"/>
          </w:tcPr>
          <w:p>
            <w:pPr>
              <w:spacing w:after="0"/>
              <w:rPr>
                <w:sz w:val="19"/>
                <w:szCs w:val="19"/>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r>
        <w:trPr>
          <w:trHeight w:val="229"/>
        </w:trPr>
        <w:tc>
          <w:tcPr>
            <w:tcW w:w="10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101.DEF†</w:t>
            </w:r>
          </w:p>
        </w:tc>
        <w:tc>
          <w:tcPr>
            <w:tcW w:w="460" w:type="dxa"/>
            <w:vAlign w:val="bottom"/>
          </w:tcPr>
          <w:p>
            <w:pPr>
              <w:spacing w:after="0"/>
              <w:rPr>
                <w:sz w:val="19"/>
                <w:szCs w:val="19"/>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r>
        <w:trPr>
          <w:trHeight w:val="189"/>
        </w:trPr>
        <w:tc>
          <w:tcPr>
            <w:tcW w:w="10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104†</w:t>
            </w:r>
          </w:p>
        </w:tc>
        <w:tc>
          <w:tcPr>
            <w:tcW w:w="460" w:type="dxa"/>
            <w:vAlign w:val="bottom"/>
          </w:tcPr>
          <w:p>
            <w:pPr>
              <w:spacing w:after="0"/>
              <w:rPr>
                <w:sz w:val="16"/>
                <w:szCs w:val="16"/>
                <w:color w:val="auto"/>
              </w:rPr>
            </w:pPr>
          </w:p>
        </w:tc>
        <w:tc>
          <w:tcPr>
            <w:tcW w:w="962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w:t>
            </w:r>
          </w:p>
        </w:tc>
      </w:tr>
      <w:tr>
        <w:trPr>
          <w:trHeight w:val="234"/>
        </w:trPr>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r>
    </w:tbl>
    <w:p>
      <w:pPr>
        <w:ind w:left="1540" w:hanging="1050"/>
        <w:spacing w:after="0"/>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3" w:lineRule="exact"/>
        <w:rPr>
          <w:sz w:val="20"/>
          <w:szCs w:val="20"/>
          <w:color w:val="auto"/>
        </w:rPr>
      </w:pPr>
    </w:p>
    <w:p>
      <w:pPr>
        <w:ind w:left="1540" w:hanging="1050"/>
        <w:spacing w:after="0"/>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049" w:right="399" w:bottom="1440" w:gutter="0" w:footer="0" w:header="0"/>
        </w:sectPr>
      </w:pPr>
    </w:p>
    <w:bookmarkStart w:id="30" w:name="page31"/>
    <w:bookmarkEnd w:id="30"/>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0" w:firstLine="445"/>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76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499"/>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20, 2025</w:t>
            </w:r>
          </w:p>
        </w:tc>
        <w:tc>
          <w:tcPr>
            <w:tcW w:w="20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Vincent Roche</w:t>
            </w:r>
          </w:p>
        </w:tc>
      </w:tr>
      <w:tr>
        <w:trPr>
          <w:trHeight w:val="218"/>
        </w:trPr>
        <w:tc>
          <w:tcPr>
            <w:tcW w:w="3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Vincent Roche</w:t>
            </w:r>
          </w:p>
        </w:tc>
      </w:tr>
      <w:tr>
        <w:trPr>
          <w:trHeight w:val="229"/>
        </w:trPr>
        <w:tc>
          <w:tcPr>
            <w:tcW w:w="31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Chair of the Board of Directors</w:t>
            </w:r>
          </w:p>
        </w:tc>
      </w:tr>
      <w:tr>
        <w:trPr>
          <w:trHeight w:val="234"/>
        </w:trPr>
        <w:tc>
          <w:tcPr>
            <w:tcW w:w="31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20, 2025</w:t>
            </w:r>
          </w:p>
        </w:tc>
        <w:tc>
          <w:tcPr>
            <w:tcW w:w="20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Richard C. Puccio, Jr.</w:t>
            </w:r>
          </w:p>
        </w:tc>
      </w:tr>
      <w:tr>
        <w:trPr>
          <w:trHeight w:val="218"/>
        </w:trPr>
        <w:tc>
          <w:tcPr>
            <w:tcW w:w="3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Richard C. Puccio, Jr.</w:t>
            </w:r>
          </w:p>
        </w:tc>
      </w:tr>
      <w:tr>
        <w:trPr>
          <w:trHeight w:val="229"/>
        </w:trPr>
        <w:tc>
          <w:tcPr>
            <w:tcW w:w="31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31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20"/>
          </w:cols>
          <w:pgMar w:left="320" w:top="1008" w:right="65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Vincent Roche, certify that:</w:t>
      </w:r>
    </w:p>
    <w:p>
      <w:pPr>
        <w:spacing w:after="0" w:line="63"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Analog Devices, Inc.;</w:t>
      </w:r>
    </w:p>
    <w:p>
      <w:pPr>
        <w:spacing w:after="0" w:line="6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jc w:val="both"/>
        <w:ind w:left="1300" w:right="220" w:hanging="320"/>
        <w:spacing w:after="0" w:line="298" w:lineRule="auto"/>
        <w:tabs>
          <w:tab w:leader="none" w:pos="1291"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20" w:hanging="320"/>
        <w:spacing w:after="0" w:line="266" w:lineRule="auto"/>
        <w:tabs>
          <w:tab w:leader="none" w:pos="12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1" w:lineRule="auto"/>
        <w:tabs>
          <w:tab w:leader="none" w:pos="129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32486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Vincent Roche</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Executive Officer and Chair of the Board of</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Directors</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August 20, 2025</w:t>
      </w:r>
    </w:p>
    <w:p>
      <w:pPr>
        <w:sectPr>
          <w:pgSz w:w="11900" w:h="16838" w:orient="portrait"/>
          <w:cols w:equalWidth="0" w:num="1">
            <w:col w:w="11240"/>
          </w:cols>
          <w:pgMar w:left="320" w:top="914"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C. Puccio, Jr., certify that:</w:t>
      </w:r>
    </w:p>
    <w:p>
      <w:pPr>
        <w:spacing w:after="0" w:line="63"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Analog Devices, Inc.;</w:t>
      </w:r>
    </w:p>
    <w:p>
      <w:pPr>
        <w:spacing w:after="0" w:line="6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jc w:val="both"/>
        <w:ind w:left="1300" w:right="220" w:hanging="320"/>
        <w:spacing w:after="0" w:line="298" w:lineRule="auto"/>
        <w:tabs>
          <w:tab w:leader="none" w:pos="1291"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20" w:hanging="320"/>
        <w:spacing w:after="0" w:line="266" w:lineRule="auto"/>
        <w:tabs>
          <w:tab w:leader="none" w:pos="128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1" w:lineRule="auto"/>
        <w:tabs>
          <w:tab w:leader="none" w:pos="129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17"/>
          <w:szCs w:val="17"/>
          <w:color w:val="auto"/>
        </w:rPr>
        <w:t>Richard C. Puccio,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22860</wp:posOffset>
            </wp:positionV>
            <wp:extent cx="32486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Richard C. Puccio, Jr.</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August 20, 2025</w:t>
      </w:r>
    </w:p>
    <w:p>
      <w:pPr>
        <w:sectPr>
          <w:pgSz w:w="11900" w:h="16838" w:orient="portrait"/>
          <w:cols w:equalWidth="0" w:num="1">
            <w:col w:w="11240"/>
          </w:cols>
          <w:pgMar w:left="320" w:top="914"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Analog Devices, Inc. (the “Company”) for the period ended August 2, 2025 as filed with the Securities and Exchange Commission on the date hereof (the “Report”), the undersigned, Vincent Roche, Chief Executive Officer of the Company, hereby certifies, pursuant to 18 U.S.C. Section 1350, that:</w:t>
      </w:r>
    </w:p>
    <w:p>
      <w:pPr>
        <w:spacing w:after="0" w:line="14"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49" w:lineRule="exact"/>
        <w:rPr>
          <w:rFonts w:ascii="Times New Roman" w:cs="Times New Roman" w:eastAsia="Times New Roman" w:hAnsi="Times New Roman"/>
          <w:sz w:val="18"/>
          <w:szCs w:val="18"/>
          <w:color w:val="auto"/>
        </w:rPr>
      </w:pPr>
    </w:p>
    <w:p>
      <w:pPr>
        <w:ind w:left="6140" w:right="3860" w:hanging="40"/>
        <w:spacing w:after="0" w:line="31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 Vincent Roche Vincent Roche</w:t>
      </w:r>
    </w:p>
    <w:p>
      <w:pPr>
        <w:spacing w:after="0" w:line="1" w:lineRule="exact"/>
        <w:rPr>
          <w:rFonts w:ascii="Times New Roman" w:cs="Times New Roman" w:eastAsia="Times New Roman" w:hAnsi="Times New Roman"/>
          <w:sz w:val="18"/>
          <w:szCs w:val="18"/>
          <w:color w:val="auto"/>
        </w:rPr>
      </w:pPr>
    </w:p>
    <w:p>
      <w:pPr>
        <w:ind w:left="6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-307975</wp:posOffset>
            </wp:positionV>
            <wp:extent cx="30600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Date: August 20, 2025</w:t>
      </w:r>
    </w:p>
    <w:p>
      <w:pPr>
        <w:sectPr>
          <w:pgSz w:w="11900" w:h="16838" w:orient="portrait"/>
          <w:cols w:equalWidth="0" w:num="1">
            <w:col w:w="11240"/>
          </w:cols>
          <w:pgMar w:left="320" w:top="914"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Analog Devices, Inc. (the “Company”) for the period ended August 2, 2025 as filed with the Securities and Exchange Commission on the date hereof (the “Report”), the undersigned, Richard C. Puccio, Jr., Chief Financial Officer of the Company, hereby certifies, pursuant to 18 U.S.C. Section 1350, that:</w:t>
      </w:r>
    </w:p>
    <w:p>
      <w:pPr>
        <w:spacing w:after="0" w:line="14"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6100" w:right="140" w:hanging="5768"/>
        <w:spacing w:after="0" w:line="296" w:lineRule="auto"/>
        <w:tabs>
          <w:tab w:leader="none" w:pos="66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contained in the Report fairly presents, in all material respects, the financial condition and results of operations of the Company. </w:t>
      </w:r>
      <w:r>
        <w:rPr>
          <w:rFonts w:ascii="Times New Roman" w:cs="Times New Roman" w:eastAsia="Times New Roman" w:hAnsi="Times New Roman"/>
          <w:sz w:val="19"/>
          <w:szCs w:val="19"/>
          <w:color w:val="auto"/>
        </w:rPr>
        <w:t xml:space="preserve">/s/ </w:t>
      </w:r>
      <w:r>
        <w:rPr>
          <w:rFonts w:ascii="Times New Roman" w:cs="Times New Roman" w:eastAsia="Times New Roman" w:hAnsi="Times New Roman"/>
          <w:sz w:val="17"/>
          <w:szCs w:val="17"/>
          <w:color w:val="auto"/>
        </w:rPr>
        <w:t>Richard C. Puccio, Jr.</w:t>
      </w:r>
    </w:p>
    <w:p>
      <w:pPr>
        <w:spacing w:after="0" w:line="1" w:lineRule="exact"/>
        <w:rPr>
          <w:rFonts w:ascii="Times New Roman" w:cs="Times New Roman" w:eastAsia="Times New Roman" w:hAnsi="Times New Roman"/>
          <w:sz w:val="18"/>
          <w:szCs w:val="18"/>
          <w:color w:val="auto"/>
        </w:rPr>
      </w:pPr>
    </w:p>
    <w:p>
      <w:pPr>
        <w:ind w:left="6100" w:right="3480"/>
        <w:spacing w:after="0" w:line="3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Richard C. Puccio, Jr.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-345440</wp:posOffset>
            </wp:positionV>
            <wp:extent cx="30600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Date: August 20, 2025</w:t>
      </w:r>
    </w:p>
    <w:sectPr>
      <w:pgSz w:w="11900" w:h="16838" w:orient="portrait"/>
      <w:cols w:equalWidth="0" w:num="1">
        <w:col w:w="11240"/>
      </w:cols>
      <w:pgMar w:left="320" w:top="9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49" Type="http://schemas.openxmlformats.org/officeDocument/2006/relationships/hyperlink" Target="https://www.sec.gov/Archives/edgar/data/0000006281/000119312525141431/d42909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2025-08-20T06:14:19Z</dcterms:created>
  <dcterms:modified xsi:type="dcterms:W3CDTF">2025-08-20T06:14:19Z</dcterms:modified>
</cp:coreProperties>
</file>