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25, 2009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Borders>
              <w:bottom w:val="single" w:sz="8" w:color="auto"/>
            </w:tcBorders>
          </w:tcPr>
          <w:p>
            <w:pPr>
              <w:jc w:val="center"/>
              <w:ind w:right="1190"/>
              <w:spacing w:after="0"/>
              <w:rPr>
                <w:sz w:val="20"/>
                <w:szCs w:val="20"/>
                <w:color w:val="auto"/>
              </w:rPr>
            </w:pPr>
            <w:r>
              <w:rPr>
                <w:rFonts w:ascii="Arial" w:cs="Arial" w:eastAsia="Arial" w:hAnsi="Arial"/>
                <w:sz w:val="18"/>
                <w:szCs w:val="18"/>
                <w:b w:val="1"/>
                <w:bCs w:val="1"/>
                <w:color w:val="auto"/>
                <w:w w:val="86"/>
              </w:rPr>
              <w:t>Massachusetts</w:t>
            </w:r>
          </w:p>
        </w:tc>
        <w:tc>
          <w:tcPr>
            <w:tcW w:w="254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1-7819</w:t>
            </w:r>
          </w:p>
        </w:tc>
        <w:tc>
          <w:tcPr>
            <w:tcW w:w="416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b w:val="1"/>
                <w:bCs w:val="1"/>
                <w:color w:val="auto"/>
                <w:w w:val="89"/>
              </w:rPr>
              <w:t>04-2348234</w:t>
            </w:r>
          </w:p>
        </w:tc>
      </w:tr>
      <w:tr>
        <w:trPr>
          <w:trHeight w:val="209"/>
        </w:trPr>
        <w:tc>
          <w:tcPr>
            <w:tcW w:w="4720" w:type="dxa"/>
            <w:vAlign w:val="bottom"/>
          </w:tcPr>
          <w:p>
            <w:pPr>
              <w:jc w:val="center"/>
              <w:ind w:right="1190"/>
              <w:spacing w:after="0"/>
              <w:rPr>
                <w:sz w:val="20"/>
                <w:szCs w:val="20"/>
                <w:color w:val="auto"/>
              </w:rPr>
            </w:pPr>
            <w:r>
              <w:rPr>
                <w:rFonts w:ascii="Arial" w:cs="Arial" w:eastAsia="Arial" w:hAnsi="Arial"/>
                <w:sz w:val="18"/>
                <w:szCs w:val="18"/>
                <w:color w:val="auto"/>
                <w:w w:val="90"/>
              </w:rPr>
              <w:t>(State or Other Juris-</w:t>
            </w:r>
          </w:p>
        </w:tc>
        <w:tc>
          <w:tcPr>
            <w:tcW w:w="2540" w:type="dxa"/>
            <w:vAlign w:val="bottom"/>
          </w:tcPr>
          <w:p>
            <w:pPr>
              <w:jc w:val="center"/>
              <w:ind w:right="430"/>
              <w:spacing w:after="0"/>
              <w:rPr>
                <w:sz w:val="20"/>
                <w:szCs w:val="20"/>
                <w:color w:val="auto"/>
              </w:rPr>
            </w:pPr>
            <w:r>
              <w:rPr>
                <w:rFonts w:ascii="Arial" w:cs="Arial" w:eastAsia="Arial" w:hAnsi="Arial"/>
                <w:sz w:val="18"/>
                <w:szCs w:val="18"/>
                <w:color w:val="auto"/>
                <w:w w:val="93"/>
              </w:rPr>
              <w:t>(Commission</w:t>
            </w:r>
          </w:p>
        </w:tc>
        <w:tc>
          <w:tcPr>
            <w:tcW w:w="4160" w:type="dxa"/>
            <w:vAlign w:val="bottom"/>
          </w:tcPr>
          <w:p>
            <w:pPr>
              <w:jc w:val="center"/>
              <w:ind w:left="650"/>
              <w:spacing w:after="0"/>
              <w:rPr>
                <w:sz w:val="20"/>
                <w:szCs w:val="20"/>
                <w:color w:val="auto"/>
              </w:rPr>
            </w:pPr>
            <w:r>
              <w:rPr>
                <w:rFonts w:ascii="Arial" w:cs="Arial" w:eastAsia="Arial" w:hAnsi="Arial"/>
                <w:sz w:val="18"/>
                <w:szCs w:val="18"/>
                <w:color w:val="auto"/>
                <w:w w:val="93"/>
              </w:rPr>
              <w:t>(IRS Employer</w:t>
            </w:r>
          </w:p>
        </w:tc>
      </w:tr>
      <w:tr>
        <w:trPr>
          <w:trHeight w:val="230"/>
        </w:trPr>
        <w:tc>
          <w:tcPr>
            <w:tcW w:w="4720" w:type="dxa"/>
            <w:vAlign w:val="bottom"/>
          </w:tcPr>
          <w:p>
            <w:pPr>
              <w:jc w:val="center"/>
              <w:ind w:right="1170"/>
              <w:spacing w:after="0"/>
              <w:rPr>
                <w:sz w:val="20"/>
                <w:szCs w:val="20"/>
                <w:color w:val="auto"/>
              </w:rPr>
            </w:pPr>
            <w:r>
              <w:rPr>
                <w:rFonts w:ascii="Arial" w:cs="Arial" w:eastAsia="Arial" w:hAnsi="Arial"/>
                <w:sz w:val="18"/>
                <w:szCs w:val="18"/>
                <w:color w:val="auto"/>
                <w:w w:val="94"/>
              </w:rPr>
              <w:t>diction of Incorporation)</w:t>
            </w:r>
          </w:p>
        </w:tc>
        <w:tc>
          <w:tcPr>
            <w:tcW w:w="2540" w:type="dxa"/>
            <w:vAlign w:val="bottom"/>
          </w:tcPr>
          <w:p>
            <w:pPr>
              <w:jc w:val="center"/>
              <w:ind w:right="430"/>
              <w:spacing w:after="0"/>
              <w:rPr>
                <w:sz w:val="20"/>
                <w:szCs w:val="20"/>
                <w:color w:val="auto"/>
              </w:rPr>
            </w:pPr>
            <w:r>
              <w:rPr>
                <w:rFonts w:ascii="Arial" w:cs="Arial" w:eastAsia="Arial" w:hAnsi="Arial"/>
                <w:sz w:val="18"/>
                <w:szCs w:val="18"/>
                <w:color w:val="auto"/>
                <w:w w:val="94"/>
              </w:rPr>
              <w:t>File Number)</w:t>
            </w:r>
          </w:p>
        </w:tc>
        <w:tc>
          <w:tcPr>
            <w:tcW w:w="4160" w:type="dxa"/>
            <w:vAlign w:val="bottom"/>
          </w:tcPr>
          <w:p>
            <w:pPr>
              <w:jc w:val="center"/>
              <w:ind w:left="65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72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91"/>
              </w:rPr>
              <w:t>One Technology Way, Norwood, MA</w:t>
            </w:r>
          </w:p>
        </w:tc>
        <w:tc>
          <w:tcPr>
            <w:tcW w:w="25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b w:val="1"/>
                <w:bCs w:val="1"/>
                <w:color w:val="auto"/>
              </w:rPr>
              <w:t>02062</w:t>
            </w:r>
          </w:p>
        </w:tc>
      </w:tr>
      <w:tr>
        <w:trPr>
          <w:trHeight w:val="224"/>
        </w:trPr>
        <w:tc>
          <w:tcPr>
            <w:tcW w:w="4720" w:type="dxa"/>
            <w:vAlign w:val="bottom"/>
          </w:tcPr>
          <w:p>
            <w:pPr>
              <w:jc w:val="center"/>
              <w:ind w:left="61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19"/>
                <w:szCs w:val="19"/>
                <w:color w:val="auto"/>
              </w:rPr>
            </w:pPr>
          </w:p>
        </w:tc>
        <w:tc>
          <w:tcPr>
            <w:tcW w:w="4160" w:type="dxa"/>
            <w:vAlign w:val="bottom"/>
          </w:tcPr>
          <w:p>
            <w:pPr>
              <w:jc w:val="center"/>
              <w:ind w:right="1190"/>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(781) 329-4700</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Ex-1.1 - Underwriting Agreement, dated June 25, 2009</w:t>
      </w:r>
    </w:p>
    <w:p>
      <w:pPr>
        <w:spacing w:after="0" w:line="230" w:lineRule="auto"/>
        <w:rPr>
          <w:sz w:val="20"/>
          <w:szCs w:val="20"/>
          <w:color w:val="auto"/>
        </w:rPr>
      </w:pPr>
      <w:r>
        <w:rPr>
          <w:rFonts w:ascii="Arial" w:cs="Arial" w:eastAsia="Arial" w:hAnsi="Arial"/>
          <w:sz w:val="22"/>
          <w:szCs w:val="22"/>
          <w:u w:val="single" w:color="auto"/>
          <w:color w:val="0000EE"/>
        </w:rPr>
        <w:t>Ex-4.1 - Supplemental Indenture, dated June 30, 2009</w:t>
      </w:r>
    </w:p>
    <w:p>
      <w:pPr>
        <w:spacing w:after="0" w:line="231" w:lineRule="auto"/>
        <w:rPr>
          <w:sz w:val="20"/>
          <w:szCs w:val="20"/>
          <w:color w:val="auto"/>
        </w:rPr>
      </w:pPr>
      <w:r>
        <w:rPr>
          <w:rFonts w:ascii="Arial" w:cs="Arial" w:eastAsia="Arial" w:hAnsi="Arial"/>
          <w:sz w:val="22"/>
          <w:szCs w:val="22"/>
          <w:u w:val="single" w:color="auto"/>
          <w:color w:val="0000EE"/>
        </w:rPr>
        <w:t>Ex-4.2 - Form of 5.00% Global Note due July 1, 2014</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EE"/>
        </w:rPr>
        <w:t>Ex-5.1 - Opinion of Wilmer Cutler Pickering Hale and Dorr LLP, dated June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153035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On June 30, 2009, Analog Devices, Inc. (“Analog Devices”) issued $375 million aggregate principal amount of 5.00% notes due July 1, 2014 (the “Notes”) in a public offering pursuant to a registration statement on Form S-3 (File No. 333-160215) (the “Registration Statement”) and a related prospectus and prospectus supplement, each as filed with the Securities and Exchange Commission. The Notes were issued under an indenture dated June 30, 2009 (the “Indenture”), between Analog Devices and The Bank of New York Mellon Trust Company, N.A., as supplemented by a supplemental indenture dated</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June 30, 2009 (the “Supplemental Indenture”). The sale of the Notes was made pursuant to the terms of an Underwriting Agreement dated June 25, 2009 (the “Underwriting Agreement”), between Analog Devices and Credit Suisse Securities (USA) LLC, as representative of the several underwriters named therein. Analog Devices received net proceeds from the sale of the Notes, after deducting expenses and underwriting discounts and commissions, of approximately $370 million.</w:t>
      </w:r>
    </w:p>
    <w:p>
      <w:pPr>
        <w:spacing w:after="0" w:line="82"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The above description is qualified in its entirety by reference to the Underwriting Agreement, form of Indenture, Supplemental Indenture and form of 5.00% Global Note due July 1, 2014. The Underwriting Agreement is filed as Exhibit 1.1 hereto. The form of Indenture has been previously filed as Exhibit 4.1 to the Registration Statement. The Supplemental Indenture is filed as Exhibit 4.1 hereto and the form of 5.00% Global Note due July 1, 2014 is filed as Exhibit 4.2 hereto. The Underwriting Agreement, form of Indenture, Supplemental Indenture and form of 5.00% Global Note due July 1, 2014 are incorporated herein by reference.</w:t>
      </w:r>
    </w:p>
    <w:p>
      <w:pPr>
        <w:spacing w:after="0" w:line="80"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Wilmer Cutler Pickering Hale and Dorr LLP, counsel to Analog Devices, has issued an opinion to Analog Devices dated June 25, 2009, regarding the legality of the Notes upon issuance and sale thereof. A copy of the opinion as to legality is filed as Exhibit 5.1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Exhibit Index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ANALOG DEVICES, INC.</w:t>
            </w:r>
          </w:p>
        </w:tc>
        <w:tc>
          <w:tcPr>
            <w:tcW w:w="1640" w:type="dxa"/>
            <w:vAlign w:val="bottom"/>
          </w:tcPr>
          <w:p>
            <w:pPr>
              <w:spacing w:after="0"/>
              <w:rPr>
                <w:sz w:val="20"/>
                <w:szCs w:val="20"/>
                <w:color w:val="auto"/>
              </w:rPr>
            </w:pPr>
          </w:p>
        </w:tc>
      </w:tr>
      <w:tr>
        <w:trPr>
          <w:trHeight w:val="432"/>
        </w:trPr>
        <w:tc>
          <w:tcPr>
            <w:tcW w:w="5240" w:type="dxa"/>
            <w:vAlign w:val="bottom"/>
          </w:tcPr>
          <w:p>
            <w:pPr>
              <w:spacing w:after="0"/>
              <w:rPr>
                <w:sz w:val="20"/>
                <w:szCs w:val="20"/>
                <w:color w:val="auto"/>
              </w:rPr>
            </w:pPr>
            <w:r>
              <w:rPr>
                <w:rFonts w:ascii="Arial" w:cs="Arial" w:eastAsia="Arial" w:hAnsi="Arial"/>
                <w:sz w:val="18"/>
                <w:szCs w:val="18"/>
                <w:color w:val="auto"/>
              </w:rPr>
              <w:t>Date: June 30, 2009</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c>
          <w:tcPr>
            <w:tcW w:w="1640" w:type="dxa"/>
            <w:vAlign w:val="bottom"/>
          </w:tcPr>
          <w:p>
            <w:pPr>
              <w:spacing w:after="0"/>
              <w:rPr>
                <w:sz w:val="24"/>
                <w:szCs w:val="24"/>
                <w:color w:val="auto"/>
              </w:rPr>
            </w:pPr>
          </w:p>
        </w:tc>
      </w:tr>
      <w:tr>
        <w:trPr>
          <w:trHeight w:val="195"/>
        </w:trPr>
        <w:tc>
          <w:tcPr>
            <w:tcW w:w="524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Name: David A. Zinsner</w:t>
            </w:r>
          </w:p>
        </w:tc>
        <w:tc>
          <w:tcPr>
            <w:tcW w:w="1640" w:type="dxa"/>
            <w:vAlign w:val="bottom"/>
          </w:tcPr>
          <w:p>
            <w:pPr>
              <w:spacing w:after="0"/>
              <w:rPr>
                <w:sz w:val="16"/>
                <w:szCs w:val="16"/>
                <w:color w:val="auto"/>
              </w:rPr>
            </w:pPr>
          </w:p>
        </w:tc>
      </w:tr>
      <w:tr>
        <w:trPr>
          <w:trHeight w:val="230"/>
        </w:trPr>
        <w:tc>
          <w:tcPr>
            <w:tcW w:w="52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Title:  Vice President and Chief Financial Officer</w:t>
            </w:r>
          </w:p>
        </w:tc>
        <w:tc>
          <w:tcPr>
            <w:tcW w:w="1640" w:type="dxa"/>
            <w:vAlign w:val="bottom"/>
          </w:tcPr>
          <w:p>
            <w:pPr>
              <w:spacing w:after="0"/>
              <w:rPr>
                <w:sz w:val="20"/>
                <w:szCs w:val="20"/>
                <w:color w:val="auto"/>
              </w:rPr>
            </w:pPr>
          </w:p>
        </w:tc>
      </w:tr>
      <w:tr>
        <w:trPr>
          <w:trHeight w:val="632"/>
        </w:trPr>
        <w:tc>
          <w:tcPr>
            <w:tcW w:w="524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0" w:type="dxa"/>
            <w:vAlign w:val="bottom"/>
          </w:tcPr>
          <w:p>
            <w:pPr>
              <w:ind w:left="4040"/>
              <w:spacing w:after="0"/>
              <w:rPr>
                <w:sz w:val="20"/>
                <w:szCs w:val="20"/>
                <w:color w:val="auto"/>
              </w:rPr>
            </w:pPr>
            <w:r>
              <w:rPr>
                <w:rFonts w:ascii="Arial" w:cs="Arial" w:eastAsia="Arial" w:hAnsi="Arial"/>
                <w:sz w:val="18"/>
                <w:szCs w:val="18"/>
                <w:color w:val="auto"/>
              </w:rPr>
              <w:t>EXHIBIT INDEX</w:t>
            </w:r>
          </w:p>
        </w:tc>
      </w:tr>
      <w:tr>
        <w:trPr>
          <w:trHeight w:val="365"/>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340" w:type="dxa"/>
            <w:vAlign w:val="bottom"/>
          </w:tcPr>
          <w:p>
            <w:pPr>
              <w:spacing w:after="0"/>
              <w:rPr>
                <w:sz w:val="24"/>
                <w:szCs w:val="24"/>
                <w:color w:val="auto"/>
              </w:rPr>
            </w:pPr>
          </w:p>
        </w:tc>
        <w:tc>
          <w:tcPr>
            <w:tcW w:w="10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11"/>
        </w:trPr>
        <w:tc>
          <w:tcPr>
            <w:tcW w:w="680" w:type="dxa"/>
            <w:vAlign w:val="bottom"/>
          </w:tcPr>
          <w:p>
            <w:pPr>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1"/>
              </w:rPr>
              <w:t>Underwriting Agreement, dated June 25, 2009, between Analog Devices, Inc. and Credit Suisse Securities (USA) LLC, as representative of the</w:t>
            </w:r>
          </w:p>
        </w:tc>
      </w:tr>
      <w:tr>
        <w:trPr>
          <w:trHeight w:val="230"/>
        </w:trPr>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several underwriters named therein.</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w w:val="95"/>
              </w:rPr>
              <w:t>Supplemental Indenture, dated June 30, 2009, between Analog Devices, Inc. and The Bank of New York Mellon Trust Company, N.A., as</w:t>
            </w:r>
          </w:p>
        </w:tc>
      </w:tr>
      <w:tr>
        <w:trPr>
          <w:trHeight w:val="230"/>
        </w:trPr>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Form of 5.00% Global Note due July 1, 2014.</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Opinion of Wilmer Cutler Pickering Hale and Dorr LLP, dated June 25, 2009.</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400" w:type="dxa"/>
            <w:vAlign w:val="bottom"/>
          </w:tcPr>
          <w:p>
            <w:pPr>
              <w:spacing w:after="0"/>
              <w:rPr>
                <w:sz w:val="20"/>
                <w:szCs w:val="20"/>
                <w:color w:val="auto"/>
              </w:rPr>
            </w:pPr>
            <w:r>
              <w:rPr>
                <w:rFonts w:ascii="Arial" w:cs="Arial" w:eastAsia="Arial" w:hAnsi="Arial"/>
                <w:sz w:val="18"/>
                <w:szCs w:val="18"/>
                <w:color w:val="auto"/>
              </w:rPr>
              <w:t>Consent of Wilmer Cutler Pickering Hale and Dorr LLP (included in Exhibit 5.1).</w:t>
            </w: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$375,000,000 5.00% Senior Notes Due 2014</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25, 2009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REDIT</w:t>
      </w:r>
      <w:r>
        <w:rPr>
          <w:rFonts w:ascii="Arial" w:cs="Arial" w:eastAsia="Arial" w:hAnsi="Arial"/>
          <w:sz w:val="18"/>
          <w:szCs w:val="18"/>
          <w:color w:val="auto"/>
        </w:rPr>
        <w:t xml:space="preserve"> S</w:t>
      </w:r>
      <w:r>
        <w:rPr>
          <w:rFonts w:ascii="Arial" w:cs="Arial" w:eastAsia="Arial" w:hAnsi="Arial"/>
          <w:sz w:val="12"/>
          <w:szCs w:val="12"/>
          <w:color w:val="auto"/>
        </w:rPr>
        <w:t>UISSE</w:t>
      </w:r>
      <w:r>
        <w:rPr>
          <w:rFonts w:ascii="Arial" w:cs="Arial" w:eastAsia="Arial" w:hAnsi="Arial"/>
          <w:sz w:val="18"/>
          <w:szCs w:val="18"/>
          <w:color w:val="auto"/>
        </w:rPr>
        <w:t xml:space="preserve"> S</w:t>
      </w:r>
      <w:r>
        <w:rPr>
          <w:rFonts w:ascii="Arial" w:cs="Arial" w:eastAsia="Arial" w:hAnsi="Arial"/>
          <w:sz w:val="12"/>
          <w:szCs w:val="12"/>
          <w:color w:val="auto"/>
        </w:rPr>
        <w:t>ECURITIES</w:t>
      </w:r>
      <w:r>
        <w:rPr>
          <w:rFonts w:ascii="Arial" w:cs="Arial" w:eastAsia="Arial" w:hAnsi="Arial"/>
          <w:sz w:val="18"/>
          <w:szCs w:val="18"/>
          <w:color w:val="auto"/>
        </w:rPr>
        <w:t xml:space="preserve">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10010-3629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00" w:firstLine="458"/>
        <w:spacing w:after="0" w:line="258" w:lineRule="auto"/>
        <w:tabs>
          <w:tab w:leader="none" w:pos="63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Introductory</w:t>
      </w:r>
      <w:r>
        <w:rPr>
          <w:rFonts w:ascii="Arial" w:cs="Arial" w:eastAsia="Arial" w:hAnsi="Arial"/>
          <w:sz w:val="18"/>
          <w:szCs w:val="18"/>
          <w:color w:val="auto"/>
        </w:rPr>
        <w:t>. Analog Devices, Inc., a Massachusetts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agrees with the several Underwriters named in Schedule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Credit Suisse Securities (USA) LLC is acting as Representative (the “Representative”) to issue and sell to the several Underwriters $375,000,000 principal amount of its 5.00% Senior Notes Due 2014 (the "</w:t>
      </w:r>
      <w:r>
        <w:rPr>
          <w:rFonts w:ascii="Arial" w:cs="Arial" w:eastAsia="Arial" w:hAnsi="Arial"/>
          <w:sz w:val="18"/>
          <w:szCs w:val="18"/>
          <w:b w:val="1"/>
          <w:bCs w:val="1"/>
          <w:color w:val="auto"/>
        </w:rPr>
        <w:t>Securities</w:t>
      </w:r>
      <w:r>
        <w:rPr>
          <w:rFonts w:ascii="Arial" w:cs="Arial" w:eastAsia="Arial" w:hAnsi="Arial"/>
          <w:sz w:val="18"/>
          <w:szCs w:val="18"/>
          <w:color w:val="auto"/>
        </w:rPr>
        <w:t>”). The Securities shall be issued under an indenture, to be dated as of June 30, 2009, as supplemented through the Closing Date (the “Indenture”), between the Company and The Bank of New York Mellon Trust Company, N.A., as Trustee.</w:t>
      </w:r>
    </w:p>
    <w:p>
      <w:pPr>
        <w:spacing w:after="0" w:line="79" w:lineRule="exact"/>
        <w:rPr>
          <w:rFonts w:ascii="Arial" w:cs="Arial" w:eastAsia="Arial" w:hAnsi="Arial"/>
          <w:sz w:val="18"/>
          <w:szCs w:val="18"/>
          <w:color w:val="auto"/>
        </w:rPr>
      </w:pPr>
    </w:p>
    <w:p>
      <w:pPr>
        <w:ind w:left="640" w:hanging="182"/>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of the Company</w:t>
      </w:r>
      <w:r>
        <w:rPr>
          <w:rFonts w:ascii="Arial" w:cs="Arial" w:eastAsia="Arial" w:hAnsi="Arial"/>
          <w:sz w:val="17"/>
          <w:szCs w:val="17"/>
          <w:color w:val="auto"/>
        </w:rPr>
        <w:t>. The Company represents and warrants to, and agrees with, the several Underwriters that:</w:t>
      </w:r>
    </w:p>
    <w:p>
      <w:pPr>
        <w:spacing w:after="0" w:line="128" w:lineRule="exact"/>
        <w:rPr>
          <w:rFonts w:ascii="Arial" w:cs="Arial" w:eastAsia="Arial" w:hAnsi="Arial"/>
          <w:sz w:val="17"/>
          <w:szCs w:val="17"/>
          <w:color w:val="auto"/>
        </w:rPr>
      </w:pPr>
    </w:p>
    <w:p>
      <w:pPr>
        <w:ind w:left="460" w:right="20" w:firstLine="229"/>
        <w:spacing w:after="0" w:line="255" w:lineRule="auto"/>
        <w:tabs>
          <w:tab w:leader="none" w:pos="93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Filing and Effectiveness of Registration Statement; Certain Defined Terms</w:t>
      </w:r>
      <w:r>
        <w:rPr>
          <w:rFonts w:ascii="Arial" w:cs="Arial" w:eastAsia="Arial" w:hAnsi="Arial"/>
          <w:sz w:val="18"/>
          <w:szCs w:val="18"/>
          <w:color w:val="auto"/>
        </w:rPr>
        <w:t>. The Company has filed with the Commission a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S-3 (No. 333-160215), including a related prospectus or prospectuses, covering the registration of the Securities under the Act, which has become effective.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at any particular time means such registration statement in the form then filed with the Commission, including any amendment thereto, any document incorporated by reference therein and all 430B Information and all 430C Information with respect to such registration statement, that in any case has not been superseded or modified.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without reference to a time means the Registration Statement as of the Effective Time. For purposes of this definition, 430B Information shall be considered to be included in the Registration Statement as of the time specified in Rule 430B.</w:t>
      </w:r>
    </w:p>
    <w:p>
      <w:pPr>
        <w:spacing w:after="0" w:line="8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 purposes of this Agreement:</w:t>
      </w:r>
    </w:p>
    <w:p>
      <w:pPr>
        <w:spacing w:after="0" w:line="113" w:lineRule="exact"/>
        <w:rPr>
          <w:sz w:val="20"/>
          <w:szCs w:val="20"/>
          <w:color w:val="auto"/>
        </w:rPr>
      </w:pPr>
    </w:p>
    <w:p>
      <w:pPr>
        <w:ind w:left="460" w:right="18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430B Information</w:t>
      </w:r>
      <w:r>
        <w:rPr>
          <w:rFonts w:ascii="Arial" w:cs="Arial" w:eastAsia="Arial" w:hAnsi="Arial"/>
          <w:sz w:val="18"/>
          <w:szCs w:val="18"/>
          <w:color w:val="auto"/>
        </w:rPr>
        <w:t>” means information included in a prospectus then deemed to be a part of the Registration Statement pursuant to Rule 430B(e) or retroactively deemed to be a part of the Registration Statement pursuant to Rule 430B(f).</w:t>
      </w:r>
    </w:p>
    <w:p>
      <w:pPr>
        <w:spacing w:after="0" w:line="5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430C Information</w:t>
      </w:r>
      <w:r>
        <w:rPr>
          <w:rFonts w:ascii="Arial" w:cs="Arial" w:eastAsia="Arial" w:hAnsi="Arial"/>
          <w:sz w:val="16"/>
          <w:szCs w:val="16"/>
          <w:color w:val="auto"/>
        </w:rPr>
        <w:t>” means information included in a prospectus then deemed to be a part of the Registration Statement pursuant to Rule 430C.</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means the Securities Act of 1933, as amended.</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4:00 p.m. (Eastern time) on the date of this Agreement.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defined in Section 3 hereof.</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of the Registration Statement relating to the Securities means the time of the first contract of sale for the Securities.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“Exchange Rules” </w:t>
      </w:r>
      <w:r>
        <w:rPr>
          <w:rFonts w:ascii="Arial" w:cs="Arial" w:eastAsia="Arial" w:hAnsi="Arial"/>
          <w:sz w:val="18"/>
          <w:szCs w:val="18"/>
          <w:color w:val="auto"/>
        </w:rPr>
        <w:t>means the rules of the New York Stock Exchange.</w:t>
      </w:r>
    </w:p>
    <w:p>
      <w:pPr>
        <w:spacing w:after="0" w:line="117" w:lineRule="exact"/>
        <w:rPr>
          <w:sz w:val="20"/>
          <w:szCs w:val="20"/>
          <w:color w:val="auto"/>
        </w:rPr>
      </w:pPr>
    </w:p>
    <w:p>
      <w:pPr>
        <w:ind w:right="38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Prospectus</w:t>
      </w:r>
      <w:r>
        <w:rPr>
          <w:rFonts w:ascii="Arial" w:cs="Arial" w:eastAsia="Arial" w:hAnsi="Arial"/>
          <w:sz w:val="18"/>
          <w:szCs w:val="18"/>
          <w:color w:val="auto"/>
        </w:rPr>
        <w:t>” means the Statutory Prospectus that discloses the public offering price, other 430B Information and other final terms of the Securities and otherwise satisfies Section 10(a) of the Act.</w:t>
      </w:r>
    </w:p>
    <w:p>
      <w:pPr>
        <w:spacing w:after="0" w:line="54" w:lineRule="exact"/>
        <w:rPr>
          <w:sz w:val="20"/>
          <w:szCs w:val="20"/>
          <w:color w:val="auto"/>
        </w:rPr>
      </w:pPr>
    </w:p>
    <w:p>
      <w:pPr>
        <w:ind w:right="18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Use Issuer Free Writing Prospectus</w:t>
      </w:r>
      <w:r>
        <w:rPr>
          <w:rFonts w:ascii="Arial" w:cs="Arial" w:eastAsia="Arial" w:hAnsi="Arial"/>
          <w:sz w:val="18"/>
          <w:szCs w:val="18"/>
          <w:color w:val="auto"/>
        </w:rPr>
        <w:t>” means any Issuer Free Writing Prospectus that is intended for general distribution to prospective investors, as evidenced by its being so specified in Schedule B to this Agreement.</w:t>
      </w:r>
    </w:p>
    <w:p>
      <w:pPr>
        <w:spacing w:after="0" w:line="54" w:lineRule="exact"/>
        <w:rPr>
          <w:sz w:val="20"/>
          <w:szCs w:val="20"/>
          <w:color w:val="auto"/>
        </w:rPr>
      </w:pPr>
    </w:p>
    <w:p>
      <w:pPr>
        <w:ind w:right="40" w:firstLine="225"/>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means any “issuer free writing prospectus,” as defined in Rule 433, relating to the Securities in the form filed or required to be filed with the Commission or, if not required to be filed, in the form retained in the Company’s records pursuant to Rule 433(g).</w:t>
      </w:r>
    </w:p>
    <w:p>
      <w:pPr>
        <w:spacing w:after="0" w:line="8" w:lineRule="exact"/>
        <w:rPr>
          <w:sz w:val="20"/>
          <w:szCs w:val="20"/>
          <w:color w:val="auto"/>
        </w:rPr>
      </w:pPr>
    </w:p>
    <w:p>
      <w:pPr>
        <w:ind w:right="840" w:firstLine="22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Use Issuer Free Writing Prospectus</w:t>
      </w:r>
      <w:r>
        <w:rPr>
          <w:rFonts w:ascii="Arial" w:cs="Arial" w:eastAsia="Arial" w:hAnsi="Arial"/>
          <w:sz w:val="18"/>
          <w:szCs w:val="18"/>
          <w:color w:val="auto"/>
        </w:rPr>
        <w:t>” means any Issuer Free Writing Prospectus that is not a General Use Issuer Free Writing Prospectus.</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 and Regulations</w:t>
      </w:r>
      <w:r>
        <w:rPr>
          <w:rFonts w:ascii="Arial" w:cs="Arial" w:eastAsia="Arial" w:hAnsi="Arial"/>
          <w:sz w:val="18"/>
          <w:szCs w:val="18"/>
          <w:color w:val="auto"/>
        </w:rPr>
        <w:t>” means the rules and regulations of the Commission.</w:t>
      </w:r>
    </w:p>
    <w:p>
      <w:pPr>
        <w:spacing w:after="0" w:line="117"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Laws</w:t>
      </w:r>
      <w:r>
        <w:rPr>
          <w:rFonts w:ascii="Arial" w:cs="Arial" w:eastAsia="Arial" w:hAnsi="Arial"/>
          <w:sz w:val="18"/>
          <w:szCs w:val="18"/>
          <w:color w:val="auto"/>
        </w:rPr>
        <w:t>” means, collectively, the Sarbanes-Oxley Act of 2002 (“</w:t>
      </w:r>
      <w:r>
        <w:rPr>
          <w:rFonts w:ascii="Arial" w:cs="Arial" w:eastAsia="Arial" w:hAnsi="Arial"/>
          <w:sz w:val="18"/>
          <w:szCs w:val="18"/>
          <w:b w:val="1"/>
          <w:bCs w:val="1"/>
          <w:color w:val="auto"/>
        </w:rPr>
        <w:t>Sarbanes-Oxley</w:t>
      </w:r>
      <w:r>
        <w:rPr>
          <w:rFonts w:ascii="Arial" w:cs="Arial" w:eastAsia="Arial" w:hAnsi="Arial"/>
          <w:sz w:val="18"/>
          <w:szCs w:val="18"/>
          <w:color w:val="auto"/>
        </w:rPr>
        <w:t>”), the Act, the Exchange Act, the Rules and Regulations and the auditing principles, rules, standards and practices applicable to auditors of “issuers” (as defined in Sarbanes-Oxley) promulgated or approved by the Public Company Accounting Oversight Board.</w:t>
      </w:r>
    </w:p>
    <w:p>
      <w:pPr>
        <w:spacing w:after="0" w:line="68" w:lineRule="exact"/>
        <w:rPr>
          <w:sz w:val="20"/>
          <w:szCs w:val="20"/>
          <w:color w:val="auto"/>
        </w:rPr>
      </w:pPr>
    </w:p>
    <w:p>
      <w:pPr>
        <w:jc w:val="both"/>
        <w:ind w:right="320" w:firstLine="225"/>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Statutory Prospectus</w:t>
      </w:r>
      <w:r>
        <w:rPr>
          <w:rFonts w:ascii="Arial" w:cs="Arial" w:eastAsia="Arial" w:hAnsi="Arial"/>
          <w:sz w:val="16"/>
          <w:szCs w:val="16"/>
          <w:color w:val="auto"/>
        </w:rPr>
        <w:t>” with reference to any particular time means the prospectus relating to the Securities that is included in the Registration Statement immediately prior to that time, including all 430B Information and all 430C Information with respect to the Registration Statement. For purposes of the foregoing definition, 430B Information shall be considered to be included in the Statutory Prospectus only as of the actual time that form of prospectus (including a prospectus supplement) is filed with the Commission pursuant to Rule 424(b) and not retroactively.</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specified, a reference to a “rule” is to the indicated rule under the Act.</w:t>
      </w:r>
    </w:p>
    <w:p>
      <w:pPr>
        <w:spacing w:after="0" w:line="117" w:lineRule="exact"/>
        <w:rPr>
          <w:sz w:val="20"/>
          <w:szCs w:val="20"/>
          <w:color w:val="auto"/>
        </w:rPr>
      </w:pPr>
    </w:p>
    <w:p>
      <w:pPr>
        <w:ind w:firstLine="229"/>
        <w:spacing w:after="0" w:line="287" w:lineRule="auto"/>
        <w:tabs>
          <w:tab w:leader="none" w:pos="4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Compliance with Securities Act Requirements</w:t>
      </w:r>
      <w:r>
        <w:rPr>
          <w:rFonts w:ascii="Arial" w:cs="Arial" w:eastAsia="Arial" w:hAnsi="Arial"/>
          <w:sz w:val="16"/>
          <w:szCs w:val="16"/>
          <w:color w:val="auto"/>
        </w:rPr>
        <w:t>. (i) (A) At the time the Registration Statement initially became effective, (B) at the time of each</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thereto for the purposes of complying with Section 10(a)(3) of the Act (whether by post-effective amendment, incorporated report or form of prospectus), (C) at the Effective Time relating to the Securities and (D) on the Closing Date, the Registration Statement conformed and will conform in all material respects to the requirements of the Act, the Trust Indenture Act and the Rules and Regulations and did not and will not include any untrue statement of a material fact or omit to state any material fact required to be stated therein or necessary to make the statements therein not misleading and (ii) (A) on its date, (B) at the time of filing the Final Prospectus pursuant to Rule 424(b) and (C) on the Closing Date, the Final Prospectus will conform in all material respects to the requirements of the Act, the Trust Indenture Act and the Rules and Regulations, and will not include any untrue statement of a material fact or omit to state any material fact required to be stated therein or necessary to make the statements therein, in light of the circumstances under which they were made, not misleading. The preceding sentence does not apply to statements in or omissions from any such document based upon written information furnished to the Company by any Underwriter through the Representative specifically for use therein, it being understood and agreed that the only such information is that described as such in Section 8(b) hereof.</w:t>
      </w:r>
    </w:p>
    <w:p>
      <w:pPr>
        <w:spacing w:after="0" w:line="14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1" w:right="259" w:bottom="1440" w:gutter="0" w:footer="0" w:header="0"/>
        </w:sectPr>
      </w:pPr>
    </w:p>
    <w:bookmarkStart w:id="8" w:name="page9"/>
    <w:bookmarkEnd w:id="8"/>
    <w:p>
      <w:pPr>
        <w:ind w:left="460" w:right="160" w:firstLine="226"/>
        <w:spacing w:after="0" w:line="255" w:lineRule="auto"/>
        <w:tabs>
          <w:tab w:leader="none" w:pos="93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Automatic Shelf Registration Statement</w:t>
      </w:r>
      <w:r>
        <w:rPr>
          <w:rFonts w:ascii="Arial" w:cs="Arial" w:eastAsia="Arial" w:hAnsi="Arial"/>
          <w:sz w:val="18"/>
          <w:szCs w:val="18"/>
          <w:color w:val="auto"/>
        </w:rPr>
        <w:t>. (i)</w:t>
      </w:r>
      <w:r>
        <w:rPr>
          <w:rFonts w:ascii="Arial" w:cs="Arial" w:eastAsia="Arial" w:hAnsi="Arial"/>
          <w:sz w:val="18"/>
          <w:szCs w:val="18"/>
          <w:i w:val="1"/>
          <w:iCs w:val="1"/>
          <w:color w:val="auto"/>
        </w:rPr>
        <w:t xml:space="preserve"> Well-Known Seasoned Issuer Status</w:t>
      </w:r>
      <w:r>
        <w:rPr>
          <w:rFonts w:ascii="Arial" w:cs="Arial" w:eastAsia="Arial" w:hAnsi="Arial"/>
          <w:sz w:val="18"/>
          <w:szCs w:val="18"/>
          <w:color w:val="auto"/>
        </w:rPr>
        <w:t>. (A) At the time of initial filing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(B) at the time of the most recent amendment thereto for the purposes of complying with Section 10(a)(3) of the Act (whether such amendment was by post-effective amendment, incorporated report filed pursuant to Section 13 or 15(d) of the Exchange Act or form of prospectus), and (C) at the time the Company or any person acting on its behalf (within the meaning, for this clause only, of Rule 163(c)) made any offer relating to the Securities in reliance on the exemption of Rule 163, the Company was a “well known seasoned issuer” as defined in Rule 405, including not having been an “ineligible issuer” as defined in Rule 405 by virtue of a waiver issued by the Commission on May 30, 2008.</w:t>
      </w:r>
    </w:p>
    <w:p>
      <w:pPr>
        <w:spacing w:after="0" w:line="81" w:lineRule="exact"/>
        <w:rPr>
          <w:sz w:val="20"/>
          <w:szCs w:val="20"/>
          <w:color w:val="auto"/>
        </w:rPr>
      </w:pPr>
    </w:p>
    <w:p>
      <w:pPr>
        <w:ind w:left="460" w:right="380" w:firstLine="226"/>
        <w:spacing w:after="0" w:line="277" w:lineRule="auto"/>
        <w:tabs>
          <w:tab w:leader="none" w:pos="95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Effectiveness of Automatic Shelf Registration Statement</w:t>
      </w:r>
      <w:r>
        <w:rPr>
          <w:rFonts w:ascii="Arial" w:cs="Arial" w:eastAsia="Arial" w:hAnsi="Arial"/>
          <w:sz w:val="18"/>
          <w:szCs w:val="18"/>
          <w:color w:val="auto"/>
        </w:rPr>
        <w:t>. The Registration Statement is an “automatic shelf registration statement,”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 405, that initially became effective within three years of the date of this Agreement.</w:t>
      </w:r>
    </w:p>
    <w:p>
      <w:pPr>
        <w:spacing w:after="0" w:line="62" w:lineRule="exact"/>
        <w:rPr>
          <w:rFonts w:ascii="Arial" w:cs="Arial" w:eastAsia="Arial" w:hAnsi="Arial"/>
          <w:sz w:val="18"/>
          <w:szCs w:val="18"/>
          <w:color w:val="auto"/>
        </w:rPr>
      </w:pPr>
    </w:p>
    <w:p>
      <w:pPr>
        <w:ind w:left="460" w:firstLine="226"/>
        <w:spacing w:after="0" w:line="270" w:lineRule="auto"/>
        <w:tabs>
          <w:tab w:leader="none" w:pos="1000"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Eligibility to Use Automatic Shelf Registration Form</w:t>
      </w:r>
      <w:r>
        <w:rPr>
          <w:rFonts w:ascii="Arial" w:cs="Arial" w:eastAsia="Arial" w:hAnsi="Arial"/>
          <w:sz w:val="17"/>
          <w:szCs w:val="17"/>
          <w:color w:val="auto"/>
        </w:rPr>
        <w:t>. The Company has not received from the Commission any notice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Rule 401(g)(2) objecting to use of the automatic shelf registration statement form. If at any time when the Securities remain unsold by the Underwriters the Company receives from the Commission a notice pursuant to Rule 401(g)(2) or otherwise ceases to be eligible to use the automatic shelf registration statement form, the Company will (i) promptly notify the Representative, (ii) promptly file a new registration statement or post-effective amendment on the proper form relating to the Securities, in a form satisfactory to the Representative, (iii) use its best efforts to cause such registration statement or post-effective amendment to be declared effective as soon as practicable, and (iv) promptly notify the Representative of such effectiveness. The Company will take all other action necessary or appropriate to permit the public offering and sale of the Securities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w:t>
      </w:r>
    </w:p>
    <w:p>
      <w:pPr>
        <w:spacing w:after="0" w:line="69" w:lineRule="exact"/>
        <w:rPr>
          <w:rFonts w:ascii="Arial" w:cs="Arial" w:eastAsia="Arial" w:hAnsi="Arial"/>
          <w:sz w:val="17"/>
          <w:szCs w:val="17"/>
          <w:color w:val="auto"/>
        </w:rPr>
      </w:pPr>
    </w:p>
    <w:p>
      <w:pPr>
        <w:ind w:left="460" w:right="20" w:firstLine="226"/>
        <w:spacing w:after="0" w:line="277" w:lineRule="auto"/>
        <w:tabs>
          <w:tab w:leader="none" w:pos="99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Filing Fees</w:t>
      </w:r>
      <w:r>
        <w:rPr>
          <w:rFonts w:ascii="Arial" w:cs="Arial" w:eastAsia="Arial" w:hAnsi="Arial"/>
          <w:sz w:val="18"/>
          <w:szCs w:val="18"/>
          <w:color w:val="auto"/>
        </w:rPr>
        <w:t>. The Company has paid or shall pay the required Commission filing fees relating to the Securities within the time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Rule 456(b)(1) without regard to the proviso therein and otherwise in accordance with Rules 456(b) and 457(r).</w:t>
      </w:r>
    </w:p>
    <w:p>
      <w:pPr>
        <w:spacing w:after="0" w:line="62" w:lineRule="exact"/>
        <w:rPr>
          <w:rFonts w:ascii="Arial" w:cs="Arial" w:eastAsia="Arial" w:hAnsi="Arial"/>
          <w:sz w:val="18"/>
          <w:szCs w:val="18"/>
          <w:color w:val="auto"/>
        </w:rPr>
      </w:pPr>
    </w:p>
    <w:p>
      <w:pPr>
        <w:ind w:right="120" w:firstLine="229"/>
        <w:spacing w:after="0" w:line="286" w:lineRule="auto"/>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Ineligible Issuer Status</w:t>
      </w:r>
      <w:r>
        <w:rPr>
          <w:rFonts w:ascii="Arial" w:cs="Arial" w:eastAsia="Arial" w:hAnsi="Arial"/>
          <w:sz w:val="17"/>
          <w:szCs w:val="17"/>
          <w:color w:val="auto"/>
        </w:rPr>
        <w:t>. (i) At the earliest time after the filing of the Registration Statement that the Company or another offering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made a bona fide offer (within the meaning of Rule 164(h)(2)) of the Securities and (ii) at the date of this Agreement, the Company was not and is not an “ineligible issuer,” as defined in Rule 405, by virtue of a waiver issued by the Commission on May 30, 2009.</w:t>
      </w:r>
    </w:p>
    <w:p>
      <w:pPr>
        <w:spacing w:after="0" w:line="57" w:lineRule="exact"/>
        <w:rPr>
          <w:rFonts w:ascii="Arial" w:cs="Arial" w:eastAsia="Arial" w:hAnsi="Arial"/>
          <w:sz w:val="17"/>
          <w:szCs w:val="17"/>
          <w:color w:val="auto"/>
        </w:rPr>
      </w:pPr>
    </w:p>
    <w:p>
      <w:pPr>
        <w:ind w:right="20" w:firstLine="229"/>
        <w:spacing w:after="0" w:line="270" w:lineRule="auto"/>
        <w:tabs>
          <w:tab w:leader="none" w:pos="47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General Disclosure Package</w:t>
      </w:r>
      <w:r>
        <w:rPr>
          <w:rFonts w:ascii="Arial" w:cs="Arial" w:eastAsia="Arial" w:hAnsi="Arial"/>
          <w:sz w:val="17"/>
          <w:szCs w:val="17"/>
          <w:color w:val="auto"/>
        </w:rPr>
        <w:t>. As of the Applicable Time, neither (i) the General Use Issuer Free Writing Prospectus(es) issued at or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Time and the preliminary prospectus supplement, dated June 25, 2009, including the base prospectus, dated June 25, 2009, (which is the most recent Statutory Prospectus distributed to investors generally), and the other information, if any, stated in Schedule B to this Agreement to be included in the General Disclosure Package, all considered together (collectively, the “</w:t>
      </w:r>
      <w:r>
        <w:rPr>
          <w:rFonts w:ascii="Arial" w:cs="Arial" w:eastAsia="Arial" w:hAnsi="Arial"/>
          <w:sz w:val="17"/>
          <w:szCs w:val="17"/>
          <w:b w:val="1"/>
          <w:bCs w:val="1"/>
          <w:color w:val="auto"/>
        </w:rPr>
        <w:t>General Disclosure Package</w:t>
      </w:r>
      <w:r>
        <w:rPr>
          <w:rFonts w:ascii="Arial" w:cs="Arial" w:eastAsia="Arial" w:hAnsi="Arial"/>
          <w:sz w:val="17"/>
          <w:szCs w:val="17"/>
          <w:color w:val="auto"/>
        </w:rPr>
        <w:t>”), nor (ii) 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General Disclosure Package or any Issuer Free Writing Prospectus in reliance upon and in conformity with written information furnished to the Company by any Underwriter through the Representative specifically for use therein, it being</w:t>
      </w:r>
    </w:p>
    <w:p>
      <w:pPr>
        <w:spacing w:after="0" w:line="15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00" w:top="935" w:right="279" w:bottom="1440" w:gutter="0" w:footer="0" w:header="0"/>
        </w:sectPr>
      </w:pPr>
    </w:p>
    <w:bookmarkStart w:id="9" w:name="page10"/>
    <w:bookmarkEnd w:id="9"/>
    <w:p>
      <w:pPr>
        <w:ind w:right="540"/>
        <w:spacing w:after="0" w:line="277" w:lineRule="auto"/>
        <w:rPr>
          <w:sz w:val="20"/>
          <w:szCs w:val="20"/>
          <w:color w:val="auto"/>
        </w:rPr>
      </w:pPr>
      <w:r>
        <w:rPr>
          <w:rFonts w:ascii="Arial" w:cs="Arial" w:eastAsia="Arial" w:hAnsi="Arial"/>
          <w:sz w:val="18"/>
          <w:szCs w:val="18"/>
          <w:color w:val="auto"/>
        </w:rPr>
        <w:t>understood and agreed that the only such information furnished by any Underwriter consists of the information described as such in Section 8(b) hereof.</w:t>
      </w:r>
    </w:p>
    <w:p>
      <w:pPr>
        <w:spacing w:after="0" w:line="62" w:lineRule="exact"/>
        <w:rPr>
          <w:sz w:val="20"/>
          <w:szCs w:val="20"/>
          <w:color w:val="auto"/>
        </w:rPr>
      </w:pPr>
    </w:p>
    <w:p>
      <w:pPr>
        <w:ind w:right="60" w:firstLine="229"/>
        <w:spacing w:after="0" w:line="270" w:lineRule="auto"/>
        <w:tabs>
          <w:tab w:leader="none" w:pos="45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Issuer Free Writing Prospectuses</w:t>
      </w:r>
      <w:r>
        <w:rPr>
          <w:rFonts w:ascii="Arial" w:cs="Arial" w:eastAsia="Arial" w:hAnsi="Arial"/>
          <w:sz w:val="17"/>
          <w:szCs w:val="17"/>
          <w:color w:val="auto"/>
        </w:rPr>
        <w:t>. Each Issuer Free Writing Prospectus, as of its issue date and at all subsequent times through the completion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public offer and sale of the Securities or until any earlier date that the Company notified or notifies the Representative as described in the next sentence, did not, does not and will not include any information that conflicted, conflicts or will conflict with the information then contained in the Registration Statement. If at any time prior to or as of the Closing Date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 and (ii) the Company has promptly amended or will promptly amend or supplement such Issuer Free Writing Prospectus to eliminate or correct such conflict, untrue statement or omission.</w:t>
      </w:r>
    </w:p>
    <w:p>
      <w:pPr>
        <w:spacing w:after="0" w:line="69" w:lineRule="exact"/>
        <w:rPr>
          <w:rFonts w:ascii="Arial" w:cs="Arial" w:eastAsia="Arial" w:hAnsi="Arial"/>
          <w:sz w:val="17"/>
          <w:szCs w:val="17"/>
          <w:color w:val="auto"/>
        </w:rPr>
      </w:pPr>
    </w:p>
    <w:p>
      <w:pPr>
        <w:ind w:right="20" w:firstLine="229"/>
        <w:spacing w:after="0" w:line="276"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Due Incorporation and Good Standing of the Company</w:t>
      </w:r>
      <w:r>
        <w:rPr>
          <w:rFonts w:ascii="Arial" w:cs="Arial" w:eastAsia="Arial" w:hAnsi="Arial"/>
          <w:sz w:val="17"/>
          <w:szCs w:val="17"/>
          <w:color w:val="auto"/>
        </w:rPr>
        <w:t>. The Company has been duly incorporated and is existing and in good standing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of the Commonwealth of Massachusetts, with corporate power and authority to own its properties and conduct its business as described in the General Disclosure Package; and the Company is duly qualified to do business as a foreign corporation and in good standing in all other jurisdictions in which its ownership or lease of property or the conduct of its business requires such qualification, except where the failure to be so qualified would not, individually or in the aggregate, result in a Material Adverse Effect (as defined below).</w:t>
      </w:r>
    </w:p>
    <w:p>
      <w:pPr>
        <w:spacing w:after="0" w:line="64" w:lineRule="exact"/>
        <w:rPr>
          <w:rFonts w:ascii="Arial" w:cs="Arial" w:eastAsia="Arial" w:hAnsi="Arial"/>
          <w:sz w:val="17"/>
          <w:szCs w:val="17"/>
          <w:color w:val="auto"/>
        </w:rPr>
      </w:pPr>
    </w:p>
    <w:p>
      <w:pPr>
        <w:ind w:firstLine="229"/>
        <w:spacing w:after="0" w:line="270"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Subsidiaries</w:t>
      </w:r>
      <w:r>
        <w:rPr>
          <w:rFonts w:ascii="Arial" w:cs="Arial" w:eastAsia="Arial" w:hAnsi="Arial"/>
          <w:sz w:val="17"/>
          <w:szCs w:val="17"/>
          <w:color w:val="auto"/>
        </w:rPr>
        <w:t>. Each subsidiary of the Company has been duly incorporated or organized, as the case may be, and is existing and in good 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laws of the jurisdiction of its incorporation or organization, as the case may be, with corporate power and authority to own its properties and conduct its business as described in the General Disclosure Package; and each subsidiary of the Company is duly qualified to do business as a foreign corporation or other applicable entity in good standing in all other jurisdictions in which its ownership or lease of property or the conduct of its business requires such qualification and where such concepts of “due qualification” and “good standing” exist; all of the issued and outstanding capital stock or other equity interests of each subsidiary of the Company has been duly authorized and validly issued and is fully paid and nonassessable (to the extent that such concepts of “due authorization”, “valid issuance” and being “fully paid and nonassessable” exist in the jurisdiction in which such subsidiary is incorporated or organized, as the case may be); and the capital stock or other equity interests of each subsidiary owned by the Company, directly or through subsidiaries, is owned free from liens, encumbrances and defects, except, in each case in this clause (h), as would not, individually or in the aggregate, result in a Material Adverse Effect.</w:t>
      </w:r>
    </w:p>
    <w:p>
      <w:pPr>
        <w:spacing w:after="0" w:line="69" w:lineRule="exact"/>
        <w:rPr>
          <w:rFonts w:ascii="Arial" w:cs="Arial" w:eastAsia="Arial" w:hAnsi="Arial"/>
          <w:sz w:val="17"/>
          <w:szCs w:val="17"/>
          <w:color w:val="auto"/>
        </w:rPr>
      </w:pPr>
    </w:p>
    <w:p>
      <w:pPr>
        <w:ind w:right="60" w:firstLine="229"/>
        <w:spacing w:after="0" w:line="273"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Execution and Delivery of Indenture</w:t>
      </w:r>
      <w:r>
        <w:rPr>
          <w:rFonts w:ascii="Arial" w:cs="Arial" w:eastAsia="Arial" w:hAnsi="Arial"/>
          <w:sz w:val="17"/>
          <w:szCs w:val="17"/>
          <w:color w:val="auto"/>
        </w:rPr>
        <w:t>. The Indenture has been duly authorized by the Company and has been duly qualified under the Trust</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 Act; the Securities have been duly authorized and, when the Securities are delivered and paid for pursuant to this Agreement on each Closing Date, the Indenture will have been duly executed and delivered by the Company, such Securities will have been duly executed, authenticated, issued and delivered, will be consistent with the information in the General Disclosure Package and will conform to the description of such Securities contained in the Final Prospectus and the Indenture and such Securities will constitute valid and legally binding obligations of the Company, enforceable in accordance with their terms, subject to bankruptcy, insolvency, fraudulent transfer, reorganization, moratorium and</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similar laws of general applicability relating to or affecting creditors’ rights and to general equity principles.</w:t>
      </w:r>
    </w:p>
    <w:p>
      <w:pPr>
        <w:spacing w:after="0" w:line="117" w:lineRule="exact"/>
        <w:rPr>
          <w:sz w:val="20"/>
          <w:szCs w:val="20"/>
          <w:color w:val="auto"/>
        </w:rPr>
      </w:pPr>
    </w:p>
    <w:p>
      <w:pPr>
        <w:ind w:right="340" w:firstLine="229"/>
        <w:spacing w:after="0" w:line="259"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Absence of Further Requirements</w:t>
      </w:r>
      <w:r>
        <w:rPr>
          <w:rFonts w:ascii="Arial" w:cs="Arial" w:eastAsia="Arial" w:hAnsi="Arial"/>
          <w:sz w:val="18"/>
          <w:szCs w:val="18"/>
          <w:color w:val="auto"/>
        </w:rPr>
        <w:t>. No consent, approval, authorization, or order of, or filing or registration with, any governmental agency or</w:t>
      </w:r>
      <w:r>
        <w:rPr>
          <w:rFonts w:ascii="Arial" w:cs="Arial" w:eastAsia="Arial" w:hAnsi="Arial"/>
          <w:sz w:val="18"/>
          <w:szCs w:val="18"/>
          <w:i w:val="1"/>
          <w:iCs w:val="1"/>
          <w:color w:val="auto"/>
        </w:rPr>
        <w:t xml:space="preserve"> </w:t>
      </w:r>
      <w:r>
        <w:rPr>
          <w:rFonts w:ascii="Arial" w:cs="Arial" w:eastAsia="Arial" w:hAnsi="Arial"/>
          <w:sz w:val="18"/>
          <w:szCs w:val="18"/>
          <w:color w:val="auto"/>
        </w:rPr>
        <w:t>body or any court is required for the consummation of the transactions contemplated by this Agreement or the Indenture in connection with the offering, issuance and sale of the Securities by the Company, except such as have been obtained or made and such as may be required under state securities laws.</w:t>
      </w:r>
    </w:p>
    <w:p>
      <w:pPr>
        <w:spacing w:after="0" w:line="78" w:lineRule="exact"/>
        <w:rPr>
          <w:rFonts w:ascii="Arial" w:cs="Arial" w:eastAsia="Arial" w:hAnsi="Arial"/>
          <w:sz w:val="18"/>
          <w:szCs w:val="18"/>
          <w:color w:val="auto"/>
        </w:rPr>
      </w:pPr>
    </w:p>
    <w:p>
      <w:pPr>
        <w:ind w:right="120" w:firstLine="229"/>
        <w:spacing w:after="0" w:line="273"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Title to Property</w:t>
      </w:r>
      <w:r>
        <w:rPr>
          <w:rFonts w:ascii="Arial" w:cs="Arial" w:eastAsia="Arial" w:hAnsi="Arial"/>
          <w:sz w:val="17"/>
          <w:szCs w:val="17"/>
          <w:color w:val="auto"/>
        </w:rPr>
        <w:t>. Except as disclosed in the General Disclosure Package, the Company and its subsidiaries have good and marketable title to all</w:t>
      </w:r>
      <w:r>
        <w:rPr>
          <w:rFonts w:ascii="Arial" w:cs="Arial" w:eastAsia="Arial" w:hAnsi="Arial"/>
          <w:sz w:val="17"/>
          <w:szCs w:val="17"/>
          <w:i w:val="1"/>
          <w:iCs w:val="1"/>
          <w:color w:val="auto"/>
        </w:rPr>
        <w:t xml:space="preserve"> </w:t>
      </w:r>
      <w:r>
        <w:rPr>
          <w:rFonts w:ascii="Arial" w:cs="Arial" w:eastAsia="Arial" w:hAnsi="Arial"/>
          <w:sz w:val="17"/>
          <w:szCs w:val="17"/>
          <w:color w:val="auto"/>
        </w:rPr>
        <w:t>real properties and good title to all other properties and assets owned by them, in each case free from liens, charges, encumbrances and defects that would materially affect the value thereof or materially interfere with the use made or to be made thereof by them and, except as disclosed in the General Disclosure Package, the Company and its subsidiaries hold any leased real or personal property under valid and enforceable leases with no terms or provisions that would materially interfere with the use made or to be made thereof by them, except, in each case in this clause (k), as would not, individually or in the aggregate, result in a Material Adverse Effect.</w:t>
      </w:r>
    </w:p>
    <w:p>
      <w:pPr>
        <w:spacing w:after="0" w:line="70" w:lineRule="exact"/>
        <w:rPr>
          <w:rFonts w:ascii="Arial" w:cs="Arial" w:eastAsia="Arial" w:hAnsi="Arial"/>
          <w:sz w:val="17"/>
          <w:szCs w:val="17"/>
          <w:color w:val="auto"/>
        </w:rPr>
      </w:pPr>
    </w:p>
    <w:p>
      <w:pPr>
        <w:ind w:firstLine="229"/>
        <w:spacing w:after="0" w:line="287" w:lineRule="auto"/>
        <w:tabs>
          <w:tab w:leader="none" w:pos="4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Absence of Defaults and Conflicts Resulting from Transaction</w:t>
      </w:r>
      <w:r>
        <w:rPr>
          <w:rFonts w:ascii="Arial" w:cs="Arial" w:eastAsia="Arial" w:hAnsi="Arial"/>
          <w:sz w:val="16"/>
          <w:szCs w:val="16"/>
          <w:color w:val="auto"/>
        </w:rPr>
        <w:t>. The execution, delivery and performance of the Indenture and this Agreement,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issuance and sale of the Securities and compliance with the terms and provisions thereof, will not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(i) the charter or by-laws or other organizational documents of the Company or any of its subsidiaries, (ii) any statute, rule, regulation or order of any governmental agency or body or any court, domestic or foreign, having jurisdiction over the Company or any of its subsidiaries or any of their properties, or (iii) any agreement or instrument to which the Company or any of its subsidiaries is a party or by which the Company or any of its subsidiaries is bound or to which any of the properties of the Company or any of its subsidiaries is subject, except, in the case of clause (i) as it applies to the Company’s subsidiaries, as would not, individually or in the aggregate, result in a Material Adverse Effect, and in the case of clauses (ii) and (iii), as would not, individually or in the aggregate, result in a Material Adverse Effect; a “</w:t>
      </w:r>
      <w:r>
        <w:rPr>
          <w:rFonts w:ascii="Arial" w:cs="Arial" w:eastAsia="Arial" w:hAnsi="Arial"/>
          <w:sz w:val="16"/>
          <w:szCs w:val="16"/>
          <w:b w:val="1"/>
          <w:bCs w:val="1"/>
          <w:color w:val="auto"/>
        </w:rPr>
        <w:t>Debt Repayment Triggering Event</w:t>
      </w:r>
      <w:r>
        <w:rPr>
          <w:rFonts w:ascii="Arial" w:cs="Arial" w:eastAsia="Arial" w:hAnsi="Arial"/>
          <w:sz w:val="16"/>
          <w:szCs w:val="16"/>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60" w:lineRule="exact"/>
        <w:rPr>
          <w:rFonts w:ascii="Arial" w:cs="Arial" w:eastAsia="Arial" w:hAnsi="Arial"/>
          <w:sz w:val="16"/>
          <w:szCs w:val="16"/>
          <w:color w:val="auto"/>
        </w:rPr>
      </w:pPr>
    </w:p>
    <w:p>
      <w:pPr>
        <w:ind w:right="20" w:firstLine="229"/>
        <w:spacing w:after="0" w:line="273" w:lineRule="auto"/>
        <w:tabs>
          <w:tab w:leader="none" w:pos="53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Absence of Existing Defaults and Conflicts</w:t>
      </w:r>
      <w:r>
        <w:rPr>
          <w:rFonts w:ascii="Arial" w:cs="Arial" w:eastAsia="Arial" w:hAnsi="Arial"/>
          <w:sz w:val="17"/>
          <w:szCs w:val="17"/>
          <w:color w:val="auto"/>
        </w:rPr>
        <w:t>. Neither the Company nor any of its subsidiaries is in violation of its respective charter or by-laws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organizational documents, or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except such defaults that would not, individually or in the aggregate, result in a material adverse effect on the condition (financial or otherwise), results of operations, business or properties of the Company and its subsidiaries taken as a whole (“</w:t>
      </w:r>
      <w:r>
        <w:rPr>
          <w:rFonts w:ascii="Arial" w:cs="Arial" w:eastAsia="Arial" w:hAnsi="Arial"/>
          <w:sz w:val="17"/>
          <w:szCs w:val="17"/>
          <w:b w:val="1"/>
          <w:bCs w:val="1"/>
          <w:color w:val="auto"/>
        </w:rPr>
        <w:t>Material Adverse Effect</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480" w:hanging="251"/>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229"/>
        <w:spacing w:after="0" w:line="277"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Possession of Licenses and Permits</w:t>
      </w:r>
      <w:r>
        <w:rPr>
          <w:rFonts w:ascii="Arial" w:cs="Arial" w:eastAsia="Arial" w:hAnsi="Arial"/>
          <w:sz w:val="18"/>
          <w:szCs w:val="18"/>
          <w:color w:val="auto"/>
        </w:rPr>
        <w:t>. The Company and its subsidiaries possess, and are in compliance with the terms of, all adequate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authorizations, franchises, licenses and</w:t>
      </w:r>
    </w:p>
    <w:p>
      <w:pPr>
        <w:spacing w:after="0" w:line="14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11" w:name="page12"/>
    <w:bookmarkEnd w:id="11"/>
    <w:p>
      <w:pPr>
        <w:ind w:right="220"/>
        <w:spacing w:after="0" w:line="266" w:lineRule="auto"/>
        <w:rPr>
          <w:sz w:val="20"/>
          <w:szCs w:val="20"/>
          <w:color w:val="auto"/>
        </w:rPr>
      </w:pPr>
      <w:r>
        <w:rPr>
          <w:rFonts w:ascii="Arial" w:cs="Arial" w:eastAsia="Arial" w:hAnsi="Arial"/>
          <w:sz w:val="18"/>
          <w:szCs w:val="18"/>
          <w:color w:val="auto"/>
        </w:rPr>
        <w:t>permits (“</w:t>
      </w:r>
      <w:r>
        <w:rPr>
          <w:rFonts w:ascii="Arial" w:cs="Arial" w:eastAsia="Arial" w:hAnsi="Arial"/>
          <w:sz w:val="18"/>
          <w:szCs w:val="18"/>
          <w:b w:val="1"/>
          <w:bCs w:val="1"/>
          <w:color w:val="auto"/>
        </w:rPr>
        <w:t>Licenses</w:t>
      </w:r>
      <w:r>
        <w:rPr>
          <w:rFonts w:ascii="Arial" w:cs="Arial" w:eastAsia="Arial" w:hAnsi="Arial"/>
          <w:sz w:val="18"/>
          <w:szCs w:val="18"/>
          <w:color w:val="auto"/>
        </w:rPr>
        <w:t>”) material to the conduct of the business now conducted or proposed in the General Disclosure Package to be conducted by them and have not received any notice of proceedings relating to the revocation or modification of any Licenses that, if determined adversely to the Company or any of its subsidiaries, would individually or in the aggregate have a Material Adverse Effect.</w:t>
      </w:r>
    </w:p>
    <w:p>
      <w:pPr>
        <w:spacing w:after="0" w:line="72" w:lineRule="exact"/>
        <w:rPr>
          <w:sz w:val="20"/>
          <w:szCs w:val="20"/>
          <w:color w:val="auto"/>
        </w:rPr>
      </w:pPr>
    </w:p>
    <w:p>
      <w:pPr>
        <w:ind w:right="400" w:firstLine="229"/>
        <w:spacing w:after="0" w:line="277" w:lineRule="auto"/>
        <w:tabs>
          <w:tab w:leader="none" w:pos="48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Absence of Labor Dispute</w:t>
      </w:r>
      <w:r>
        <w:rPr>
          <w:rFonts w:ascii="Arial" w:cs="Arial" w:eastAsia="Arial" w:hAnsi="Arial"/>
          <w:sz w:val="18"/>
          <w:szCs w:val="18"/>
          <w:color w:val="auto"/>
        </w:rPr>
        <w:t>. No labor dispute with the employees of the Company or any of its subsidiaries exists or, to the knowledge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imminent, in either case that would have a Material Adverse Effect.</w:t>
      </w:r>
    </w:p>
    <w:p>
      <w:pPr>
        <w:spacing w:after="0" w:line="62" w:lineRule="exact"/>
        <w:rPr>
          <w:rFonts w:ascii="Arial" w:cs="Arial" w:eastAsia="Arial" w:hAnsi="Arial"/>
          <w:sz w:val="18"/>
          <w:szCs w:val="18"/>
          <w:color w:val="auto"/>
        </w:rPr>
      </w:pPr>
    </w:p>
    <w:p>
      <w:pPr>
        <w:ind w:firstLine="229"/>
        <w:spacing w:after="0" w:line="283" w:lineRule="auto"/>
        <w:tabs>
          <w:tab w:leader="none" w:pos="48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Possession of Intellectual Property</w:t>
      </w:r>
      <w:r>
        <w:rPr>
          <w:rFonts w:ascii="Arial" w:cs="Arial" w:eastAsia="Arial" w:hAnsi="Arial"/>
          <w:sz w:val="16"/>
          <w:szCs w:val="16"/>
          <w:color w:val="auto"/>
        </w:rPr>
        <w:t>. The Company and its subsidiaries own, possess or can acquire on reasonable terms sufficient trademarks,</w:t>
      </w:r>
      <w:r>
        <w:rPr>
          <w:rFonts w:ascii="Arial" w:cs="Arial" w:eastAsia="Arial" w:hAnsi="Arial"/>
          <w:sz w:val="16"/>
          <w:szCs w:val="16"/>
          <w:i w:val="1"/>
          <w:iCs w:val="1"/>
          <w:color w:val="auto"/>
        </w:rPr>
        <w:t xml:space="preserve"> </w:t>
      </w:r>
      <w:r>
        <w:rPr>
          <w:rFonts w:ascii="Arial" w:cs="Arial" w:eastAsia="Arial" w:hAnsi="Arial"/>
          <w:sz w:val="16"/>
          <w:szCs w:val="16"/>
          <w:color w:val="auto"/>
        </w:rPr>
        <w:t>trade names, patent rights, copyrights, domain names, licenses, approvals, trade secrets, inventions, technology, know-how and other intellectual property and similar rights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material to the conduct of the business now conducted or proposed in the General Disclosure Package to be conducted by them, and the expected expiration of any such Intellectual Property Rights would not, individually or in the aggregate, have a Material Adverse Effect. Except as disclosed in the General Disclosure Package (i) to the Company’s knowledge, neither the Company nor any of its subsidiaries is infringing the Intellectual Property Rights of any third parties; (ii) to the Company’s knowledge, no third party is infringing the Intellectual Property Rights of the Company or any of its subsidiaries; (iii) there is no pending or threatened action, suit, proceeding or claim by others challenging the Company’s or any subsidiary’s rights in or to, any of their Intellectual Property Rights, and the Company is unaware of any facts which would form a reasonable basis for any such claim; (iv) there is no pending or threatened action, suit, proceeding or claim by others challenging the validity, enforceability or scope of any such Intellectual Property Rights, and the Company is unaware of any facts which would form a reasonable basis for any such claim; and (v) none of the Intellectual Property Rights used by the Company or its subsidiaries in their businesses as currently conducted or proposed to be conducted in the General Disclosure Package has been obtained or is being used by the Company or its subsidiaries in violation of any contractual obligation binding on the Company or any of its subsidiaries, except in each case covered by clauses (i) —</w:t>
      </w:r>
    </w:p>
    <w:p>
      <w:pPr>
        <w:spacing w:after="0" w:line="3" w:lineRule="exact"/>
        <w:rPr>
          <w:rFonts w:ascii="Arial" w:cs="Arial" w:eastAsia="Arial" w:hAnsi="Arial"/>
          <w:sz w:val="16"/>
          <w:szCs w:val="16"/>
          <w:color w:val="auto"/>
        </w:rPr>
      </w:pPr>
    </w:p>
    <w:p>
      <w:pPr>
        <w:ind w:left="260" w:hanging="256"/>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as would not, individually or in the aggregate, have a Material Adverse Effect.</w:t>
      </w:r>
    </w:p>
    <w:p>
      <w:pPr>
        <w:spacing w:after="0" w:line="102" w:lineRule="exact"/>
        <w:rPr>
          <w:rFonts w:ascii="Arial" w:cs="Arial" w:eastAsia="Arial" w:hAnsi="Arial"/>
          <w:sz w:val="18"/>
          <w:szCs w:val="18"/>
          <w:color w:val="auto"/>
        </w:rPr>
      </w:pPr>
    </w:p>
    <w:p>
      <w:pPr>
        <w:ind w:firstLine="229"/>
        <w:spacing w:after="0" w:line="272" w:lineRule="auto"/>
        <w:tabs>
          <w:tab w:leader="none" w:pos="450"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Environmental Laws</w:t>
      </w:r>
      <w:r>
        <w:rPr>
          <w:rFonts w:ascii="Arial" w:cs="Arial" w:eastAsia="Arial" w:hAnsi="Arial"/>
          <w:sz w:val="17"/>
          <w:szCs w:val="17"/>
          <w:color w:val="auto"/>
        </w:rPr>
        <w:t>. Except as disclosed in the General Disclosure Package, neither the Company nor any of its subsidiaries is in violation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is not aware of any pending investigation relating to environmental laws.</w:t>
      </w:r>
    </w:p>
    <w:p>
      <w:pPr>
        <w:spacing w:after="0" w:line="69" w:lineRule="exact"/>
        <w:rPr>
          <w:rFonts w:ascii="Arial" w:cs="Arial" w:eastAsia="Arial" w:hAnsi="Arial"/>
          <w:sz w:val="17"/>
          <w:szCs w:val="17"/>
          <w:color w:val="auto"/>
        </w:rPr>
      </w:pPr>
    </w:p>
    <w:p>
      <w:pPr>
        <w:ind w:right="80" w:firstLine="229"/>
        <w:spacing w:after="0" w:line="279" w:lineRule="auto"/>
        <w:tabs>
          <w:tab w:leader="none" w:pos="460"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Accurate Disclosure</w:t>
      </w:r>
      <w:r>
        <w:rPr>
          <w:rFonts w:ascii="Arial" w:cs="Arial" w:eastAsia="Arial" w:hAnsi="Arial"/>
          <w:sz w:val="17"/>
          <w:szCs w:val="17"/>
          <w:color w:val="auto"/>
        </w:rPr>
        <w:t>. The statements in the General Disclosure Package and the Final Prospectus under the headings “Description of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“Description of Debt Securities” and “Certain United States Federal Income Tax Considerations to Non-U.S. Holders”, insofar as such statements summarize legal matters, agreements, documents or proceedings discussed therein, are accurate and fair summaries of such legal matters, agreements, documents or proceedings in all material respects and present the information required to be shown therein.</w:t>
      </w:r>
    </w:p>
    <w:p>
      <w:pPr>
        <w:spacing w:after="0" w:line="63" w:lineRule="exact"/>
        <w:rPr>
          <w:rFonts w:ascii="Arial" w:cs="Arial" w:eastAsia="Arial" w:hAnsi="Arial"/>
          <w:sz w:val="17"/>
          <w:szCs w:val="17"/>
          <w:color w:val="auto"/>
        </w:rPr>
      </w:pPr>
    </w:p>
    <w:p>
      <w:pPr>
        <w:ind w:right="200" w:firstLine="229"/>
        <w:spacing w:after="0" w:line="277" w:lineRule="auto"/>
        <w:tabs>
          <w:tab w:leader="none" w:pos="44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has not taken, directly or indirectly, any action that is designed to or that has constituted or that would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cause or result in</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1" w:right="259" w:bottom="1440" w:gutter="0" w:footer="0" w:header="0"/>
        </w:sectPr>
      </w:pPr>
    </w:p>
    <w:bookmarkStart w:id="12" w:name="page13"/>
    <w:bookmarkEnd w:id="12"/>
    <w:p>
      <w:pPr>
        <w:ind w:right="600"/>
        <w:spacing w:after="0" w:line="277" w:lineRule="auto"/>
        <w:rPr>
          <w:sz w:val="20"/>
          <w:szCs w:val="20"/>
          <w:color w:val="auto"/>
        </w:rPr>
      </w:pPr>
      <w:r>
        <w:rPr>
          <w:rFonts w:ascii="Arial" w:cs="Arial" w:eastAsia="Arial" w:hAnsi="Arial"/>
          <w:sz w:val="18"/>
          <w:szCs w:val="18"/>
          <w:color w:val="auto"/>
        </w:rPr>
        <w:t>the stabilization or manipulation of the price of any security of the Company, in each case for the purpose of facilitating the sale or resale of the Securities.</w:t>
      </w:r>
    </w:p>
    <w:p>
      <w:pPr>
        <w:spacing w:after="0" w:line="62" w:lineRule="exact"/>
        <w:rPr>
          <w:sz w:val="20"/>
          <w:szCs w:val="20"/>
          <w:color w:val="auto"/>
        </w:rPr>
      </w:pPr>
    </w:p>
    <w:p>
      <w:pPr>
        <w:ind w:firstLine="229"/>
        <w:spacing w:after="0" w:line="286"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Internal Controls and Compliance with the Sarbanes-Oxley Act</w:t>
      </w:r>
      <w:r>
        <w:rPr>
          <w:rFonts w:ascii="Arial" w:cs="Arial" w:eastAsia="Arial" w:hAnsi="Arial"/>
          <w:sz w:val="16"/>
          <w:szCs w:val="16"/>
          <w:color w:val="auto"/>
        </w:rPr>
        <w:t>. Except as set forth in the General Disclosure Package,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and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are in compliance with Sarbanes-Oxley and all applicable Exchange Rules.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Arial" w:cs="Arial" w:eastAsia="Arial" w:hAnsi="Arial"/>
          <w:sz w:val="16"/>
          <w:szCs w:val="16"/>
          <w:b w:val="1"/>
          <w:bCs w:val="1"/>
          <w:color w:val="auto"/>
        </w:rPr>
        <w:t>Internal Controls</w:t>
      </w:r>
      <w:r>
        <w:rPr>
          <w:rFonts w:ascii="Arial" w:cs="Arial" w:eastAsia="Arial" w:hAnsi="Arial"/>
          <w:sz w:val="16"/>
          <w:szCs w:val="16"/>
          <w:color w:val="auto"/>
        </w:rPr>
        <w:t>”) that comply in all material respects with the Securities Laws and are sufficient to provide reasonable assurances that (i) transactions are executed in accordance with management’s general or specific authorizations, (ii) transactions are recorded as necessary to permit preparation of financial statements in conformity with U.S. General Accepted Accounting Principles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Internal Controls are, or upon consummation of the offering of the Securities will be, overseen by the Audit Committee (the “</w:t>
      </w:r>
      <w:r>
        <w:rPr>
          <w:rFonts w:ascii="Arial" w:cs="Arial" w:eastAsia="Arial" w:hAnsi="Arial"/>
          <w:sz w:val="16"/>
          <w:szCs w:val="16"/>
          <w:b w:val="1"/>
          <w:bCs w:val="1"/>
          <w:color w:val="auto"/>
        </w:rPr>
        <w:t>Audit Committee</w:t>
      </w:r>
      <w:r>
        <w:rPr>
          <w:rFonts w:ascii="Arial" w:cs="Arial" w:eastAsia="Arial" w:hAnsi="Arial"/>
          <w:sz w:val="16"/>
          <w:szCs w:val="16"/>
          <w:color w:val="auto"/>
        </w:rPr>
        <w:t>”) of the Board in accordance with Exchange Rules. Since the filing of the Company’s Annual Report on Form 10-K for the fiscal year ended November 1, 2008, the Company has not publicly disclosed or reported to the Audit Committee or the Board, and within the next 90 days the Company does not reasonably expect to publicly disclose or report to the Audit Committee or the Board, a significant deficiency, material weakness, change in Internal Controls or fraud involving management or other employees who have a significant role in Internal Controls (each, an “</w:t>
      </w:r>
      <w:r>
        <w:rPr>
          <w:rFonts w:ascii="Arial" w:cs="Arial" w:eastAsia="Arial" w:hAnsi="Arial"/>
          <w:sz w:val="16"/>
          <w:szCs w:val="16"/>
          <w:b w:val="1"/>
          <w:bCs w:val="1"/>
          <w:color w:val="auto"/>
        </w:rPr>
        <w:t>Internal Control Event</w:t>
      </w:r>
      <w:r>
        <w:rPr>
          <w:rFonts w:ascii="Arial" w:cs="Arial" w:eastAsia="Arial" w:hAnsi="Arial"/>
          <w:sz w:val="16"/>
          <w:szCs w:val="16"/>
          <w:color w:val="auto"/>
        </w:rPr>
        <w:t>”), any violation of, or failure to comply with, the Securities Laws, or any matter which, if determined adversely, would have a Material Adverse Effect.</w:t>
      </w:r>
    </w:p>
    <w:p>
      <w:pPr>
        <w:spacing w:after="0" w:line="60" w:lineRule="exact"/>
        <w:rPr>
          <w:rFonts w:ascii="Arial" w:cs="Arial" w:eastAsia="Arial" w:hAnsi="Arial"/>
          <w:sz w:val="16"/>
          <w:szCs w:val="16"/>
          <w:color w:val="auto"/>
        </w:rPr>
      </w:pPr>
    </w:p>
    <w:p>
      <w:pPr>
        <w:ind w:right="120" w:firstLine="229"/>
        <w:spacing w:after="0" w:line="255" w:lineRule="auto"/>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Litigation</w:t>
      </w:r>
      <w:r>
        <w:rPr>
          <w:rFonts w:ascii="Arial" w:cs="Arial" w:eastAsia="Arial" w:hAnsi="Arial"/>
          <w:sz w:val="18"/>
          <w:szCs w:val="18"/>
          <w:color w:val="auto"/>
        </w:rPr>
        <w:t>. Except as disclosed in the General Disclosure Package, there are no pending actions, suits or proceedings (including any inquiries 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investigations by any court or governmental agency or body, domestic or foreign) against or affecting the Company, any of its subsidiaries or any of their respective properties that, if determined adversely to the Company or any of its subsidiaries, would individually or in the aggregate have a Material Adverse Effect, or would materially and adversely affect the ability of the Company to perform its obligations under the Indenture or this Agreement, or which are otherwise material in the context of the sale of the Securities; and no such actions, suits or proceedings (including any inquiries or investigations by any court or governmental agency or body, domestic or foreign) are, to the Company’s knowledge, threatened or contemplated.</w:t>
      </w:r>
    </w:p>
    <w:p>
      <w:pPr>
        <w:spacing w:after="0" w:line="81" w:lineRule="exact"/>
        <w:rPr>
          <w:rFonts w:ascii="Arial" w:cs="Arial" w:eastAsia="Arial" w:hAnsi="Arial"/>
          <w:sz w:val="18"/>
          <w:szCs w:val="18"/>
          <w:color w:val="auto"/>
        </w:rPr>
      </w:pPr>
    </w:p>
    <w:p>
      <w:pPr>
        <w:ind w:right="120" w:firstLine="229"/>
        <w:spacing w:after="0" w:line="302"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included in the Registration Statement and the General Disclosure Package present fairly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position of the Company and its consolidated subsidiaries as of the dates shown and their results of operations and cash flows for the periods shown, and such financial statements have been prepared in conformity with the generally accepted accounting principles in the United States applied on a consistent basis. The schedules included in the Registration Statement present fairly the information required to be stated therein.</w:t>
      </w:r>
    </w:p>
    <w:p>
      <w:pPr>
        <w:spacing w:after="0" w:line="46" w:lineRule="exact"/>
        <w:rPr>
          <w:rFonts w:ascii="Arial" w:cs="Arial" w:eastAsia="Arial" w:hAnsi="Arial"/>
          <w:sz w:val="16"/>
          <w:szCs w:val="16"/>
          <w:color w:val="auto"/>
        </w:rPr>
      </w:pPr>
    </w:p>
    <w:p>
      <w:pPr>
        <w:ind w:right="100" w:firstLine="229"/>
        <w:spacing w:after="0" w:line="276"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No Material Adverse Change in Business</w:t>
      </w:r>
      <w:r>
        <w:rPr>
          <w:rFonts w:ascii="Arial" w:cs="Arial" w:eastAsia="Arial" w:hAnsi="Arial"/>
          <w:sz w:val="17"/>
          <w:szCs w:val="17"/>
          <w:color w:val="auto"/>
        </w:rPr>
        <w:t>. Except as disclosed in the General Disclosure Package, since the end of the period covered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latest audited financial statements included in the General Disclosure Package (i) there has been no change, nor any development or event involving a prospective change, in the condition (financial or otherwise), results of operations, business or properties of the Company and its subsidiaries, taken as a whole, that is material and adverse (ii) except for a regular quarterly cash dividend of $0.20 or as otherwise disclosed in or contemplated by the General Disclosure Package, there has been no dividend or distribution of any</w:t>
      </w:r>
    </w:p>
    <w:p>
      <w:pPr>
        <w:spacing w:after="0" w:line="14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13" w:name="page14"/>
    <w:bookmarkEnd w:id="13"/>
    <w:p>
      <w:pPr>
        <w:ind w:left="440" w:right="80"/>
        <w:spacing w:after="0" w:line="264" w:lineRule="auto"/>
        <w:rPr>
          <w:sz w:val="20"/>
          <w:szCs w:val="20"/>
          <w:color w:val="auto"/>
        </w:rPr>
      </w:pPr>
      <w:r>
        <w:rPr>
          <w:rFonts w:ascii="Arial" w:cs="Arial" w:eastAsia="Arial" w:hAnsi="Arial"/>
          <w:sz w:val="18"/>
          <w:szCs w:val="18"/>
          <w:color w:val="auto"/>
        </w:rPr>
        <w:t>kind declared, paid or made by the Company on any class of its capital stock and (iii) except as disclosed in or contemplated by the General Disclosure Package, there has been no material adverse change in the capital stock, long term indebtedness, or net assets of the Company and its subsidiaries, taken as a whole.</w:t>
      </w:r>
    </w:p>
    <w:p>
      <w:pPr>
        <w:spacing w:after="0" w:line="73" w:lineRule="exact"/>
        <w:rPr>
          <w:sz w:val="20"/>
          <w:szCs w:val="20"/>
          <w:color w:val="auto"/>
        </w:rPr>
      </w:pPr>
    </w:p>
    <w:p>
      <w:pPr>
        <w:ind w:left="920" w:hanging="251"/>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Investment Company Act</w:t>
      </w:r>
      <w:r>
        <w:rPr>
          <w:rFonts w:ascii="Arial" w:cs="Arial" w:eastAsia="Arial" w:hAnsi="Arial"/>
          <w:sz w:val="17"/>
          <w:szCs w:val="17"/>
          <w:color w:val="auto"/>
        </w:rPr>
        <w:t>. The Company is not and, after giving effect to the offering and sale of the Securities and the application of the</w:t>
      </w:r>
    </w:p>
    <w:p>
      <w:pPr>
        <w:spacing w:after="0" w:line="34" w:lineRule="exact"/>
        <w:rPr>
          <w:rFonts w:ascii="Arial" w:cs="Arial" w:eastAsia="Arial" w:hAnsi="Arial"/>
          <w:sz w:val="17"/>
          <w:szCs w:val="17"/>
          <w:color w:val="auto"/>
        </w:rPr>
      </w:pPr>
    </w:p>
    <w:p>
      <w:pPr>
        <w:ind w:left="440" w:right="160"/>
        <w:spacing w:after="0" w:line="261" w:lineRule="auto"/>
        <w:rPr>
          <w:rFonts w:ascii="Arial" w:cs="Arial" w:eastAsia="Arial" w:hAnsi="Arial"/>
          <w:sz w:val="17"/>
          <w:szCs w:val="17"/>
          <w:color w:val="auto"/>
        </w:rPr>
      </w:pPr>
      <w:r>
        <w:rPr>
          <w:rFonts w:ascii="Arial" w:cs="Arial" w:eastAsia="Arial" w:hAnsi="Arial"/>
          <w:sz w:val="18"/>
          <w:szCs w:val="18"/>
          <w:color w:val="auto"/>
        </w:rPr>
        <w:t>proceeds thereof as described in the General Disclosure Package, will not be, an “investment company” as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75" w:lineRule="exact"/>
        <w:rPr>
          <w:rFonts w:ascii="Arial" w:cs="Arial" w:eastAsia="Arial" w:hAnsi="Arial"/>
          <w:sz w:val="17"/>
          <w:szCs w:val="17"/>
          <w:color w:val="auto"/>
        </w:rPr>
      </w:pPr>
    </w:p>
    <w:p>
      <w:pPr>
        <w:ind w:left="440" w:right="140" w:firstLine="229"/>
        <w:spacing w:after="0" w:line="312" w:lineRule="auto"/>
        <w:tabs>
          <w:tab w:leader="none" w:pos="91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Ratings</w:t>
      </w:r>
      <w:r>
        <w:rPr>
          <w:rFonts w:ascii="Arial" w:cs="Arial" w:eastAsia="Arial" w:hAnsi="Arial"/>
          <w:sz w:val="16"/>
          <w:szCs w:val="16"/>
          <w:color w:val="auto"/>
        </w:rPr>
        <w:t>. No “nationally recognized statistical rating organization” as such term is defined for purposes of Rule 436(g)(2)(i) has imposed (or has</w:t>
      </w:r>
      <w:r>
        <w:rPr>
          <w:rFonts w:ascii="Arial" w:cs="Arial" w:eastAsia="Arial" w:hAnsi="Arial"/>
          <w:sz w:val="16"/>
          <w:szCs w:val="16"/>
          <w:i w:val="1"/>
          <w:iCs w:val="1"/>
          <w:color w:val="auto"/>
        </w:rPr>
        <w:t xml:space="preserve"> </w:t>
      </w:r>
      <w:r>
        <w:rPr>
          <w:rFonts w:ascii="Arial" w:cs="Arial" w:eastAsia="Arial" w:hAnsi="Arial"/>
          <w:sz w:val="16"/>
          <w:szCs w:val="16"/>
          <w:color w:val="auto"/>
        </w:rPr>
        <w:t>informed the Company that it is considering imposing) any condition (financial or otherwise) on the Company’s retaining any rating assigned to the Company or any securities of the Company or (ii) has told the Company that it is considering any of the actions described in Section 7(c)(ii) hereof.</w:t>
      </w:r>
    </w:p>
    <w:p>
      <w:pPr>
        <w:spacing w:after="0" w:line="39" w:lineRule="exact"/>
        <w:rPr>
          <w:sz w:val="20"/>
          <w:szCs w:val="20"/>
          <w:color w:val="auto"/>
        </w:rPr>
      </w:pPr>
    </w:p>
    <w:p>
      <w:pPr>
        <w:ind w:left="440" w:firstLine="229"/>
        <w:spacing w:after="0" w:line="288" w:lineRule="auto"/>
        <w:tabs>
          <w:tab w:leader="none" w:pos="1010" w:val="left"/>
        </w:tabs>
        <w:numPr>
          <w:ilvl w:val="1"/>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Foreign Corrupt Practices Act</w:t>
      </w:r>
      <w:r>
        <w:rPr>
          <w:rFonts w:ascii="Arial" w:cs="Arial" w:eastAsia="Arial" w:hAnsi="Arial"/>
          <w:sz w:val="16"/>
          <w:szCs w:val="16"/>
          <w:color w:val="auto"/>
        </w:rPr>
        <w:t>. Neither the Company nor any of its subsidiaries nor, to the knowledge of the Company, any director or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or any of its subsidiaries, is aware of or has taken any action, directly or indirectly, that would result in a violation by any director, officer, agent, employee or affiliate of the Company or any of its subsidiaries of the Foreign Corrupt Practices Act of 1977, as amended, and the rules and regulations thereunder (the “</w:t>
      </w:r>
      <w:r>
        <w:rPr>
          <w:rFonts w:ascii="Arial" w:cs="Arial" w:eastAsia="Arial" w:hAnsi="Arial"/>
          <w:sz w:val="16"/>
          <w:szCs w:val="16"/>
          <w:b w:val="1"/>
          <w:bCs w:val="1"/>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directors and officers, have conducted the business of the Company and its subsidiaries in compliance with the FCPA (other than for any immaterial noncompliance that would not result in a violation of the FCPA), and the Company and its subsidiaries have instituted and maintain policies and procedures designed to ensure, and which are reasonably expected to continue to ensure, continued compliance therewith.</w:t>
      </w:r>
    </w:p>
    <w:p>
      <w:pPr>
        <w:spacing w:after="0" w:line="61" w:lineRule="exact"/>
        <w:rPr>
          <w:rFonts w:ascii="Arial" w:cs="Arial" w:eastAsia="Arial" w:hAnsi="Arial"/>
          <w:sz w:val="16"/>
          <w:szCs w:val="16"/>
          <w:i w:val="1"/>
          <w:iCs w:val="1"/>
          <w:color w:val="auto"/>
        </w:rPr>
      </w:pPr>
    </w:p>
    <w:p>
      <w:pPr>
        <w:ind w:left="440" w:right="80" w:firstLine="229"/>
        <w:spacing w:after="0" w:line="293" w:lineRule="auto"/>
        <w:tabs>
          <w:tab w:leader="none" w:pos="1010" w:val="left"/>
        </w:tabs>
        <w:numPr>
          <w:ilvl w:val="1"/>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Money Laundering Laws</w:t>
      </w:r>
      <w:r>
        <w:rPr>
          <w:rFonts w:ascii="Arial" w:cs="Arial" w:eastAsia="Arial" w:hAnsi="Arial"/>
          <w:sz w:val="16"/>
          <w:szCs w:val="16"/>
          <w:color w:val="auto"/>
        </w:rPr>
        <w:t>. The operations of the Company and its subsidiaries are and have been conducted at all times in compliance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financial recordkeeping and reporting requirements of the Currency and Foreign Transactions Reporting Act of 1970, as amended, the money laundering statutes of all jurisdictions, and the rules and regulations thereunder, and, to the Company’s knowledge, any related or similar rules, regulations or guidelines, issued, administered or enforced by any governmental agency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Money Laundering Laws is pending or, to the Company’s knowledge, threatened.</w:t>
      </w:r>
    </w:p>
    <w:p>
      <w:pPr>
        <w:spacing w:after="0" w:line="56" w:lineRule="exact"/>
        <w:rPr>
          <w:rFonts w:ascii="Arial" w:cs="Arial" w:eastAsia="Arial" w:hAnsi="Arial"/>
          <w:sz w:val="16"/>
          <w:szCs w:val="16"/>
          <w:i w:val="1"/>
          <w:iCs w:val="1"/>
          <w:color w:val="auto"/>
        </w:rPr>
      </w:pPr>
    </w:p>
    <w:p>
      <w:pPr>
        <w:ind w:left="440" w:right="80" w:firstLine="229"/>
        <w:spacing w:after="0" w:line="264" w:lineRule="auto"/>
        <w:tabs>
          <w:tab w:leader="none" w:pos="990" w:val="left"/>
        </w:tabs>
        <w:numPr>
          <w:ilvl w:val="1"/>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OFAC</w:t>
      </w:r>
      <w:r>
        <w:rPr>
          <w:rFonts w:ascii="Arial" w:cs="Arial" w:eastAsia="Arial" w:hAnsi="Arial"/>
          <w:sz w:val="18"/>
          <w:szCs w:val="18"/>
          <w:color w:val="auto"/>
        </w:rPr>
        <w:t>. Neither the Company nor any of its subsidiaries nor, to the knowledge of the Company, any director, officer, agent or employee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of its subsidiaries is currently subject to any U.S. sanctions administered by the Office of Foreign Assets Control of the U.S. Treasury Department (“</w:t>
      </w:r>
      <w:r>
        <w:rPr>
          <w:rFonts w:ascii="Arial" w:cs="Arial" w:eastAsia="Arial" w:hAnsi="Arial"/>
          <w:sz w:val="18"/>
          <w:szCs w:val="18"/>
          <w:b w:val="1"/>
          <w:bCs w:val="1"/>
          <w:color w:val="auto"/>
        </w:rPr>
        <w:t>OFAC</w:t>
      </w:r>
      <w:r>
        <w:rPr>
          <w:rFonts w:ascii="Arial" w:cs="Arial" w:eastAsia="Arial" w:hAnsi="Arial"/>
          <w:sz w:val="18"/>
          <w:szCs w:val="18"/>
          <w:color w:val="auto"/>
        </w:rPr>
        <w:t>”).</w:t>
      </w:r>
    </w:p>
    <w:p>
      <w:pPr>
        <w:spacing w:after="0" w:line="73" w:lineRule="exact"/>
        <w:rPr>
          <w:rFonts w:ascii="Arial" w:cs="Arial" w:eastAsia="Arial" w:hAnsi="Arial"/>
          <w:sz w:val="18"/>
          <w:szCs w:val="18"/>
          <w:i w:val="1"/>
          <w:iCs w:val="1"/>
          <w:color w:val="auto"/>
        </w:rPr>
      </w:pPr>
    </w:p>
    <w:p>
      <w:pPr>
        <w:ind w:left="-20" w:right="100" w:firstLine="458"/>
        <w:spacing w:after="0" w:line="264" w:lineRule="auto"/>
        <w:tabs>
          <w:tab w:leader="none" w:pos="61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Purchase, Sale and Delivery of Securities</w:t>
      </w:r>
      <w:r>
        <w:rPr>
          <w:rFonts w:ascii="Arial" w:cs="Arial" w:eastAsia="Arial" w:hAnsi="Arial"/>
          <w:sz w:val="18"/>
          <w:szCs w:val="18"/>
          <w:color w:val="auto"/>
        </w:rPr>
        <w:t>. On the basis of the representations, warranties and agreements and subject to the terms and conditions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herein, the Company agrees to sell to the several Underwriters, and each of the Underwriters agrees, severally and not jointly, to purchase from the Company, at a purchase price of 98.976% of the principal amount thereof, the respective principal amounts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4" w:name="page15"/>
    <w:bookmarkEnd w:id="14"/>
    <w:p>
      <w:pPr>
        <w:ind w:right="780"/>
        <w:spacing w:after="0" w:line="277" w:lineRule="auto"/>
        <w:rPr>
          <w:sz w:val="20"/>
          <w:szCs w:val="20"/>
          <w:color w:val="auto"/>
        </w:rPr>
      </w:pPr>
      <w:r>
        <w:rPr>
          <w:rFonts w:ascii="Arial" w:cs="Arial" w:eastAsia="Arial" w:hAnsi="Arial"/>
          <w:sz w:val="18"/>
          <w:szCs w:val="18"/>
          <w:color w:val="auto"/>
        </w:rPr>
        <w:t>of Securities set forth opposite the names of the Underwriters in Schedule A hereto plus accrued interest from June 30, 2009 to the Closing Date (as hereinafter defined).</w:t>
      </w:r>
    </w:p>
    <w:p>
      <w:pPr>
        <w:spacing w:after="0" w:line="62" w:lineRule="exact"/>
        <w:rPr>
          <w:sz w:val="20"/>
          <w:szCs w:val="20"/>
          <w:color w:val="auto"/>
        </w:rPr>
      </w:pPr>
    </w:p>
    <w:p>
      <w:pPr>
        <w:ind w:firstLine="447"/>
        <w:spacing w:after="0" w:line="254" w:lineRule="auto"/>
        <w:rPr>
          <w:sz w:val="20"/>
          <w:szCs w:val="20"/>
          <w:color w:val="auto"/>
        </w:rPr>
      </w:pPr>
      <w:r>
        <w:rPr>
          <w:rFonts w:ascii="Arial" w:cs="Arial" w:eastAsia="Arial" w:hAnsi="Arial"/>
          <w:sz w:val="18"/>
          <w:szCs w:val="18"/>
          <w:color w:val="auto"/>
        </w:rPr>
        <w:t>The Company will deliver the Securities to or as instructed by the Representative for the accounts of the several Underwriters in a form reasonably acceptable to the Representative against payment of the purchase price by the Underwriters in Federal (same day) funds by wire transfer to an account at a bank acceptable to the Representative drawn to the order of Analog Devices, Inc. at the office of Cravath, Swaine &amp; Moore LLP, at 9:30 a.m., New York time, on June 30, 2009, or at such other time not later than seven full business days thereafter as the Representative and the Company determine, such time being herein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 For purposes of Rule 15c6-1 under the Exchange Act, the Closing Date (if later than the otherwise applicable settlement date) shall be the settlement date for payment of funds and delivery of all the Securities sold pursuant to the offering. A copy of the Securities so to be delivered or evidence of their issuance will be made available for checking at the above office of Cravath, Swaine &amp; Moore LLP at least 24 hours prior to the Closing Date.</w:t>
      </w:r>
    </w:p>
    <w:p>
      <w:pPr>
        <w:spacing w:after="0" w:line="84" w:lineRule="exact"/>
        <w:rPr>
          <w:sz w:val="20"/>
          <w:szCs w:val="20"/>
          <w:color w:val="auto"/>
        </w:rPr>
      </w:pPr>
    </w:p>
    <w:p>
      <w:pPr>
        <w:ind w:right="160" w:firstLine="458"/>
        <w:spacing w:after="0" w:line="277" w:lineRule="auto"/>
        <w:tabs>
          <w:tab w:leader="none" w:pos="63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w:t>
      </w:r>
    </w:p>
    <w:p>
      <w:pPr>
        <w:spacing w:after="0" w:line="62" w:lineRule="exact"/>
        <w:rPr>
          <w:rFonts w:ascii="Arial" w:cs="Arial" w:eastAsia="Arial" w:hAnsi="Arial"/>
          <w:sz w:val="18"/>
          <w:szCs w:val="18"/>
          <w:color w:val="auto"/>
        </w:rPr>
      </w:pPr>
    </w:p>
    <w:p>
      <w:pPr>
        <w:ind w:left="640" w:hanging="18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Certain Agreements of the Company</w:t>
      </w:r>
      <w:r>
        <w:rPr>
          <w:rFonts w:ascii="Arial" w:cs="Arial" w:eastAsia="Arial" w:hAnsi="Arial"/>
          <w:sz w:val="18"/>
          <w:szCs w:val="18"/>
          <w:color w:val="auto"/>
        </w:rPr>
        <w:t>. The Company agrees with the several Underwriters that:</w:t>
      </w:r>
    </w:p>
    <w:p>
      <w:pPr>
        <w:spacing w:after="0" w:line="117" w:lineRule="exact"/>
        <w:rPr>
          <w:rFonts w:ascii="Arial" w:cs="Arial" w:eastAsia="Arial" w:hAnsi="Arial"/>
          <w:sz w:val="18"/>
          <w:szCs w:val="18"/>
          <w:color w:val="auto"/>
        </w:rPr>
      </w:pPr>
    </w:p>
    <w:p>
      <w:pPr>
        <w:ind w:left="460" w:right="120" w:firstLine="229"/>
        <w:spacing w:after="0" w:line="264" w:lineRule="auto"/>
        <w:tabs>
          <w:tab w:leader="none" w:pos="930"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Filing of Prospectuses. </w:t>
      </w:r>
      <w:r>
        <w:rPr>
          <w:rFonts w:ascii="Arial" w:cs="Arial" w:eastAsia="Arial" w:hAnsi="Arial"/>
          <w:sz w:val="18"/>
          <w:szCs w:val="18"/>
          <w:color w:val="auto"/>
        </w:rPr>
        <w:t>The Company has filed or will file each Statutory Prospectus (including the Final Prospectus) pursuant to and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Rule 424(b) not later than the second business day following the earlier of the date it is first used or the execution and delivery of this Agreement. The Company has complied and will comply with Rule 433.</w:t>
      </w:r>
    </w:p>
    <w:p>
      <w:pPr>
        <w:spacing w:after="0" w:line="73" w:lineRule="exact"/>
        <w:rPr>
          <w:rFonts w:ascii="Arial" w:cs="Arial" w:eastAsia="Arial" w:hAnsi="Arial"/>
          <w:sz w:val="18"/>
          <w:szCs w:val="18"/>
          <w:color w:val="auto"/>
        </w:rPr>
      </w:pPr>
    </w:p>
    <w:p>
      <w:pPr>
        <w:ind w:left="460" w:right="20" w:firstLine="229"/>
        <w:spacing w:after="0" w:line="270" w:lineRule="auto"/>
        <w:tabs>
          <w:tab w:leader="none" w:pos="940"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t>Filing of Amendments; Response to Commission Requests</w:t>
      </w:r>
      <w:r>
        <w:rPr>
          <w:rFonts w:ascii="Arial" w:cs="Arial" w:eastAsia="Arial" w:hAnsi="Arial"/>
          <w:sz w:val="17"/>
          <w:szCs w:val="17"/>
          <w:color w:val="auto"/>
        </w:rPr>
        <w:t>. For so long as a prospectus relating to the Securities is (or but for the exemption in</w:t>
      </w:r>
      <w:r>
        <w:rPr>
          <w:rFonts w:ascii="Arial" w:cs="Arial" w:eastAsia="Arial" w:hAnsi="Arial"/>
          <w:sz w:val="17"/>
          <w:szCs w:val="17"/>
          <w:i w:val="1"/>
          <w:iCs w:val="1"/>
          <w:color w:val="auto"/>
        </w:rPr>
        <w:t xml:space="preserve"> </w:t>
      </w:r>
      <w:r>
        <w:rPr>
          <w:rFonts w:ascii="Arial" w:cs="Arial" w:eastAsia="Arial" w:hAnsi="Arial"/>
          <w:sz w:val="17"/>
          <w:szCs w:val="17"/>
          <w:color w:val="auto"/>
        </w:rPr>
        <w:t>Rule 172 would be) required to be delivered under the Act by any Underwriter or dealer) the Company will promptly advise the Representative of any proposal to amend or supplement the Registration Statement or any Statutory Prospectus at any time and will offer the Representative a reasonable opportunity to comment on any such amendment or supplement; and the Company will also advise the Representative promptly of (i) the filing of any such amendment or supplement, (ii) any request by the Commission or its staff for any amendment to the Registration Statement, for any supplement to any Statutory Prospectus or for any additional information, (iii) the institution by the Commission of any stop order proceedings in respect of the Registration Statement or the threatening of any proceeding for that purpose and (iv) the receipt by the Company of any notification with respect to the suspension of the qualification of the Securities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w:t>
      </w:r>
    </w:p>
    <w:p>
      <w:pPr>
        <w:spacing w:after="0" w:line="69" w:lineRule="exact"/>
        <w:rPr>
          <w:rFonts w:ascii="Arial" w:cs="Arial" w:eastAsia="Arial" w:hAnsi="Arial"/>
          <w:sz w:val="17"/>
          <w:szCs w:val="17"/>
          <w:color w:val="auto"/>
        </w:rPr>
      </w:pPr>
    </w:p>
    <w:p>
      <w:pPr>
        <w:ind w:left="460" w:firstLine="229"/>
        <w:spacing w:after="0" w:line="270" w:lineRule="auto"/>
        <w:tabs>
          <w:tab w:leader="none" w:pos="930"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t>Continued Compliance with Securities Laws</w:t>
      </w:r>
      <w:r>
        <w:rPr>
          <w:rFonts w:ascii="Arial" w:cs="Arial" w:eastAsia="Arial" w:hAnsi="Arial"/>
          <w:sz w:val="17"/>
          <w:szCs w:val="17"/>
          <w:color w:val="auto"/>
        </w:rPr>
        <w:t>. If, at any time when a prospectus relating to the Securities is (or but for the exemption in Rule 172</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 of such event and will promptly prepare and file with the Commission and furnish, at its own expense, to the Underwriters and the dealers and any other dealers upon request of the Representative,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 hereof.</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jc w:val="both"/>
        <w:ind w:firstLine="229"/>
        <w:spacing w:after="0" w:line="264" w:lineRule="auto"/>
        <w:tabs>
          <w:tab w:leader="none" w:pos="4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Rule 158. </w:t>
      </w:r>
      <w:r>
        <w:rPr>
          <w:rFonts w:ascii="Arial" w:cs="Arial" w:eastAsia="Arial" w:hAnsi="Arial"/>
          <w:sz w:val="18"/>
          <w:szCs w:val="18"/>
          <w:color w:val="auto"/>
        </w:rPr>
        <w:t>As soon as practicable, but not later than 16 months, after the date of this Agreement, the Company will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an earnings statement covering a period of at least 12 months beginning after the date of this Agreement and satisfying the provisions of Section 11(a) of the Act and Rule 158.</w:t>
      </w:r>
    </w:p>
    <w:p>
      <w:pPr>
        <w:spacing w:after="0" w:line="73" w:lineRule="exact"/>
        <w:rPr>
          <w:rFonts w:ascii="Arial" w:cs="Arial" w:eastAsia="Arial" w:hAnsi="Arial"/>
          <w:sz w:val="18"/>
          <w:szCs w:val="18"/>
          <w:color w:val="auto"/>
        </w:rPr>
      </w:pPr>
    </w:p>
    <w:p>
      <w:pPr>
        <w:ind w:right="320" w:firstLine="229"/>
        <w:spacing w:after="0" w:line="259" w:lineRule="auto"/>
        <w:tabs>
          <w:tab w:leader="none" w:pos="47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Furnishing of Prospectuses</w:t>
      </w:r>
      <w:r>
        <w:rPr>
          <w:rFonts w:ascii="Arial" w:cs="Arial" w:eastAsia="Arial" w:hAnsi="Arial"/>
          <w:sz w:val="18"/>
          <w:szCs w:val="18"/>
          <w:color w:val="auto"/>
        </w:rPr>
        <w:t>. The Company will furnish to the Representative copies of the Registration Statement, including all exhibits, any</w:t>
      </w:r>
      <w:r>
        <w:rPr>
          <w:rFonts w:ascii="Arial" w:cs="Arial" w:eastAsia="Arial" w:hAnsi="Arial"/>
          <w:sz w:val="18"/>
          <w:szCs w:val="18"/>
          <w:i w:val="1"/>
          <w:iCs w:val="1"/>
          <w:color w:val="auto"/>
        </w:rPr>
        <w:t xml:space="preserve"> </w:t>
      </w:r>
      <w:r>
        <w:rPr>
          <w:rFonts w:ascii="Arial" w:cs="Arial" w:eastAsia="Arial" w:hAnsi="Arial"/>
          <w:sz w:val="18"/>
          <w:szCs w:val="18"/>
          <w:color w:val="auto"/>
        </w:rPr>
        <w:t>Statutory Prospectus, the Final Prospectus and all amendments and supplements to such documents, in each case as soon as available and in such quantities as the Representative reasonably requests. The Company will pay the expenses of printing and distributing to the Underwriters all such documents.</w:t>
      </w:r>
    </w:p>
    <w:p>
      <w:pPr>
        <w:spacing w:after="0" w:line="78" w:lineRule="exact"/>
        <w:rPr>
          <w:rFonts w:ascii="Arial" w:cs="Arial" w:eastAsia="Arial" w:hAnsi="Arial"/>
          <w:sz w:val="18"/>
          <w:szCs w:val="18"/>
          <w:color w:val="auto"/>
        </w:rPr>
      </w:pPr>
    </w:p>
    <w:p>
      <w:pPr>
        <w:ind w:right="180" w:firstLine="229"/>
        <w:spacing w:after="0" w:line="302" w:lineRule="auto"/>
        <w:tabs>
          <w:tab w:leader="none" w:pos="45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arrange for the qualification of the Securities for sale and the determination of their eligibility for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under the laws of such jurisdictions as the Representative designates and will continue such qualifications in effect so long as required for the distribution; provided that the Company shall not be required to qualify to transact business or to take any action that would subject it to general service of process in any such jurisdiction where it is not currently qualified or where it would be subject to taxation as a foreign business.</w:t>
      </w:r>
    </w:p>
    <w:p>
      <w:pPr>
        <w:spacing w:after="0" w:line="46" w:lineRule="exact"/>
        <w:rPr>
          <w:rFonts w:ascii="Arial" w:cs="Arial" w:eastAsia="Arial" w:hAnsi="Arial"/>
          <w:sz w:val="16"/>
          <w:szCs w:val="16"/>
          <w:color w:val="auto"/>
        </w:rPr>
      </w:pPr>
    </w:p>
    <w:p>
      <w:pPr>
        <w:ind w:right="40" w:firstLine="229"/>
        <w:spacing w:after="0" w:line="290" w:lineRule="auto"/>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Reporting Requirements</w:t>
      </w:r>
      <w:r>
        <w:rPr>
          <w:rFonts w:ascii="Arial" w:cs="Arial" w:eastAsia="Arial" w:hAnsi="Arial"/>
          <w:sz w:val="16"/>
          <w:szCs w:val="16"/>
          <w:color w:val="auto"/>
        </w:rPr>
        <w:t>. For so long as delivery of a prospectus by an Underwriter or dealer may be (or but for the exception in Rule 172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required under the Act, the Company will furnish to the Representative and, upon request, to each of the other Underwriters, as soon as practicable after the end of each fiscal year, a copy of its annual report to stockholders for such year as is required to be filed by the Company with the Commission; and the Company will furnish to the Representative (i) as soon as available, a copy of each report and any definitive proxy statement of the Company filed with the Commission under the Exchange Act or mailed to stockholders, and (ii) from time to time, such other information concerning the Company as the Representative may reasonably request. However, so long as the Company is subject to the reporting requirements of either Section 13 or Section 15(d) of the Exchange Act and is timely filing reports with the Commission on its Electronic Data Gathering, Analysis and Retrieval system or any successor system (“</w:t>
      </w:r>
      <w:r>
        <w:rPr>
          <w:rFonts w:ascii="Arial" w:cs="Arial" w:eastAsia="Arial" w:hAnsi="Arial"/>
          <w:sz w:val="16"/>
          <w:szCs w:val="16"/>
          <w:b w:val="1"/>
          <w:bCs w:val="1"/>
          <w:color w:val="auto"/>
        </w:rPr>
        <w:t>EDGAR</w:t>
      </w:r>
      <w:r>
        <w:rPr>
          <w:rFonts w:ascii="Arial" w:cs="Arial" w:eastAsia="Arial" w:hAnsi="Arial"/>
          <w:sz w:val="16"/>
          <w:szCs w:val="16"/>
          <w:color w:val="auto"/>
        </w:rPr>
        <w:t>”), it is not required to furnish such reports or statements to the Underwriters.</w:t>
      </w:r>
    </w:p>
    <w:p>
      <w:pPr>
        <w:spacing w:after="0" w:line="58" w:lineRule="exact"/>
        <w:rPr>
          <w:rFonts w:ascii="Arial" w:cs="Arial" w:eastAsia="Arial" w:hAnsi="Arial"/>
          <w:sz w:val="16"/>
          <w:szCs w:val="16"/>
          <w:color w:val="auto"/>
        </w:rPr>
      </w:pPr>
    </w:p>
    <w:p>
      <w:pPr>
        <w:ind w:firstLine="229"/>
        <w:spacing w:after="0" w:line="270" w:lineRule="auto"/>
        <w:tabs>
          <w:tab w:leader="none" w:pos="48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Payment of Expenses</w:t>
      </w:r>
      <w:r>
        <w:rPr>
          <w:rFonts w:ascii="Arial" w:cs="Arial" w:eastAsia="Arial" w:hAnsi="Arial"/>
          <w:sz w:val="17"/>
          <w:szCs w:val="17"/>
          <w:color w:val="auto"/>
        </w:rPr>
        <w:t>. The Company will pay all expenses incident to the performance of its obligations under this Agreement, including but not</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to any filing fees and other expenses (including fees and disbursements of counsel to the Underwriters) incurred in connection with qualification of the Securities for sale under the laws of such jurisdictions as the Representative designates pursuant to Section 5(f) and the preparation and printing of memoranda relating thereto, any fees charged by investment rating agencies for the rating of the Securities, costs and expenses relating to investor presentations or any “road show” in connection with the offering and sale of the Securities including, without limitation, any travel expenses of the Company’s officers and employees and any other expenses of the Company, fees and expenses in connection with the registration of the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It is understood, however, that, except as provided in this Section 5 and Sections 8 and 10, the Underwriters will pay the fees of their counsel.</w:t>
      </w:r>
    </w:p>
    <w:p>
      <w:pPr>
        <w:spacing w:after="0" w:line="69" w:lineRule="exact"/>
        <w:rPr>
          <w:rFonts w:ascii="Arial" w:cs="Arial" w:eastAsia="Arial" w:hAnsi="Arial"/>
          <w:sz w:val="17"/>
          <w:szCs w:val="17"/>
          <w:color w:val="auto"/>
        </w:rPr>
      </w:pPr>
    </w:p>
    <w:p>
      <w:pPr>
        <w:ind w:left="440" w:hanging="211"/>
        <w:spacing w:after="0"/>
        <w:tabs>
          <w:tab w:leader="none" w:pos="4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The Company will use the net proceeds received in connection with this offering in the manner described in the “Use of</w:t>
      </w:r>
    </w:p>
    <w:p>
      <w:pPr>
        <w:spacing w:after="0" w:line="34" w:lineRule="exact"/>
        <w:rPr>
          <w:rFonts w:ascii="Arial" w:cs="Arial" w:eastAsia="Arial" w:hAnsi="Arial"/>
          <w:sz w:val="17"/>
          <w:szCs w:val="17"/>
          <w:color w:val="auto"/>
        </w:rPr>
      </w:pPr>
    </w:p>
    <w:p>
      <w:pPr>
        <w:ind w:right="140"/>
        <w:spacing w:after="0" w:line="323" w:lineRule="auto"/>
        <w:rPr>
          <w:rFonts w:ascii="Arial" w:cs="Arial" w:eastAsia="Arial" w:hAnsi="Arial"/>
          <w:sz w:val="17"/>
          <w:szCs w:val="17"/>
          <w:color w:val="auto"/>
        </w:rPr>
      </w:pPr>
      <w:r>
        <w:rPr>
          <w:rFonts w:ascii="Arial" w:cs="Arial" w:eastAsia="Arial" w:hAnsi="Arial"/>
          <w:sz w:val="16"/>
          <w:szCs w:val="16"/>
          <w:color w:val="auto"/>
        </w:rPr>
        <w:t>Proceeds” section of the General Disclosure Package and, except as disclosed in the General Disclosure Package, the Company does not intend to use any of the proceeds from the sale of the Securities hereunder to repay any outstanding debt owed to any affiliate of any Underwriter.</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16" w:name="page17"/>
    <w:bookmarkEnd w:id="16"/>
    <w:p>
      <w:pPr>
        <w:ind w:left="440" w:right="60" w:firstLine="229"/>
        <w:spacing w:after="0" w:line="264" w:lineRule="auto"/>
        <w:tabs>
          <w:tab w:leader="none" w:pos="88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Absence of Manipulation</w:t>
      </w:r>
      <w:r>
        <w:rPr>
          <w:rFonts w:ascii="Arial" w:cs="Arial" w:eastAsia="Arial" w:hAnsi="Arial"/>
          <w:sz w:val="18"/>
          <w:szCs w:val="18"/>
          <w:color w:val="auto"/>
        </w:rPr>
        <w:t>. The Company will not take, directly or indirectly, any action designed to or that would constitute or that might</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cause or result in, stabilization or manipulation of the price of any securities of the Company to facilitate the sale or resale of the Securities.</w:t>
      </w:r>
    </w:p>
    <w:p>
      <w:pPr>
        <w:spacing w:after="0" w:line="73" w:lineRule="exact"/>
        <w:rPr>
          <w:rFonts w:ascii="Arial" w:cs="Arial" w:eastAsia="Arial" w:hAnsi="Arial"/>
          <w:sz w:val="18"/>
          <w:szCs w:val="18"/>
          <w:color w:val="auto"/>
        </w:rPr>
      </w:pPr>
    </w:p>
    <w:p>
      <w:pPr>
        <w:ind w:left="440" w:right="160" w:firstLine="229"/>
        <w:spacing w:after="0" w:line="302" w:lineRule="auto"/>
        <w:tabs>
          <w:tab w:leader="none" w:pos="920" w:val="left"/>
        </w:tabs>
        <w:numPr>
          <w:ilvl w:val="1"/>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Restriction on Sale of Securities. </w:t>
      </w:r>
      <w:r>
        <w:rPr>
          <w:rFonts w:ascii="Arial" w:cs="Arial" w:eastAsia="Arial" w:hAnsi="Arial"/>
          <w:sz w:val="16"/>
          <w:szCs w:val="16"/>
          <w:color w:val="auto"/>
        </w:rPr>
        <w:t>The Company will not offer, sell, contract to sell, pledge or otherwise dispose of, directly or indirectly, or file</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Commission a registration statement under the Act relating to United States dollar-denominated debt securities issued or guaranteed by the Company and having a maturity of more than one year from the date of issue, or publicly disclose the intention to make any such offer, sale, pledge, disposition or filing, without the prior written consent of the Representative for a period beginning on the date hereof and ending on the Closing Date.</w:t>
      </w:r>
    </w:p>
    <w:p>
      <w:pPr>
        <w:spacing w:after="0" w:line="46" w:lineRule="exact"/>
        <w:rPr>
          <w:rFonts w:ascii="Arial" w:cs="Arial" w:eastAsia="Arial" w:hAnsi="Arial"/>
          <w:sz w:val="16"/>
          <w:szCs w:val="16"/>
          <w:color w:val="auto"/>
        </w:rPr>
      </w:pPr>
    </w:p>
    <w:p>
      <w:pPr>
        <w:ind w:left="-20" w:firstLine="458"/>
        <w:spacing w:after="0" w:line="254" w:lineRule="auto"/>
        <w:tabs>
          <w:tab w:leader="none" w:pos="61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Free Writing Prospectuses</w:t>
      </w:r>
      <w:r>
        <w:rPr>
          <w:rFonts w:ascii="Arial" w:cs="Arial" w:eastAsia="Arial" w:hAnsi="Arial"/>
          <w:sz w:val="18"/>
          <w:szCs w:val="18"/>
          <w:color w:val="auto"/>
        </w:rPr>
        <w:t>. (a)</w:t>
      </w:r>
      <w:r>
        <w:rPr>
          <w:rFonts w:ascii="Arial" w:cs="Arial" w:eastAsia="Arial" w:hAnsi="Arial"/>
          <w:sz w:val="18"/>
          <w:szCs w:val="18"/>
          <w:i w:val="1"/>
          <w:iCs w:val="1"/>
          <w:color w:val="auto"/>
        </w:rPr>
        <w:t xml:space="preserve"> Issuer Free Writing Prospectuses</w:t>
      </w:r>
      <w:r>
        <w:rPr>
          <w:rFonts w:ascii="Arial" w:cs="Arial" w:eastAsia="Arial" w:hAnsi="Arial"/>
          <w:sz w:val="18"/>
          <w:szCs w:val="18"/>
          <w:color w:val="auto"/>
        </w:rPr>
        <w:t>. The Company represents and agrees that, unless it obtains the prior consent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 and each Underwriter represents and agrees that, unless it obtains the prior consent of the Company and the Representative,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the Company and the Representative is hereinafter referred to as a “</w:t>
      </w:r>
      <w:r>
        <w:rPr>
          <w:rFonts w:ascii="Arial" w:cs="Arial" w:eastAsia="Arial" w:hAnsi="Arial"/>
          <w:sz w:val="18"/>
          <w:szCs w:val="18"/>
          <w:b w:val="1"/>
          <w:bCs w:val="1"/>
          <w:color w:val="auto"/>
        </w:rPr>
        <w:t>Permitted Free Writing Prospectus</w:t>
      </w:r>
      <w:r>
        <w:rPr>
          <w:rFonts w:ascii="Arial" w:cs="Arial" w:eastAsia="Arial" w:hAnsi="Arial"/>
          <w:sz w:val="18"/>
          <w:szCs w:val="18"/>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w:t>
      </w:r>
    </w:p>
    <w:p>
      <w:pPr>
        <w:spacing w:after="0" w:line="84" w:lineRule="exact"/>
        <w:rPr>
          <w:rFonts w:ascii="Arial" w:cs="Arial" w:eastAsia="Arial" w:hAnsi="Arial"/>
          <w:sz w:val="18"/>
          <w:szCs w:val="18"/>
          <w:color w:val="auto"/>
        </w:rPr>
      </w:pPr>
    </w:p>
    <w:p>
      <w:pPr>
        <w:jc w:val="both"/>
        <w:ind w:left="440" w:right="80" w:firstLine="229"/>
        <w:spacing w:after="0" w:line="291" w:lineRule="auto"/>
        <w:tabs>
          <w:tab w:leader="none" w:pos="920"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Term Sheets</w:t>
      </w:r>
      <w:r>
        <w:rPr>
          <w:rFonts w:ascii="Arial" w:cs="Arial" w:eastAsia="Arial" w:hAnsi="Arial"/>
          <w:sz w:val="16"/>
          <w:szCs w:val="16"/>
          <w:color w:val="auto"/>
        </w:rPr>
        <w:t>. The Company will prepare a final term sheet relating to the Securities, containing only information that describes the final terms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Securities and otherwise in a form consented to by the Representative, and will file such final term sheet within the period required by Rule 433(d)</w:t>
      </w:r>
    </w:p>
    <w:p>
      <w:pPr>
        <w:ind w:left="440" w:right="60"/>
        <w:spacing w:after="0" w:line="290" w:lineRule="auto"/>
        <w:rPr>
          <w:rFonts w:ascii="Arial" w:cs="Arial" w:eastAsia="Arial" w:hAnsi="Arial"/>
          <w:sz w:val="16"/>
          <w:szCs w:val="16"/>
          <w:color w:val="auto"/>
        </w:rPr>
      </w:pPr>
      <w:r>
        <w:rPr>
          <w:rFonts w:ascii="Arial" w:cs="Arial" w:eastAsia="Arial" w:hAnsi="Arial"/>
          <w:sz w:val="16"/>
          <w:szCs w:val="16"/>
          <w:color w:val="auto"/>
        </w:rPr>
        <w:t>(5)(ii) following the date such final terms have been established for the offering of the Securities. Any such final term sheet is an Issuer Free Writing Prospectus and a Permitted Free Writing Prospectus for purposes of this Agreement. The Company also consents to the use by any Underwriter of a free writing prospectus that contains only (i)(x) information describing the preliminary terms of the Securities or their offering or (y) information that describes the final terms of the Securities or their offering and that is included in the final term sheet of the Company contemplated in the first sentence of this subsection or (ii) other information that is not “issuer information,” as defined in Rule 433, it being understood that any such free writing prospectus referred to in clause (i) or (ii) above shall not be an Issuer Free Writing Prospectus for purposes of this Agreement.</w:t>
      </w:r>
    </w:p>
    <w:p>
      <w:pPr>
        <w:spacing w:after="0" w:line="56" w:lineRule="exact"/>
        <w:rPr>
          <w:rFonts w:ascii="Arial" w:cs="Arial" w:eastAsia="Arial" w:hAnsi="Arial"/>
          <w:sz w:val="16"/>
          <w:szCs w:val="16"/>
          <w:color w:val="auto"/>
        </w:rPr>
      </w:pPr>
    </w:p>
    <w:p>
      <w:pPr>
        <w:ind w:left="-20" w:right="40" w:firstLine="458"/>
        <w:spacing w:after="0" w:line="259" w:lineRule="auto"/>
        <w:tabs>
          <w:tab w:leader="none" w:pos="61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Conditions of the Obligations of the Underwriters</w:t>
      </w:r>
      <w:r>
        <w:rPr>
          <w:rFonts w:ascii="Arial" w:cs="Arial" w:eastAsia="Arial" w:hAnsi="Arial"/>
          <w:sz w:val="18"/>
          <w:szCs w:val="18"/>
          <w:color w:val="auto"/>
        </w:rPr>
        <w:t>. The obligations of the several Underwriters to purchase and pay for the Securities on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Date will be subject to the accuracy of the representations and warranties of the Company herein (as though made on the Closing Date), to the accuracy of the statements of Company officers made pursuant to the provisions hereof, to the performance by the Company of its obligations hereunder and to the following additional conditions precedent:</w:t>
      </w:r>
    </w:p>
    <w:p>
      <w:pPr>
        <w:spacing w:after="0" w:line="78" w:lineRule="exact"/>
        <w:rPr>
          <w:rFonts w:ascii="Arial" w:cs="Arial" w:eastAsia="Arial" w:hAnsi="Arial"/>
          <w:sz w:val="18"/>
          <w:szCs w:val="18"/>
          <w:color w:val="auto"/>
        </w:rPr>
      </w:pPr>
    </w:p>
    <w:p>
      <w:pPr>
        <w:jc w:val="both"/>
        <w:ind w:left="440" w:right="20" w:firstLine="229"/>
        <w:spacing w:after="0" w:line="259" w:lineRule="auto"/>
        <w:tabs>
          <w:tab w:leader="none" w:pos="91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The Representative shall have received letters, dated, respectively, the date hereof and the Closing Date, of Ernst &amp;</w:t>
      </w:r>
      <w:r>
        <w:rPr>
          <w:rFonts w:ascii="Arial" w:cs="Arial" w:eastAsia="Arial" w:hAnsi="Arial"/>
          <w:sz w:val="18"/>
          <w:szCs w:val="18"/>
          <w:i w:val="1"/>
          <w:iCs w:val="1"/>
          <w:color w:val="auto"/>
        </w:rPr>
        <w:t xml:space="preserve"> </w:t>
      </w:r>
      <w:r>
        <w:rPr>
          <w:rFonts w:ascii="Arial" w:cs="Arial" w:eastAsia="Arial" w:hAnsi="Arial"/>
          <w:sz w:val="18"/>
          <w:szCs w:val="18"/>
          <w:color w:val="auto"/>
        </w:rPr>
        <w:t>Young LLP, confirming that they are a registered public accounting firm and independent public accountants within the meaning of the Securities Laws and substantially in the form of Exhibit A hereto (except that, in any letter dated the Closing Date, the specified date referred to in Exhibit A hereto shall be a date no more than three days prior to the Closing Date).</w:t>
      </w:r>
    </w:p>
    <w:p>
      <w:pPr>
        <w:spacing w:after="0" w:line="78" w:lineRule="exact"/>
        <w:rPr>
          <w:rFonts w:ascii="Arial" w:cs="Arial" w:eastAsia="Arial" w:hAnsi="Arial"/>
          <w:sz w:val="18"/>
          <w:szCs w:val="18"/>
          <w:color w:val="auto"/>
        </w:rPr>
      </w:pPr>
    </w:p>
    <w:p>
      <w:pPr>
        <w:ind w:left="440" w:right="420" w:firstLine="454"/>
        <w:spacing w:after="0" w:line="277" w:lineRule="auto"/>
        <w:tabs>
          <w:tab w:leader="none" w:pos="1145" w:val="left"/>
        </w:tabs>
        <w:numPr>
          <w:ilvl w:val="2"/>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Filing of Prospectus. </w:t>
      </w:r>
      <w:r>
        <w:rPr>
          <w:rFonts w:ascii="Arial" w:cs="Arial" w:eastAsia="Arial" w:hAnsi="Arial"/>
          <w:sz w:val="18"/>
          <w:szCs w:val="18"/>
          <w:color w:val="auto"/>
        </w:rPr>
        <w:t>The Final Prospectus shall have been filed with the Commission in accordance with the Rules and Regulations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5(a) hereof. No stop order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7" w:name="page18"/>
    <w:bookmarkEnd w:id="17"/>
    <w:p>
      <w:pPr>
        <w:ind w:right="60"/>
        <w:spacing w:after="0" w:line="277" w:lineRule="auto"/>
        <w:rPr>
          <w:sz w:val="20"/>
          <w:szCs w:val="20"/>
          <w:color w:val="auto"/>
        </w:rPr>
      </w:pPr>
      <w:r>
        <w:rPr>
          <w:rFonts w:ascii="Arial" w:cs="Arial" w:eastAsia="Arial" w:hAnsi="Arial"/>
          <w:sz w:val="18"/>
          <w:szCs w:val="18"/>
          <w:color w:val="auto"/>
        </w:rPr>
        <w:t>suspending the effectiveness of the Registration Statement or of any part thereof shall have been issued and no proceedings for that purpose shall have been instituted or, to the knowledge of the Company or any Underwriter, shall be contemplated by the Commission.</w:t>
      </w:r>
    </w:p>
    <w:p>
      <w:pPr>
        <w:spacing w:after="0" w:line="62" w:lineRule="exact"/>
        <w:rPr>
          <w:sz w:val="20"/>
          <w:szCs w:val="20"/>
          <w:color w:val="auto"/>
        </w:rPr>
      </w:pPr>
    </w:p>
    <w:p>
      <w:pPr>
        <w:ind w:right="40" w:firstLine="454"/>
        <w:spacing w:after="0" w:line="285"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No Material Adverse Change</w:t>
      </w:r>
      <w:r>
        <w:rPr>
          <w:rFonts w:ascii="Arial" w:cs="Arial" w:eastAsia="Arial" w:hAnsi="Arial"/>
          <w:sz w:val="16"/>
          <w:szCs w:val="16"/>
          <w:color w:val="auto"/>
        </w:rPr>
        <w:t>. Subsequent to the execution and delivery of this Agreement, there shall not have occurred (i) any change, or</w:t>
      </w:r>
      <w:r>
        <w:rPr>
          <w:rFonts w:ascii="Arial" w:cs="Arial" w:eastAsia="Arial" w:hAnsi="Arial"/>
          <w:sz w:val="16"/>
          <w:szCs w:val="16"/>
          <w:i w:val="1"/>
          <w:iCs w:val="1"/>
          <w:color w:val="auto"/>
        </w:rPr>
        <w:t xml:space="preserve"> </w:t>
      </w:r>
      <w:r>
        <w:rPr>
          <w:rFonts w:ascii="Arial" w:cs="Arial" w:eastAsia="Arial" w:hAnsi="Arial"/>
          <w:sz w:val="16"/>
          <w:szCs w:val="16"/>
          <w:color w:val="auto"/>
        </w:rPr>
        <w:t>any development or event involving a prospective change, in the condition (financial or otherwise), results of operations, business or properties of the Company and its subsidiaries, taken as a whole, which, in the judgment of the Representative, is material and adverse and makes it impractical or inadvisable to market the Securities; (ii) any downgrading in the rating of any debt securities of the Company by any “nationally recognized statistical rating organization” (as defined for purposes of Rule 436(g)), or any public announcement that any such organization has under surveillance or review its rating of any debt securities of the Company (other than an announcement with positive implications of a possible upgrading, and no implication of a possible downgrading, of such rating); (iii) any change in U.S. or international financial, political or economic conditions or currency exchange rates or exchange controls the effect of which is such as to make it, in the judgment of the Representative, impractical to market or to enforce contracts for the sale of the Securities, whether in the primary market or in respect of dealings in the secondary market; (iv) any suspension or material limitation of trading in securities generally on the New York Stock Exchange, or any setting of minimum or maximum prices for trading on such exchange; (v) or any suspension of trading of any securities of the Company on any exchange or in the over-the-counter market; (vi) any banking moratorium declared by any U.S. federal or New York authorities; (vii) any major disruption of settlements of securities, payment, or clearance services in the United States or any other country where such securities are listed or (viii) any attack on, outbreak or escalation of hostilities or act of terrorism involving the United States, any declaration of war by Congress or any other national or international calamity or emergency if, in the judgment of the Representative, the effect of any such attack, outbreak, escalation, act, declaration, calamity or emergency is such as to make it impractical or inadvisable to market the Securities or to enforce contracts for the sale of the Securities.</w:t>
      </w:r>
    </w:p>
    <w:p>
      <w:pPr>
        <w:spacing w:after="0" w:line="69" w:lineRule="exact"/>
        <w:rPr>
          <w:rFonts w:ascii="Arial" w:cs="Arial" w:eastAsia="Arial" w:hAnsi="Arial"/>
          <w:sz w:val="16"/>
          <w:szCs w:val="16"/>
          <w:color w:val="auto"/>
        </w:rPr>
      </w:pPr>
    </w:p>
    <w:p>
      <w:pPr>
        <w:ind w:right="280" w:firstLine="454"/>
        <w:spacing w:after="0" w:line="277" w:lineRule="auto"/>
        <w:tabs>
          <w:tab w:leader="none" w:pos="70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w:t>
      </w:r>
      <w:r>
        <w:rPr>
          <w:rFonts w:ascii="Arial" w:cs="Arial" w:eastAsia="Arial" w:hAnsi="Arial"/>
          <w:sz w:val="18"/>
          <w:szCs w:val="18"/>
          <w:color w:val="auto"/>
        </w:rPr>
        <w:t>. The Representative shall have received an opinion, dated the Closing Date, of Wilmer Cutler Pickering</w:t>
      </w:r>
      <w:r>
        <w:rPr>
          <w:rFonts w:ascii="Arial" w:cs="Arial" w:eastAsia="Arial" w:hAnsi="Arial"/>
          <w:sz w:val="18"/>
          <w:szCs w:val="18"/>
          <w:i w:val="1"/>
          <w:iCs w:val="1"/>
          <w:color w:val="auto"/>
        </w:rPr>
        <w:t xml:space="preserve"> </w:t>
      </w:r>
      <w:r>
        <w:rPr>
          <w:rFonts w:ascii="Arial" w:cs="Arial" w:eastAsia="Arial" w:hAnsi="Arial"/>
          <w:sz w:val="18"/>
          <w:szCs w:val="18"/>
          <w:color w:val="auto"/>
        </w:rPr>
        <w:t>Hale and Dorr LLP, counsel for the Company, in the form of Exhibit B hereto.</w:t>
      </w:r>
    </w:p>
    <w:p>
      <w:pPr>
        <w:spacing w:after="0" w:line="62" w:lineRule="exact"/>
        <w:rPr>
          <w:rFonts w:ascii="Arial" w:cs="Arial" w:eastAsia="Arial" w:hAnsi="Arial"/>
          <w:sz w:val="18"/>
          <w:szCs w:val="18"/>
          <w:color w:val="auto"/>
        </w:rPr>
      </w:pPr>
    </w:p>
    <w:p>
      <w:pPr>
        <w:ind w:right="580" w:firstLine="454"/>
        <w:spacing w:after="0" w:line="277" w:lineRule="auto"/>
        <w:tabs>
          <w:tab w:leader="none" w:pos="69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Opinion of Netherlands Counsel for Company. </w:t>
      </w:r>
      <w:r>
        <w:rPr>
          <w:rFonts w:ascii="Arial" w:cs="Arial" w:eastAsia="Arial" w:hAnsi="Arial"/>
          <w:sz w:val="18"/>
          <w:szCs w:val="18"/>
          <w:color w:val="auto"/>
        </w:rPr>
        <w:t>The Representative shall have received an opinion, dated the Closing Date, of Houben</w:t>
      </w:r>
      <w:r>
        <w:rPr>
          <w:rFonts w:ascii="Arial" w:cs="Arial" w:eastAsia="Arial" w:hAnsi="Arial"/>
          <w:sz w:val="18"/>
          <w:szCs w:val="18"/>
          <w:i w:val="1"/>
          <w:iCs w:val="1"/>
          <w:color w:val="auto"/>
        </w:rPr>
        <w:t xml:space="preserve"> </w:t>
      </w:r>
      <w:r>
        <w:rPr>
          <w:rFonts w:ascii="Arial" w:cs="Arial" w:eastAsia="Arial" w:hAnsi="Arial"/>
          <w:sz w:val="18"/>
          <w:szCs w:val="18"/>
          <w:color w:val="auto"/>
        </w:rPr>
        <w:t>Advocaten, Netherlands counsel for the Company, in the form of Exhibit C hereto.</w:t>
      </w:r>
    </w:p>
    <w:p>
      <w:pPr>
        <w:spacing w:after="0" w:line="62" w:lineRule="exact"/>
        <w:rPr>
          <w:rFonts w:ascii="Arial" w:cs="Arial" w:eastAsia="Arial" w:hAnsi="Arial"/>
          <w:sz w:val="18"/>
          <w:szCs w:val="18"/>
          <w:color w:val="auto"/>
        </w:rPr>
      </w:pPr>
    </w:p>
    <w:p>
      <w:pPr>
        <w:ind w:firstLine="454"/>
        <w:spacing w:after="0" w:line="277" w:lineRule="auto"/>
        <w:tabs>
          <w:tab w:leader="none" w:pos="67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Opinion of General Counsel of the Company. </w:t>
      </w:r>
      <w:r>
        <w:rPr>
          <w:rFonts w:ascii="Arial" w:cs="Arial" w:eastAsia="Arial" w:hAnsi="Arial"/>
          <w:sz w:val="18"/>
          <w:szCs w:val="18"/>
          <w:color w:val="auto"/>
        </w:rPr>
        <w:t>The Representative shall have received an opinion, dated the Closing Date, of Margaret K. Seif,</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of the Company, in the form of Exhibit D hereto.</w:t>
      </w:r>
    </w:p>
    <w:p>
      <w:pPr>
        <w:spacing w:after="0" w:line="62" w:lineRule="exact"/>
        <w:rPr>
          <w:rFonts w:ascii="Arial" w:cs="Arial" w:eastAsia="Arial" w:hAnsi="Arial"/>
          <w:sz w:val="18"/>
          <w:szCs w:val="18"/>
          <w:color w:val="auto"/>
        </w:rPr>
      </w:pPr>
    </w:p>
    <w:p>
      <w:pPr>
        <w:ind w:firstLine="454"/>
        <w:spacing w:after="0" w:line="286" w:lineRule="auto"/>
        <w:tabs>
          <w:tab w:leader="none" w:pos="70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Opinion of Counsel for Underwriters. </w:t>
      </w:r>
      <w:r>
        <w:rPr>
          <w:rFonts w:ascii="Arial" w:cs="Arial" w:eastAsia="Arial" w:hAnsi="Arial"/>
          <w:sz w:val="17"/>
          <w:szCs w:val="17"/>
          <w:color w:val="auto"/>
        </w:rPr>
        <w:t>The Representative shall have received from Cravath, Swaine &amp; Moore LLP, counsel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such opinion or opinions, dated the Closing Date, with respect to such matters as the Representative may require, and the Company shall have furnished to such counsel such documents as they request for the purpose of enabling them to pass upon such matters.</w:t>
      </w:r>
    </w:p>
    <w:p>
      <w:pPr>
        <w:spacing w:after="0" w:line="57" w:lineRule="exact"/>
        <w:rPr>
          <w:rFonts w:ascii="Arial" w:cs="Arial" w:eastAsia="Arial" w:hAnsi="Arial"/>
          <w:sz w:val="17"/>
          <w:szCs w:val="17"/>
          <w:color w:val="auto"/>
        </w:rPr>
      </w:pPr>
    </w:p>
    <w:p>
      <w:pPr>
        <w:jc w:val="both"/>
        <w:ind w:firstLine="454"/>
        <w:spacing w:after="0" w:line="279" w:lineRule="auto"/>
        <w:tabs>
          <w:tab w:leader="none" w:pos="70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Officer’s Certificate</w:t>
      </w:r>
      <w:r>
        <w:rPr>
          <w:rFonts w:ascii="Arial" w:cs="Arial" w:eastAsia="Arial" w:hAnsi="Arial"/>
          <w:sz w:val="17"/>
          <w:szCs w:val="17"/>
          <w:color w:val="auto"/>
        </w:rPr>
        <w:t>. The Representative shall have received a certificate, dated the Closing Date, of an executive officer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the Closing Date; no stop order suspending the effectiveness of the Registration Statement has</w:t>
      </w:r>
    </w:p>
    <w:p>
      <w:pPr>
        <w:spacing w:after="0" w:line="14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00" w:top="935" w:right="299" w:bottom="1440" w:gutter="0" w:footer="0" w:header="0"/>
        </w:sectPr>
      </w:pPr>
    </w:p>
    <w:bookmarkStart w:id="18" w:name="page19"/>
    <w:bookmarkEnd w:id="18"/>
    <w:p>
      <w:pPr>
        <w:jc w:val="both"/>
        <w:ind w:left="460" w:right="120"/>
        <w:spacing w:after="0" w:line="302" w:lineRule="auto"/>
        <w:rPr>
          <w:sz w:val="20"/>
          <w:szCs w:val="20"/>
          <w:color w:val="auto"/>
        </w:rPr>
      </w:pPr>
      <w:r>
        <w:rPr>
          <w:rFonts w:ascii="Arial" w:cs="Arial" w:eastAsia="Arial" w:hAnsi="Arial"/>
          <w:sz w:val="16"/>
          <w:szCs w:val="16"/>
          <w:color w:val="auto"/>
        </w:rPr>
        <w:t>been issued and no proceedings for that purpose have been instituted or, to their knowledge, are contemplated by the Commission; and, subsequent to the date of the most recent financial statements in the General Disclosure Package, there has been no material adverse change, nor any development or event involving a prospective material adverse change, in the condition (financial or otherwise), results of operations, business, properties or prospects of the Company and its subsidiaries taken as a whole except as set forth in the General Disclosure Package or as described in such certificate.</w:t>
      </w:r>
    </w:p>
    <w:p>
      <w:pPr>
        <w:spacing w:after="0" w:line="4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will furnish the Representative with such conformed copies of such opinions, certificates, letters and documents as the Representative reasonably requests. The Representative may in its sole discretion waive on behalf of the Underwriters compliance with any conditions to the obligations of the Underwriters hereunder.</w:t>
      </w:r>
    </w:p>
    <w:p>
      <w:pPr>
        <w:spacing w:after="0" w:line="73" w:lineRule="exact"/>
        <w:rPr>
          <w:sz w:val="20"/>
          <w:szCs w:val="20"/>
          <w:color w:val="auto"/>
        </w:rPr>
      </w:pPr>
    </w:p>
    <w:p>
      <w:pPr>
        <w:ind w:firstLine="458"/>
        <w:spacing w:after="0" w:line="268" w:lineRule="auto"/>
        <w:tabs>
          <w:tab w:leader="none" w:pos="63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Indemnification and Contribution</w:t>
      </w:r>
      <w:r>
        <w:rPr>
          <w:rFonts w:ascii="Arial" w:cs="Arial" w:eastAsia="Arial" w:hAnsi="Arial"/>
          <w:sz w:val="17"/>
          <w:szCs w:val="17"/>
          <w:color w:val="auto"/>
        </w:rPr>
        <w:t>. (a)</w:t>
      </w:r>
      <w:r>
        <w:rPr>
          <w:rFonts w:ascii="Arial" w:cs="Arial" w:eastAsia="Arial" w:hAnsi="Arial"/>
          <w:sz w:val="17"/>
          <w:szCs w:val="17"/>
          <w:i w:val="1"/>
          <w:iCs w:val="1"/>
          <w:color w:val="auto"/>
        </w:rPr>
        <w:t xml:space="preserve"> Indemnification of Underwriters</w:t>
      </w:r>
      <w:r>
        <w:rPr>
          <w:rFonts w:ascii="Arial" w:cs="Arial" w:eastAsia="Arial" w:hAnsi="Arial"/>
          <w:sz w:val="17"/>
          <w:szCs w:val="17"/>
          <w:color w:val="auto"/>
        </w:rPr>
        <w:t>. The Company will indemnify and hold harmless each Underwriter, its</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 members, directors, officers, employees, agents, affiliates and each person, if any, who controls such Underwriter within the meaning of Section 15 of the Act or Section 20 of the Exchange Act (each, an “</w:t>
      </w:r>
      <w:r>
        <w:rPr>
          <w:rFonts w:ascii="Arial" w:cs="Arial" w:eastAsia="Arial" w:hAnsi="Arial"/>
          <w:sz w:val="17"/>
          <w:szCs w:val="17"/>
          <w:b w:val="1"/>
          <w:bCs w:val="1"/>
          <w:color w:val="auto"/>
        </w:rPr>
        <w:t>Indemnified Party</w:t>
      </w:r>
      <w:r>
        <w:rPr>
          <w:rFonts w:ascii="Arial" w:cs="Arial" w:eastAsia="Arial" w:hAnsi="Arial"/>
          <w:sz w:val="17"/>
          <w:szCs w:val="17"/>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or any Issuer Free Writing Prospectus,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such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 specifically for use therein, it being understood and agreed that the only such information furnished by any Underwriter consists of the information described as such in subsection (b) below.</w:t>
      </w:r>
    </w:p>
    <w:p>
      <w:pPr>
        <w:spacing w:after="0" w:line="75" w:lineRule="exact"/>
        <w:rPr>
          <w:sz w:val="20"/>
          <w:szCs w:val="20"/>
          <w:color w:val="auto"/>
        </w:rPr>
      </w:pPr>
    </w:p>
    <w:p>
      <w:pPr>
        <w:ind w:right="100" w:firstLine="458"/>
        <w:spacing w:after="0" w:line="286" w:lineRule="auto"/>
        <w:tabs>
          <w:tab w:leader="none" w:pos="705"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Indemnification of Company</w:t>
      </w:r>
      <w:r>
        <w:rPr>
          <w:rFonts w:ascii="Arial" w:cs="Arial" w:eastAsia="Arial" w:hAnsi="Arial"/>
          <w:sz w:val="16"/>
          <w:szCs w:val="16"/>
          <w:color w:val="auto"/>
        </w:rPr>
        <w:t>. Each Underwriter will severally and not jointly indemnify and hold harmless the Company, each of its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its officers who signs a Registration Statement and each person, if any, who controls the Company within the meaning of Section 15 of the Act or Section 20 of the Exchange Act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260"/>
        <w:spacing w:after="0" w:line="264" w:lineRule="auto"/>
        <w:rPr>
          <w:sz w:val="20"/>
          <w:szCs w:val="20"/>
          <w:color w:val="auto"/>
        </w:rPr>
      </w:pPr>
      <w:r>
        <w:rPr>
          <w:rFonts w:ascii="Arial" w:cs="Arial" w:eastAsia="Arial" w:hAnsi="Arial"/>
          <w:sz w:val="18"/>
          <w:szCs w:val="18"/>
          <w:color w:val="auto"/>
        </w:rPr>
        <w:t>consists of the following information in the Final Prospectus furnished on behalf of each Underwriter: the concession and reallowance figures appearing in the third paragraph under the caption “Underwriting”, the second sentence in the sixth paragraph under the caption “Underwriting”, and the information contained in the twelfth and thirteenth paragraphs under the caption “Underwriting”.</w:t>
      </w:r>
    </w:p>
    <w:p>
      <w:pPr>
        <w:spacing w:after="0" w:line="73" w:lineRule="exact"/>
        <w:rPr>
          <w:sz w:val="20"/>
          <w:szCs w:val="20"/>
          <w:color w:val="auto"/>
        </w:rPr>
      </w:pPr>
    </w:p>
    <w:p>
      <w:pPr>
        <w:ind w:right="80" w:firstLine="458"/>
        <w:spacing w:after="0" w:line="268" w:lineRule="auto"/>
        <w:tabs>
          <w:tab w:leader="none" w:pos="695"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Actions against Parties; Notification</w:t>
      </w:r>
      <w:r>
        <w:rPr>
          <w:rFonts w:ascii="Arial" w:cs="Arial" w:eastAsia="Arial" w:hAnsi="Arial"/>
          <w:sz w:val="17"/>
          <w:szCs w:val="17"/>
          <w:color w:val="auto"/>
        </w:rPr>
        <w:t>. Promptly after receipt by an indemnified party under this Section of notice of the commencement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action, such indemnified party will, if a claim in respect thereof is to be made against the indemnifying party under subsection (a) or (b) above,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75" w:lineRule="exact"/>
        <w:rPr>
          <w:rFonts w:ascii="Arial" w:cs="Arial" w:eastAsia="Arial" w:hAnsi="Arial"/>
          <w:sz w:val="17"/>
          <w:szCs w:val="17"/>
          <w:color w:val="auto"/>
        </w:rPr>
      </w:pPr>
    </w:p>
    <w:p>
      <w:pPr>
        <w:ind w:firstLine="458"/>
        <w:spacing w:after="0" w:line="285" w:lineRule="auto"/>
        <w:tabs>
          <w:tab w:leader="none" w:pos="705"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Contribution</w:t>
      </w:r>
      <w:r>
        <w:rPr>
          <w:rFonts w:ascii="Arial" w:cs="Arial" w:eastAsia="Arial" w:hAnsi="Arial"/>
          <w:sz w:val="16"/>
          <w:szCs w:val="16"/>
          <w:color w:val="auto"/>
        </w:rPr>
        <w:t>. If the indemnification provided for in this Section is unavailable or insufficient to hold harmless an indemnified party under</w:t>
      </w:r>
      <w:r>
        <w:rPr>
          <w:rFonts w:ascii="Arial" w:cs="Arial" w:eastAsia="Arial" w:hAnsi="Arial"/>
          <w:sz w:val="16"/>
          <w:szCs w:val="16"/>
          <w:i w:val="1"/>
          <w:iCs w:val="1"/>
          <w:color w:val="auto"/>
        </w:rPr>
        <w:t xml:space="preserve"> </w:t>
      </w:r>
      <w:r>
        <w:rPr>
          <w:rFonts w:ascii="Arial" w:cs="Arial" w:eastAsia="Arial" w:hAnsi="Arial"/>
          <w:sz w:val="16"/>
          <w:szCs w:val="16"/>
          <w:color w:val="auto"/>
        </w:rPr>
        <w:t>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360"/>
        <w:spacing w:after="0" w:line="279" w:lineRule="auto"/>
        <w:rPr>
          <w:sz w:val="20"/>
          <w:szCs w:val="20"/>
          <w:color w:val="auto"/>
        </w:rPr>
      </w:pPr>
      <w:r>
        <w:rPr>
          <w:rFonts w:ascii="Arial" w:cs="Arial" w:eastAsia="Arial" w:hAnsi="Arial"/>
          <w:sz w:val="17"/>
          <w:szCs w:val="17"/>
          <w:color w:val="auto"/>
        </w:rPr>
        <w:t>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in this Section 8(d).</w:t>
      </w:r>
    </w:p>
    <w:p>
      <w:pPr>
        <w:spacing w:after="0" w:line="63" w:lineRule="exact"/>
        <w:rPr>
          <w:sz w:val="20"/>
          <w:szCs w:val="20"/>
          <w:color w:val="auto"/>
        </w:rPr>
      </w:pPr>
    </w:p>
    <w:p>
      <w:pPr>
        <w:ind w:firstLine="458"/>
        <w:spacing w:after="0" w:line="287" w:lineRule="auto"/>
        <w:tabs>
          <w:tab w:leader="none" w:pos="63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Default of Underwriters</w:t>
      </w:r>
      <w:r>
        <w:rPr>
          <w:rFonts w:ascii="Arial" w:cs="Arial" w:eastAsia="Arial" w:hAnsi="Arial"/>
          <w:sz w:val="16"/>
          <w:szCs w:val="16"/>
          <w:color w:val="auto"/>
        </w:rPr>
        <w:t>. If any Underwriter or Underwriters default in their obligations to purchase Securities hereunder on the Closing Date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amount of Securities that such defaulting Underwriter or Underwriters agreed but failed to purchase does not exceed 10% of the total principal amount of Securities that the Underwriters are obligated to purchase on the Closing Date, the Representative may make arrangements satisfactory to the Company for the purchase of such Securities by other persons, including any of the Underwriters, but if no such arrangements are made by the Closing Date, the non-defaulting Underwriters shall be obligated severally, in proportion to their respective commitments hereunder, to purchase the Securities that such defaulting Underwriters agreed but failed to purchase on the Closing Date. If any Underwriter or Underwriters so default and the aggregate principal amount of Securities with respect to which such default or defaults occur exceeds 10% of the total principal amount of Securities that the Underwriters are obligated to purchase on the Closing Date and arrangements satisfactory to the Representative and the Company for the purchase of such Securities by other persons are not made within 36 hours after such default, this Agreement will terminate without liability on the part of any non-defaulting Underwriter or the Company, except as provided in Section 10. As used in this Agreement, the term “Underwriter” includes any person substituted for an Underwriter under this Section. Nothing herein will relieve a defaulting Underwriter from liability for its default.</w:t>
      </w:r>
    </w:p>
    <w:p>
      <w:pPr>
        <w:spacing w:after="0" w:line="64" w:lineRule="exact"/>
        <w:rPr>
          <w:rFonts w:ascii="Arial" w:cs="Arial" w:eastAsia="Arial" w:hAnsi="Arial"/>
          <w:sz w:val="16"/>
          <w:szCs w:val="16"/>
          <w:color w:val="auto"/>
        </w:rPr>
      </w:pPr>
    </w:p>
    <w:p>
      <w:pPr>
        <w:ind w:right="120" w:firstLine="458"/>
        <w:spacing w:after="0" w:line="289" w:lineRule="auto"/>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Survival of Certain Representations and Obligations</w:t>
      </w:r>
      <w:r>
        <w:rPr>
          <w:rFonts w:ascii="Arial" w:cs="Arial" w:eastAsia="Arial" w:hAnsi="Arial"/>
          <w:sz w:val="16"/>
          <w:szCs w:val="16"/>
          <w:color w:val="auto"/>
        </w:rPr>
        <w:t>. The respective indemnities, agreements, representations, warranties and other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Securities. If the purchase of the Securities by the Underwriters is not consummated for any reason other than solely because of the termination of this Agreement pursuant to Section 9 hereof or the occurrence of any event specified in clause (iii), (iv), (vi), (vii) or (viii) of Section 7(c) hereof, the Company will reimburse the Underwriters for all out-of-pocket expenses (including fees and disbursements of counsel) reasonably incurred by them in connection with the offering of the Securities, and the respective obligations of the Company and the Underwriters pursuant to Section 8 hereof shall remain in effect. In addition, if any Securities have been purchased hereunder, the representations and warranties in Section 2 and all obligations under Section 5 shall also remain in effect.</w:t>
      </w:r>
    </w:p>
    <w:p>
      <w:pPr>
        <w:spacing w:after="0" w:line="58" w:lineRule="exact"/>
        <w:rPr>
          <w:rFonts w:ascii="Arial" w:cs="Arial" w:eastAsia="Arial" w:hAnsi="Arial"/>
          <w:sz w:val="16"/>
          <w:szCs w:val="16"/>
          <w:color w:val="auto"/>
        </w:rPr>
      </w:pPr>
    </w:p>
    <w:p>
      <w:pPr>
        <w:ind w:right="20" w:firstLine="458"/>
        <w:spacing w:after="0" w:line="279" w:lineRule="auto"/>
        <w:tabs>
          <w:tab w:leader="none" w:pos="713"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Notices</w:t>
      </w:r>
      <w:r>
        <w:rPr>
          <w:rFonts w:ascii="Arial" w:cs="Arial" w:eastAsia="Arial" w:hAnsi="Arial"/>
          <w:sz w:val="17"/>
          <w:szCs w:val="17"/>
          <w:color w:val="auto"/>
        </w:rPr>
        <w:t>. All communications hereunder will be in writing and, if sent to the Underwriters, will be mailed, delivered or telegraphed and confirmed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Representative at Eleven Madison Avenue, New York, N.Y. 10010-3629, Attention: LCD-IBD, or, if sent to the Company, will be mailed, delivered or telegraphed and confirmed to it at One Technology Way, Norwood, Massachusetts 02062, Attention: General Counsel; provided, however, that any notice to an Underwriter pursuant to Section 8 will be mailed, delivered or telegraphed and confirmed to such Underwriter.</w:t>
      </w:r>
    </w:p>
    <w:p>
      <w:pPr>
        <w:spacing w:after="0" w:line="63" w:lineRule="exact"/>
        <w:rPr>
          <w:rFonts w:ascii="Arial" w:cs="Arial" w:eastAsia="Arial" w:hAnsi="Arial"/>
          <w:sz w:val="17"/>
          <w:szCs w:val="17"/>
          <w:color w:val="auto"/>
        </w:rPr>
      </w:pPr>
    </w:p>
    <w:p>
      <w:pPr>
        <w:ind w:right="160" w:firstLine="458"/>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controlling persons referred to in Section 8, and no other person will have any right or obligation hereunder.</w:t>
      </w:r>
    </w:p>
    <w:p>
      <w:pPr>
        <w:spacing w:after="0" w:line="62" w:lineRule="exact"/>
        <w:rPr>
          <w:rFonts w:ascii="Arial" w:cs="Arial" w:eastAsia="Arial" w:hAnsi="Arial"/>
          <w:sz w:val="18"/>
          <w:szCs w:val="18"/>
          <w:color w:val="auto"/>
        </w:rPr>
      </w:pPr>
    </w:p>
    <w:p>
      <w:pPr>
        <w:ind w:right="240" w:firstLine="458"/>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Representation of Underwriters</w:t>
      </w:r>
      <w:r>
        <w:rPr>
          <w:rFonts w:ascii="Arial" w:cs="Arial" w:eastAsia="Arial" w:hAnsi="Arial"/>
          <w:sz w:val="18"/>
          <w:szCs w:val="18"/>
          <w:color w:val="auto"/>
        </w:rPr>
        <w:t>. The Representative will act for the several Underwriters in connection with this financing, and any action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taken by the Representative will be binding upon all the Underwriters.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1" w:name="page22"/>
    <w:bookmarkEnd w:id="21"/>
    <w:p>
      <w:pPr>
        <w:ind w:right="560" w:firstLine="458"/>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any number of counterparts, each of which shall be deemed to be an original, but all such</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shall together constitute one and the same Agreement.</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Absence of Fiduciary Relationship. </w:t>
      </w:r>
      <w:r>
        <w:rPr>
          <w:rFonts w:ascii="Arial" w:cs="Arial" w:eastAsia="Arial" w:hAnsi="Arial"/>
          <w:sz w:val="18"/>
          <w:szCs w:val="18"/>
          <w:color w:val="auto"/>
        </w:rPr>
        <w:t>The Company acknowledges and agrees that:</w:t>
      </w:r>
    </w:p>
    <w:p>
      <w:pPr>
        <w:spacing w:after="0" w:line="117" w:lineRule="exact"/>
        <w:rPr>
          <w:rFonts w:ascii="Arial" w:cs="Arial" w:eastAsia="Arial" w:hAnsi="Arial"/>
          <w:sz w:val="18"/>
          <w:szCs w:val="18"/>
          <w:color w:val="auto"/>
        </w:rPr>
      </w:pPr>
    </w:p>
    <w:p>
      <w:pPr>
        <w:ind w:firstLine="683"/>
        <w:spacing w:after="0" w:line="312" w:lineRule="auto"/>
        <w:tabs>
          <w:tab w:leader="none" w:pos="920" w:val="left"/>
        </w:tabs>
        <w:numPr>
          <w:ilvl w:val="1"/>
          <w:numId w:val="26"/>
        </w:numPr>
        <w:rPr>
          <w:rFonts w:ascii="Arial" w:cs="Arial" w:eastAsia="Arial" w:hAnsi="Arial"/>
          <w:sz w:val="16"/>
          <w:szCs w:val="16"/>
          <w:color w:val="auto"/>
        </w:rPr>
      </w:pPr>
      <w:r>
        <w:rPr>
          <w:rFonts w:ascii="Arial" w:cs="Arial" w:eastAsia="Arial" w:hAnsi="Arial"/>
          <w:sz w:val="16"/>
          <w:szCs w:val="16"/>
          <w:i w:val="1"/>
          <w:iCs w:val="1"/>
          <w:color w:val="auto"/>
        </w:rPr>
        <w:t>No Other Relationship</w:t>
      </w:r>
      <w:r>
        <w:rPr>
          <w:rFonts w:ascii="Arial" w:cs="Arial" w:eastAsia="Arial" w:hAnsi="Arial"/>
          <w:sz w:val="16"/>
          <w:szCs w:val="16"/>
          <w:color w:val="auto"/>
        </w:rPr>
        <w:t>. The Representative has been retained solely to act as an underwriter in connection with the sale of Securities and that no</w:t>
      </w:r>
      <w:r>
        <w:rPr>
          <w:rFonts w:ascii="Arial" w:cs="Arial" w:eastAsia="Arial" w:hAnsi="Arial"/>
          <w:sz w:val="16"/>
          <w:szCs w:val="16"/>
          <w:i w:val="1"/>
          <w:iCs w:val="1"/>
          <w:color w:val="auto"/>
        </w:rPr>
        <w:t xml:space="preserve"> </w:t>
      </w:r>
      <w:r>
        <w:rPr>
          <w:rFonts w:ascii="Arial" w:cs="Arial" w:eastAsia="Arial" w:hAnsi="Arial"/>
          <w:sz w:val="16"/>
          <w:szCs w:val="16"/>
          <w:color w:val="auto"/>
        </w:rPr>
        <w:t>fiduciary, advisory or agency relationship between the Company and the Representative has been created in respect of any of the transactions contemplated by this Agreement or the Final Prospectus, irrespective of whether the Representative has advised or is advising the Company on other matters;</w:t>
      </w:r>
    </w:p>
    <w:p>
      <w:pPr>
        <w:spacing w:after="0" w:line="38" w:lineRule="exact"/>
        <w:rPr>
          <w:rFonts w:ascii="Arial" w:cs="Arial" w:eastAsia="Arial" w:hAnsi="Arial"/>
          <w:sz w:val="16"/>
          <w:szCs w:val="16"/>
          <w:color w:val="auto"/>
        </w:rPr>
      </w:pPr>
    </w:p>
    <w:p>
      <w:pPr>
        <w:jc w:val="both"/>
        <w:ind w:right="220" w:firstLine="683"/>
        <w:spacing w:after="0" w:line="264" w:lineRule="auto"/>
        <w:tabs>
          <w:tab w:leader="none" w:pos="93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Arms’ Length Negotiations</w:t>
      </w:r>
      <w:r>
        <w:rPr>
          <w:rFonts w:ascii="Arial" w:cs="Arial" w:eastAsia="Arial" w:hAnsi="Arial"/>
          <w:sz w:val="18"/>
          <w:szCs w:val="18"/>
          <w:color w:val="auto"/>
        </w:rPr>
        <w:t>. The price of the Securities set forth in this Agreement was established by the Company following discussions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arms-length negotiations with the Representative and the Company is capable of evaluating and understanding and understands and accepts the terms, risks and conditions of the transactions contemplated by this Agreement;</w:t>
      </w:r>
    </w:p>
    <w:p>
      <w:pPr>
        <w:spacing w:after="0" w:line="73" w:lineRule="exact"/>
        <w:rPr>
          <w:rFonts w:ascii="Arial" w:cs="Arial" w:eastAsia="Arial" w:hAnsi="Arial"/>
          <w:sz w:val="18"/>
          <w:szCs w:val="18"/>
          <w:color w:val="auto"/>
        </w:rPr>
      </w:pPr>
    </w:p>
    <w:p>
      <w:pPr>
        <w:ind w:right="280" w:firstLine="683"/>
        <w:spacing w:after="0" w:line="264" w:lineRule="auto"/>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Absence of Obligation to Disclose</w:t>
      </w:r>
      <w:r>
        <w:rPr>
          <w:rFonts w:ascii="Arial" w:cs="Arial" w:eastAsia="Arial" w:hAnsi="Arial"/>
          <w:sz w:val="18"/>
          <w:szCs w:val="18"/>
          <w:color w:val="auto"/>
        </w:rPr>
        <w:t>. The Company has been advised that the Representative and its affiliates are engaged in a broad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which may involve interests that differ from those of the Company and that the Representative has no obligation to disclose such interests and transactions to the Company by virtue of any fiduciary, advisory or agency relationship; and</w:t>
      </w:r>
    </w:p>
    <w:p>
      <w:pPr>
        <w:spacing w:after="0" w:line="73" w:lineRule="exact"/>
        <w:rPr>
          <w:rFonts w:ascii="Arial" w:cs="Arial" w:eastAsia="Arial" w:hAnsi="Arial"/>
          <w:sz w:val="18"/>
          <w:szCs w:val="18"/>
          <w:color w:val="auto"/>
        </w:rPr>
      </w:pPr>
    </w:p>
    <w:p>
      <w:pPr>
        <w:ind w:right="240" w:firstLine="683"/>
        <w:spacing w:after="0" w:line="259" w:lineRule="auto"/>
        <w:tabs>
          <w:tab w:leader="none" w:pos="930"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Waiver</w:t>
      </w:r>
      <w:r>
        <w:rPr>
          <w:rFonts w:ascii="Arial" w:cs="Arial" w:eastAsia="Arial" w:hAnsi="Arial"/>
          <w:sz w:val="18"/>
          <w:szCs w:val="18"/>
          <w:color w:val="auto"/>
        </w:rPr>
        <w:t>. The Company waives, to the fullest extent permitted by law, any claims it may have against the Representative for breach of fiduciary</w:t>
      </w:r>
      <w:r>
        <w:rPr>
          <w:rFonts w:ascii="Arial" w:cs="Arial" w:eastAsia="Arial" w:hAnsi="Arial"/>
          <w:sz w:val="18"/>
          <w:szCs w:val="18"/>
          <w:i w:val="1"/>
          <w:iCs w:val="1"/>
          <w:color w:val="auto"/>
        </w:rPr>
        <w:t xml:space="preserve"> </w:t>
      </w:r>
      <w:r>
        <w:rPr>
          <w:rFonts w:ascii="Arial" w:cs="Arial" w:eastAsia="Arial" w:hAnsi="Arial"/>
          <w:sz w:val="18"/>
          <w:szCs w:val="18"/>
          <w:color w:val="auto"/>
        </w:rPr>
        <w:t>duty or alleged breach of fiduciary duty and agrees that the Representative shall have no liability (whether direct or indirect) to the Company in respect of such a fiduciary duty claim or to any person asserting a fiduciary duty claim on behalf of or in right of the Company, including stockholders, employees or creditors of the Company.</w:t>
      </w:r>
    </w:p>
    <w:p>
      <w:pPr>
        <w:spacing w:after="0" w:line="74" w:lineRule="exact"/>
        <w:rPr>
          <w:rFonts w:ascii="Arial" w:cs="Arial" w:eastAsia="Arial" w:hAnsi="Arial"/>
          <w:sz w:val="18"/>
          <w:szCs w:val="18"/>
          <w:color w:val="auto"/>
        </w:rPr>
      </w:pPr>
    </w:p>
    <w:p>
      <w:pPr>
        <w:ind w:left="720" w:hanging="262"/>
        <w:spacing w:after="0"/>
        <w:tabs>
          <w:tab w:leader="none" w:pos="7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Applicable Law</w:t>
      </w:r>
      <w:r>
        <w:rPr>
          <w:rFonts w:ascii="Arial" w:cs="Arial" w:eastAsia="Arial" w:hAnsi="Arial"/>
          <w:sz w:val="18"/>
          <w:szCs w:val="18"/>
          <w:b w:val="1"/>
          <w:bCs w:val="1"/>
          <w:color w:val="auto"/>
        </w:rPr>
        <w:t>. This Agreement shall be governed by, and construed in accordance with, the laws of the State of New York.</w:t>
      </w:r>
    </w:p>
    <w:p>
      <w:pPr>
        <w:spacing w:after="0" w:line="121" w:lineRule="exact"/>
        <w:rPr>
          <w:sz w:val="20"/>
          <w:szCs w:val="20"/>
          <w:color w:val="auto"/>
        </w:rPr>
      </w:pPr>
    </w:p>
    <w:p>
      <w:pPr>
        <w:ind w:firstLine="447"/>
        <w:spacing w:after="0" w:line="276" w:lineRule="auto"/>
        <w:rPr>
          <w:sz w:val="20"/>
          <w:szCs w:val="20"/>
          <w:color w:val="auto"/>
        </w:rPr>
      </w:pPr>
      <w:r>
        <w:rPr>
          <w:rFonts w:ascii="Arial" w:cs="Arial" w:eastAsia="Arial" w:hAnsi="Arial"/>
          <w:sz w:val="17"/>
          <w:szCs w:val="17"/>
          <w:color w:val="auto"/>
        </w:rPr>
        <w:t>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firstLine="450"/>
        <w:spacing w:after="0" w:line="342" w:lineRule="auto"/>
        <w:rPr>
          <w:sz w:val="20"/>
          <w:szCs w:val="20"/>
          <w:color w:val="auto"/>
        </w:rPr>
      </w:pPr>
      <w:r>
        <w:rPr>
          <w:rFonts w:ascii="Arial" w:cs="Arial" w:eastAsia="Arial" w:hAnsi="Arial"/>
          <w:sz w:val="16"/>
          <w:szCs w:val="16"/>
          <w:color w:val="auto"/>
        </w:rPr>
        <w:t>If the foregoing is in accordance with the Representative’s understanding of our agreement, kindly sign and return to the Company one of the counterparts hereof, whereupon it will become a binding agreement between the Company and the several Underwriters in accordance with its terms.</w:t>
      </w:r>
    </w:p>
    <w:p>
      <w:pPr>
        <w:spacing w:after="0" w:line="12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27616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A. Zinsner</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Underwriting Agreement is hereby</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confirmed and accepted as of the date first above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REDIT</w:t>
      </w:r>
      <w:r>
        <w:rPr>
          <w:rFonts w:ascii="Arial" w:cs="Arial" w:eastAsia="Arial" w:hAnsi="Arial"/>
          <w:sz w:val="18"/>
          <w:szCs w:val="18"/>
          <w:color w:val="auto"/>
        </w:rPr>
        <w:t xml:space="preserve"> S</w:t>
      </w:r>
      <w:r>
        <w:rPr>
          <w:rFonts w:ascii="Arial" w:cs="Arial" w:eastAsia="Arial" w:hAnsi="Arial"/>
          <w:sz w:val="12"/>
          <w:szCs w:val="12"/>
          <w:color w:val="auto"/>
        </w:rPr>
        <w:t>UISSE</w:t>
      </w:r>
      <w:r>
        <w:rPr>
          <w:rFonts w:ascii="Arial" w:cs="Arial" w:eastAsia="Arial" w:hAnsi="Arial"/>
          <w:sz w:val="18"/>
          <w:szCs w:val="18"/>
          <w:color w:val="auto"/>
        </w:rPr>
        <w:t xml:space="preserve"> S</w:t>
      </w:r>
      <w:r>
        <w:rPr>
          <w:rFonts w:ascii="Arial" w:cs="Arial" w:eastAsia="Arial" w:hAnsi="Arial"/>
          <w:sz w:val="12"/>
          <w:szCs w:val="12"/>
          <w:color w:val="auto"/>
        </w:rPr>
        <w:t>ECURITIES</w:t>
      </w:r>
      <w:r>
        <w:rPr>
          <w:rFonts w:ascii="Arial" w:cs="Arial" w:eastAsia="Arial" w:hAnsi="Arial"/>
          <w:sz w:val="18"/>
          <w:szCs w:val="18"/>
          <w:color w:val="auto"/>
        </w:rPr>
        <w:t xml:space="preserve"> (USA) LLC</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By: /s/ Ernest H. Ruehl,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14605</wp:posOffset>
            </wp:positionV>
            <wp:extent cx="28301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 Ernest H. Ruehl, Jr.</w:t>
      </w:r>
    </w:p>
    <w:p>
      <w:pPr>
        <w:spacing w:after="0" w:line="23" w:lineRule="exact"/>
        <w:rPr>
          <w:sz w:val="20"/>
          <w:szCs w:val="20"/>
          <w:color w:val="auto"/>
        </w:rPr>
      </w:pPr>
    </w:p>
    <w:p>
      <w:pPr>
        <w:ind w:left="52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Acting on behalf of itself and as the</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Representative of the several Underwriters.</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935" w:right="89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SCHEDULE 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20" w:type="dxa"/>
            <w:vAlign w:val="bottom"/>
            <w:vMerge w:val="restart"/>
          </w:tcPr>
          <w:p>
            <w:pPr>
              <w:ind w:left="4460"/>
              <w:spacing w:after="0"/>
              <w:rPr>
                <w:sz w:val="20"/>
                <w:szCs w:val="20"/>
                <w:color w:val="auto"/>
              </w:rPr>
            </w:pPr>
            <w:r>
              <w:rPr>
                <w:rFonts w:ascii="Arial" w:cs="Arial" w:eastAsia="Arial" w:hAnsi="Arial"/>
                <w:sz w:val="14"/>
                <w:szCs w:val="14"/>
                <w:b w:val="1"/>
                <w:bCs w:val="1"/>
                <w:color w:val="auto"/>
              </w:rPr>
              <w:t>Underwriter</w:t>
            </w:r>
          </w:p>
        </w:tc>
        <w:tc>
          <w:tcPr>
            <w:tcW w:w="56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72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$ 243,750,000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740" w:type="dxa"/>
            <w:vAlign w:val="bottom"/>
            <w:gridSpan w:val="2"/>
          </w:tcPr>
          <w:p>
            <w:pPr>
              <w:spacing w:after="0"/>
              <w:rPr>
                <w:sz w:val="20"/>
                <w:szCs w:val="20"/>
                <w:color w:val="auto"/>
              </w:rPr>
            </w:pPr>
            <w:r>
              <w:rPr>
                <w:rFonts w:ascii="Arial" w:cs="Arial" w:eastAsia="Arial" w:hAnsi="Arial"/>
                <w:sz w:val="18"/>
                <w:szCs w:val="18"/>
                <w:color w:val="auto"/>
              </w:rPr>
              <w:t>Banc of America Securities LLC</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75,000,000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5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720" w:type="dxa"/>
            <w:vAlign w:val="bottom"/>
          </w:tcPr>
          <w:p>
            <w:pPr>
              <w:ind w:left="200"/>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375,000,000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97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4" w:name="page25"/>
    <w:bookmarkEnd w:id="24"/>
    <w:p>
      <w:pPr>
        <w:ind w:left="5132"/>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ind w:left="452" w:right="3339" w:hanging="452"/>
        <w:spacing w:after="0" w:line="425" w:lineRule="auto"/>
        <w:tabs>
          <w:tab w:leader="none" w:pos="182"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Use Free Writing Prospectuses (included in the General Disclosure Package) </w:t>
      </w:r>
      <w:r>
        <w:rPr>
          <w:rFonts w:ascii="Arial" w:cs="Arial" w:eastAsia="Arial" w:hAnsi="Arial"/>
          <w:sz w:val="16"/>
          <w:szCs w:val="16"/>
          <w:color w:val="auto"/>
        </w:rPr>
        <w:t>“General Use Issuer Free Writing Prospectus” includes each of the following documents:</w:t>
      </w:r>
    </w:p>
    <w:p>
      <w:pPr>
        <w:ind w:left="632" w:hanging="182"/>
        <w:spacing w:after="0"/>
        <w:tabs>
          <w:tab w:leader="none" w:pos="632" w:val="left"/>
        </w:tabs>
        <w:numPr>
          <w:ilvl w:val="1"/>
          <w:numId w:val="27"/>
        </w:numPr>
        <w:rPr>
          <w:rFonts w:ascii="Arial" w:cs="Arial" w:eastAsia="Arial" w:hAnsi="Arial"/>
          <w:sz w:val="16"/>
          <w:szCs w:val="16"/>
          <w:color w:val="auto"/>
        </w:rPr>
      </w:pPr>
      <w:r>
        <w:rPr>
          <w:rFonts w:ascii="Arial" w:cs="Arial" w:eastAsia="Arial" w:hAnsi="Arial"/>
          <w:sz w:val="16"/>
          <w:szCs w:val="16"/>
          <w:color w:val="auto"/>
        </w:rPr>
        <w:t>Pricing term sheet dated June 25, 2009, filed with the Commission pursuant to Rule 433.</w:t>
      </w:r>
    </w:p>
    <w:p>
      <w:pPr>
        <w:spacing w:after="0" w:line="352" w:lineRule="exact"/>
        <w:rPr>
          <w:rFonts w:ascii="Arial" w:cs="Arial" w:eastAsia="Arial" w:hAnsi="Arial"/>
          <w:sz w:val="16"/>
          <w:szCs w:val="16"/>
          <w:color w:val="auto"/>
        </w:rPr>
      </w:pPr>
    </w:p>
    <w:p>
      <w:pPr>
        <w:ind w:left="172" w:hanging="172"/>
        <w:spacing w:after="0"/>
        <w:tabs>
          <w:tab w:leader="none" w:pos="17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 Included in the General Disclosure Package</w:t>
      </w:r>
    </w:p>
    <w:p>
      <w:pPr>
        <w:spacing w:after="0" w:line="12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information is also included in the General Disclosure Package:</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1"/>
          </w:cols>
          <w:pgMar w:left="248" w:top="958" w:right="1440"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4.1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$375,000,000</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5.00% NOTES DUE JULY 1, 2014</w:t>
      </w:r>
    </w:p>
    <w:p>
      <w:pPr>
        <w:spacing w:after="0" w:line="9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SUPPLEMENTAL INDENTURE</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June 30, 2009</w:t>
      </w:r>
    </w:p>
    <w:p>
      <w:pPr>
        <w:spacing w:after="0" w:line="9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To</w:t>
      </w:r>
    </w:p>
    <w:p>
      <w:pPr>
        <w:spacing w:after="0" w:line="1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INDENTURE</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Dated as of June 30, 2009</w:t>
      </w:r>
    </w:p>
    <w:p>
      <w:pPr>
        <w:spacing w:after="0" w:line="9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THE BANK OF NEW YORK</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7"/>
          <w:szCs w:val="17"/>
          <w:b w:val="1"/>
          <w:bCs w:val="1"/>
          <w:color w:val="auto"/>
        </w:rPr>
        <w:t>MELLON TRUST COMPANY, N.A.</w:t>
      </w:r>
    </w:p>
    <w:p>
      <w:pPr>
        <w:spacing w:after="0" w:line="110"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401320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700" w:type="dxa"/>
            <w:vAlign w:val="bottom"/>
          </w:tcPr>
          <w:p>
            <w:pPr>
              <w:jc w:val="center"/>
              <w:ind w:right="49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116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r>
      <w:tr>
        <w:trPr>
          <w:trHeight w:val="411"/>
        </w:trPr>
        <w:tc>
          <w:tcPr>
            <w:tcW w:w="1160" w:type="dxa"/>
            <w:vAlign w:val="bottom"/>
          </w:tcPr>
          <w:p>
            <w:pPr>
              <w:spacing w:after="0"/>
              <w:rPr>
                <w:sz w:val="24"/>
                <w:szCs w:val="24"/>
                <w:color w:val="auto"/>
              </w:rPr>
            </w:pPr>
          </w:p>
        </w:tc>
        <w:tc>
          <w:tcPr>
            <w:tcW w:w="9700" w:type="dxa"/>
            <w:vAlign w:val="bottom"/>
          </w:tcPr>
          <w:p>
            <w:pPr>
              <w:jc w:val="center"/>
              <w:ind w:right="510"/>
              <w:spacing w:after="0"/>
              <w:rPr>
                <w:sz w:val="20"/>
                <w:szCs w:val="20"/>
                <w:color w:val="auto"/>
              </w:rPr>
            </w:pPr>
            <w:r>
              <w:rPr>
                <w:rFonts w:ascii="Arial" w:cs="Arial" w:eastAsia="Arial" w:hAnsi="Arial"/>
                <w:sz w:val="18"/>
                <w:szCs w:val="18"/>
                <w:color w:val="auto"/>
                <w:w w:val="97"/>
              </w:rPr>
              <w:t>ARTICLE 1.</w:t>
            </w: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9700" w:type="dxa"/>
            <w:vAlign w:val="bottom"/>
          </w:tcPr>
          <w:p>
            <w:pPr>
              <w:jc w:val="center"/>
              <w:ind w:right="510"/>
              <w:spacing w:after="0"/>
              <w:rPr>
                <w:sz w:val="20"/>
                <w:szCs w:val="20"/>
                <w:color w:val="auto"/>
              </w:rPr>
            </w:pPr>
            <w:r>
              <w:rPr>
                <w:rFonts w:ascii="Arial" w:cs="Arial" w:eastAsia="Arial" w:hAnsi="Arial"/>
                <w:sz w:val="18"/>
                <w:szCs w:val="18"/>
                <w:color w:val="auto"/>
                <w:w w:val="96"/>
              </w:rPr>
              <w:t>DEFINITIONS AND INCORPORATION BY REFERENCE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1.1</w:t>
            </w:r>
          </w:p>
        </w:tc>
        <w:tc>
          <w:tcPr>
            <w:tcW w:w="9700" w:type="dxa"/>
            <w:vAlign w:val="bottom"/>
          </w:tcPr>
          <w:p>
            <w:pPr>
              <w:ind w:left="340"/>
              <w:spacing w:after="0"/>
              <w:rPr>
                <w:sz w:val="20"/>
                <w:szCs w:val="20"/>
                <w:color w:val="auto"/>
              </w:rPr>
            </w:pPr>
            <w:r>
              <w:rPr>
                <w:rFonts w:ascii="Arial" w:cs="Arial" w:eastAsia="Arial" w:hAnsi="Arial"/>
                <w:sz w:val="18"/>
                <w:szCs w:val="18"/>
                <w:color w:val="auto"/>
              </w:rPr>
              <w:t>Relationship with Base Indenture</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1.2</w:t>
            </w:r>
          </w:p>
        </w:tc>
        <w:tc>
          <w:tcPr>
            <w:tcW w:w="9700" w:type="dxa"/>
            <w:vAlign w:val="bottom"/>
          </w:tcPr>
          <w:p>
            <w:pPr>
              <w:ind w:left="340"/>
              <w:spacing w:after="0"/>
              <w:rPr>
                <w:sz w:val="20"/>
                <w:szCs w:val="20"/>
                <w:color w:val="auto"/>
              </w:rPr>
            </w:pPr>
            <w:r>
              <w:rPr>
                <w:rFonts w:ascii="Arial" w:cs="Arial" w:eastAsia="Arial" w:hAnsi="Arial"/>
                <w:sz w:val="18"/>
                <w:szCs w:val="18"/>
                <w:color w:val="auto"/>
              </w:rPr>
              <w:t>Definitions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1.3</w:t>
            </w:r>
          </w:p>
        </w:tc>
        <w:tc>
          <w:tcPr>
            <w:tcW w:w="9700" w:type="dxa"/>
            <w:vAlign w:val="bottom"/>
          </w:tcPr>
          <w:p>
            <w:pPr>
              <w:ind w:left="340"/>
              <w:spacing w:after="0"/>
              <w:rPr>
                <w:sz w:val="20"/>
                <w:szCs w:val="20"/>
                <w:color w:val="auto"/>
              </w:rPr>
            </w:pPr>
            <w:r>
              <w:rPr>
                <w:rFonts w:ascii="Arial" w:cs="Arial" w:eastAsia="Arial" w:hAnsi="Arial"/>
                <w:sz w:val="18"/>
                <w:szCs w:val="18"/>
                <w:color w:val="auto"/>
              </w:rPr>
              <w:t>Other Definitions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418"/>
        </w:trPr>
        <w:tc>
          <w:tcPr>
            <w:tcW w:w="1160" w:type="dxa"/>
            <w:vAlign w:val="bottom"/>
          </w:tcPr>
          <w:p>
            <w:pPr>
              <w:spacing w:after="0"/>
              <w:rPr>
                <w:sz w:val="24"/>
                <w:szCs w:val="24"/>
                <w:color w:val="auto"/>
              </w:rPr>
            </w:pPr>
          </w:p>
        </w:tc>
        <w:tc>
          <w:tcPr>
            <w:tcW w:w="9700" w:type="dxa"/>
            <w:vAlign w:val="bottom"/>
          </w:tcPr>
          <w:p>
            <w:pPr>
              <w:jc w:val="center"/>
              <w:ind w:right="510"/>
              <w:spacing w:after="0"/>
              <w:rPr>
                <w:sz w:val="20"/>
                <w:szCs w:val="20"/>
                <w:color w:val="auto"/>
              </w:rPr>
            </w:pPr>
            <w:r>
              <w:rPr>
                <w:rFonts w:ascii="Arial" w:cs="Arial" w:eastAsia="Arial" w:hAnsi="Arial"/>
                <w:sz w:val="18"/>
                <w:szCs w:val="18"/>
                <w:color w:val="auto"/>
                <w:w w:val="97"/>
              </w:rPr>
              <w:t>ARTICLE 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9700" w:type="dxa"/>
            <w:vAlign w:val="bottom"/>
          </w:tcPr>
          <w:p>
            <w:pPr>
              <w:jc w:val="center"/>
              <w:ind w:right="510"/>
              <w:spacing w:after="0"/>
              <w:rPr>
                <w:sz w:val="20"/>
                <w:szCs w:val="20"/>
                <w:color w:val="auto"/>
              </w:rPr>
            </w:pPr>
            <w:r>
              <w:rPr>
                <w:rFonts w:ascii="Arial" w:cs="Arial" w:eastAsia="Arial" w:hAnsi="Arial"/>
                <w:sz w:val="18"/>
                <w:szCs w:val="18"/>
                <w:color w:val="auto"/>
                <w:w w:val="95"/>
              </w:rPr>
              <w:t>THE NOTES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2.1</w:t>
            </w:r>
          </w:p>
        </w:tc>
        <w:tc>
          <w:tcPr>
            <w:tcW w:w="9700" w:type="dxa"/>
            <w:vAlign w:val="bottom"/>
          </w:tcPr>
          <w:p>
            <w:pPr>
              <w:ind w:left="340"/>
              <w:spacing w:after="0"/>
              <w:rPr>
                <w:sz w:val="20"/>
                <w:szCs w:val="20"/>
                <w:color w:val="auto"/>
              </w:rPr>
            </w:pPr>
            <w:r>
              <w:rPr>
                <w:rFonts w:ascii="Arial" w:cs="Arial" w:eastAsia="Arial" w:hAnsi="Arial"/>
                <w:sz w:val="18"/>
                <w:szCs w:val="18"/>
                <w:color w:val="auto"/>
              </w:rPr>
              <w:t>Form and Dating</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2.2</w:t>
            </w:r>
          </w:p>
        </w:tc>
        <w:tc>
          <w:tcPr>
            <w:tcW w:w="9700" w:type="dxa"/>
            <w:vAlign w:val="bottom"/>
          </w:tcPr>
          <w:p>
            <w:pPr>
              <w:ind w:left="340"/>
              <w:spacing w:after="0"/>
              <w:rPr>
                <w:sz w:val="20"/>
                <w:szCs w:val="20"/>
                <w:color w:val="auto"/>
              </w:rPr>
            </w:pPr>
            <w:r>
              <w:rPr>
                <w:rFonts w:ascii="Arial" w:cs="Arial" w:eastAsia="Arial" w:hAnsi="Arial"/>
                <w:sz w:val="18"/>
                <w:szCs w:val="18"/>
                <w:color w:val="auto"/>
              </w:rPr>
              <w:t>Transfer and Exchange</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2.3</w:t>
            </w:r>
          </w:p>
        </w:tc>
        <w:tc>
          <w:tcPr>
            <w:tcW w:w="9700" w:type="dxa"/>
            <w:vAlign w:val="bottom"/>
          </w:tcPr>
          <w:p>
            <w:pPr>
              <w:ind w:left="340"/>
              <w:spacing w:after="0"/>
              <w:rPr>
                <w:sz w:val="20"/>
                <w:szCs w:val="20"/>
                <w:color w:val="auto"/>
              </w:rPr>
            </w:pPr>
            <w:r>
              <w:rPr>
                <w:rFonts w:ascii="Arial" w:cs="Arial" w:eastAsia="Arial" w:hAnsi="Arial"/>
                <w:sz w:val="18"/>
                <w:szCs w:val="18"/>
                <w:color w:val="auto"/>
              </w:rPr>
              <w:t>Issuance of Additional Notes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418"/>
        </w:trPr>
        <w:tc>
          <w:tcPr>
            <w:tcW w:w="1160" w:type="dxa"/>
            <w:vAlign w:val="bottom"/>
          </w:tcPr>
          <w:p>
            <w:pPr>
              <w:spacing w:after="0"/>
              <w:rPr>
                <w:sz w:val="24"/>
                <w:szCs w:val="24"/>
                <w:color w:val="auto"/>
              </w:rPr>
            </w:pPr>
          </w:p>
        </w:tc>
        <w:tc>
          <w:tcPr>
            <w:tcW w:w="9700" w:type="dxa"/>
            <w:vAlign w:val="bottom"/>
          </w:tcPr>
          <w:p>
            <w:pPr>
              <w:jc w:val="center"/>
              <w:ind w:right="510"/>
              <w:spacing w:after="0"/>
              <w:rPr>
                <w:sz w:val="20"/>
                <w:szCs w:val="20"/>
                <w:color w:val="auto"/>
              </w:rPr>
            </w:pPr>
            <w:r>
              <w:rPr>
                <w:rFonts w:ascii="Arial" w:cs="Arial" w:eastAsia="Arial" w:hAnsi="Arial"/>
                <w:sz w:val="18"/>
                <w:szCs w:val="18"/>
                <w:color w:val="auto"/>
                <w:w w:val="97"/>
              </w:rPr>
              <w:t>ARTICLE 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9700" w:type="dxa"/>
            <w:vAlign w:val="bottom"/>
          </w:tcPr>
          <w:p>
            <w:pPr>
              <w:jc w:val="center"/>
              <w:ind w:right="490"/>
              <w:spacing w:after="0"/>
              <w:rPr>
                <w:sz w:val="20"/>
                <w:szCs w:val="20"/>
                <w:color w:val="auto"/>
              </w:rPr>
            </w:pPr>
            <w:r>
              <w:rPr>
                <w:rFonts w:ascii="Arial" w:cs="Arial" w:eastAsia="Arial" w:hAnsi="Arial"/>
                <w:sz w:val="18"/>
                <w:szCs w:val="18"/>
                <w:color w:val="auto"/>
                <w:w w:val="95"/>
              </w:rPr>
              <w:t>REDEMPTION AND PREPAYMENT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3.1</w:t>
            </w:r>
          </w:p>
        </w:tc>
        <w:tc>
          <w:tcPr>
            <w:tcW w:w="9700" w:type="dxa"/>
            <w:vAlign w:val="bottom"/>
          </w:tcPr>
          <w:p>
            <w:pPr>
              <w:ind w:left="340"/>
              <w:spacing w:after="0"/>
              <w:rPr>
                <w:sz w:val="20"/>
                <w:szCs w:val="20"/>
                <w:color w:val="auto"/>
              </w:rPr>
            </w:pPr>
            <w:r>
              <w:rPr>
                <w:rFonts w:ascii="Arial" w:cs="Arial" w:eastAsia="Arial" w:hAnsi="Arial"/>
                <w:sz w:val="18"/>
                <w:szCs w:val="18"/>
                <w:color w:val="auto"/>
              </w:rPr>
              <w:t>Optional Redemption</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3.2</w:t>
            </w:r>
          </w:p>
        </w:tc>
        <w:tc>
          <w:tcPr>
            <w:tcW w:w="9700" w:type="dxa"/>
            <w:vAlign w:val="bottom"/>
          </w:tcPr>
          <w:p>
            <w:pPr>
              <w:ind w:left="340"/>
              <w:spacing w:after="0"/>
              <w:rPr>
                <w:sz w:val="20"/>
                <w:szCs w:val="20"/>
                <w:color w:val="auto"/>
              </w:rPr>
            </w:pPr>
            <w:r>
              <w:rPr>
                <w:rFonts w:ascii="Arial" w:cs="Arial" w:eastAsia="Arial" w:hAnsi="Arial"/>
                <w:sz w:val="18"/>
                <w:szCs w:val="18"/>
                <w:color w:val="auto"/>
              </w:rPr>
              <w:t>Mandatory Redemption</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418"/>
        </w:trPr>
        <w:tc>
          <w:tcPr>
            <w:tcW w:w="1160" w:type="dxa"/>
            <w:vAlign w:val="bottom"/>
          </w:tcPr>
          <w:p>
            <w:pPr>
              <w:spacing w:after="0"/>
              <w:rPr>
                <w:sz w:val="24"/>
                <w:szCs w:val="24"/>
                <w:color w:val="auto"/>
              </w:rPr>
            </w:pPr>
          </w:p>
        </w:tc>
        <w:tc>
          <w:tcPr>
            <w:tcW w:w="9700" w:type="dxa"/>
            <w:vAlign w:val="bottom"/>
          </w:tcPr>
          <w:p>
            <w:pPr>
              <w:jc w:val="center"/>
              <w:ind w:right="510"/>
              <w:spacing w:after="0"/>
              <w:rPr>
                <w:sz w:val="20"/>
                <w:szCs w:val="20"/>
                <w:color w:val="auto"/>
              </w:rPr>
            </w:pPr>
            <w:r>
              <w:rPr>
                <w:rFonts w:ascii="Arial" w:cs="Arial" w:eastAsia="Arial" w:hAnsi="Arial"/>
                <w:sz w:val="18"/>
                <w:szCs w:val="18"/>
                <w:color w:val="auto"/>
                <w:w w:val="97"/>
              </w:rPr>
              <w:t>ARTICLE 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9700" w:type="dxa"/>
            <w:vAlign w:val="bottom"/>
          </w:tcPr>
          <w:p>
            <w:pPr>
              <w:jc w:val="center"/>
              <w:ind w:right="490"/>
              <w:spacing w:after="0"/>
              <w:rPr>
                <w:sz w:val="20"/>
                <w:szCs w:val="20"/>
                <w:color w:val="auto"/>
              </w:rPr>
            </w:pPr>
            <w:r>
              <w:rPr>
                <w:rFonts w:ascii="Arial" w:cs="Arial" w:eastAsia="Arial" w:hAnsi="Arial"/>
                <w:sz w:val="18"/>
                <w:szCs w:val="18"/>
                <w:color w:val="auto"/>
                <w:w w:val="96"/>
              </w:rPr>
              <w:t>PARTICULAR COVENANTS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4.1</w:t>
            </w:r>
          </w:p>
        </w:tc>
        <w:tc>
          <w:tcPr>
            <w:tcW w:w="9700" w:type="dxa"/>
            <w:vAlign w:val="bottom"/>
          </w:tcPr>
          <w:p>
            <w:pPr>
              <w:ind w:left="340"/>
              <w:spacing w:after="0"/>
              <w:rPr>
                <w:sz w:val="20"/>
                <w:szCs w:val="20"/>
                <w:color w:val="auto"/>
              </w:rPr>
            </w:pPr>
            <w:r>
              <w:rPr>
                <w:rFonts w:ascii="Arial" w:cs="Arial" w:eastAsia="Arial" w:hAnsi="Arial"/>
                <w:sz w:val="18"/>
                <w:szCs w:val="18"/>
                <w:color w:val="auto"/>
              </w:rPr>
              <w:t>Offer to Purchase Upon Change of Control Triggering Event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4.2</w:t>
            </w:r>
          </w:p>
        </w:tc>
        <w:tc>
          <w:tcPr>
            <w:tcW w:w="9700" w:type="dxa"/>
            <w:vAlign w:val="bottom"/>
          </w:tcPr>
          <w:p>
            <w:pPr>
              <w:ind w:left="340"/>
              <w:spacing w:after="0"/>
              <w:rPr>
                <w:sz w:val="20"/>
                <w:szCs w:val="20"/>
                <w:color w:val="auto"/>
              </w:rPr>
            </w:pPr>
            <w:r>
              <w:rPr>
                <w:rFonts w:ascii="Arial" w:cs="Arial" w:eastAsia="Arial" w:hAnsi="Arial"/>
                <w:sz w:val="18"/>
                <w:szCs w:val="18"/>
                <w:color w:val="auto"/>
              </w:rPr>
              <w:t>Liens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4.3</w:t>
            </w:r>
          </w:p>
        </w:tc>
        <w:tc>
          <w:tcPr>
            <w:tcW w:w="9700" w:type="dxa"/>
            <w:vAlign w:val="bottom"/>
          </w:tcPr>
          <w:p>
            <w:pPr>
              <w:ind w:left="340"/>
              <w:spacing w:after="0"/>
              <w:rPr>
                <w:sz w:val="20"/>
                <w:szCs w:val="20"/>
                <w:color w:val="auto"/>
              </w:rPr>
            </w:pPr>
            <w:r>
              <w:rPr>
                <w:rFonts w:ascii="Arial" w:cs="Arial" w:eastAsia="Arial" w:hAnsi="Arial"/>
                <w:sz w:val="18"/>
                <w:szCs w:val="18"/>
                <w:color w:val="auto"/>
              </w:rPr>
              <w:t>Sale and Lease-Back Transactions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418"/>
        </w:trPr>
        <w:tc>
          <w:tcPr>
            <w:tcW w:w="1160" w:type="dxa"/>
            <w:vAlign w:val="bottom"/>
          </w:tcPr>
          <w:p>
            <w:pPr>
              <w:spacing w:after="0"/>
              <w:rPr>
                <w:sz w:val="24"/>
                <w:szCs w:val="24"/>
                <w:color w:val="auto"/>
              </w:rPr>
            </w:pPr>
          </w:p>
        </w:tc>
        <w:tc>
          <w:tcPr>
            <w:tcW w:w="9700" w:type="dxa"/>
            <w:vAlign w:val="bottom"/>
          </w:tcPr>
          <w:p>
            <w:pPr>
              <w:jc w:val="center"/>
              <w:ind w:right="510"/>
              <w:spacing w:after="0"/>
              <w:rPr>
                <w:sz w:val="20"/>
                <w:szCs w:val="20"/>
                <w:color w:val="auto"/>
              </w:rPr>
            </w:pPr>
            <w:r>
              <w:rPr>
                <w:rFonts w:ascii="Arial" w:cs="Arial" w:eastAsia="Arial" w:hAnsi="Arial"/>
                <w:sz w:val="18"/>
                <w:szCs w:val="18"/>
                <w:color w:val="auto"/>
                <w:w w:val="97"/>
              </w:rPr>
              <w:t>ARTICLE 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9700" w:type="dxa"/>
            <w:vAlign w:val="bottom"/>
          </w:tcPr>
          <w:p>
            <w:pPr>
              <w:jc w:val="center"/>
              <w:ind w:right="510"/>
              <w:spacing w:after="0"/>
              <w:rPr>
                <w:sz w:val="20"/>
                <w:szCs w:val="20"/>
                <w:color w:val="auto"/>
              </w:rPr>
            </w:pPr>
            <w:r>
              <w:rPr>
                <w:rFonts w:ascii="Arial" w:cs="Arial" w:eastAsia="Arial" w:hAnsi="Arial"/>
                <w:sz w:val="18"/>
                <w:szCs w:val="18"/>
                <w:color w:val="auto"/>
                <w:w w:val="95"/>
              </w:rPr>
              <w:t>DEFAULTS AND REMEDIES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5.1</w:t>
            </w:r>
          </w:p>
        </w:tc>
        <w:tc>
          <w:tcPr>
            <w:tcW w:w="9700" w:type="dxa"/>
            <w:vAlign w:val="bottom"/>
          </w:tcPr>
          <w:p>
            <w:pPr>
              <w:ind w:left="340"/>
              <w:spacing w:after="0"/>
              <w:rPr>
                <w:sz w:val="20"/>
                <w:szCs w:val="20"/>
                <w:color w:val="auto"/>
              </w:rPr>
            </w:pPr>
            <w:r>
              <w:rPr>
                <w:rFonts w:ascii="Arial" w:cs="Arial" w:eastAsia="Arial" w:hAnsi="Arial"/>
                <w:sz w:val="18"/>
                <w:szCs w:val="18"/>
                <w:color w:val="auto"/>
              </w:rPr>
              <w:t>Events of Default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418"/>
        </w:trPr>
        <w:tc>
          <w:tcPr>
            <w:tcW w:w="1160" w:type="dxa"/>
            <w:vAlign w:val="bottom"/>
          </w:tcPr>
          <w:p>
            <w:pPr>
              <w:spacing w:after="0"/>
              <w:rPr>
                <w:sz w:val="24"/>
                <w:szCs w:val="24"/>
                <w:color w:val="auto"/>
              </w:rPr>
            </w:pPr>
          </w:p>
        </w:tc>
        <w:tc>
          <w:tcPr>
            <w:tcW w:w="9700" w:type="dxa"/>
            <w:vAlign w:val="bottom"/>
          </w:tcPr>
          <w:p>
            <w:pPr>
              <w:jc w:val="center"/>
              <w:ind w:right="510"/>
              <w:spacing w:after="0"/>
              <w:rPr>
                <w:sz w:val="20"/>
                <w:szCs w:val="20"/>
                <w:color w:val="auto"/>
              </w:rPr>
            </w:pPr>
            <w:r>
              <w:rPr>
                <w:rFonts w:ascii="Arial" w:cs="Arial" w:eastAsia="Arial" w:hAnsi="Arial"/>
                <w:sz w:val="18"/>
                <w:szCs w:val="18"/>
                <w:color w:val="auto"/>
                <w:w w:val="97"/>
              </w:rPr>
              <w:t>ARTICLE 6.</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9700" w:type="dxa"/>
            <w:vAlign w:val="bottom"/>
          </w:tcPr>
          <w:p>
            <w:pPr>
              <w:jc w:val="center"/>
              <w:ind w:right="510"/>
              <w:spacing w:after="0"/>
              <w:rPr>
                <w:sz w:val="20"/>
                <w:szCs w:val="20"/>
                <w:color w:val="auto"/>
              </w:rPr>
            </w:pPr>
            <w:r>
              <w:rPr>
                <w:rFonts w:ascii="Arial" w:cs="Arial" w:eastAsia="Arial" w:hAnsi="Arial"/>
                <w:sz w:val="18"/>
                <w:szCs w:val="18"/>
                <w:color w:val="auto"/>
                <w:w w:val="96"/>
              </w:rPr>
              <w:t>SATISFACTION AND DISCHARGE; DEFEASANCE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6.1</w:t>
            </w:r>
          </w:p>
        </w:tc>
        <w:tc>
          <w:tcPr>
            <w:tcW w:w="9700" w:type="dxa"/>
            <w:vAlign w:val="bottom"/>
          </w:tcPr>
          <w:p>
            <w:pPr>
              <w:ind w:left="340"/>
              <w:spacing w:after="0"/>
              <w:rPr>
                <w:sz w:val="20"/>
                <w:szCs w:val="20"/>
                <w:color w:val="auto"/>
              </w:rPr>
            </w:pPr>
            <w:r>
              <w:rPr>
                <w:rFonts w:ascii="Arial" w:cs="Arial" w:eastAsia="Arial" w:hAnsi="Arial"/>
                <w:sz w:val="18"/>
                <w:szCs w:val="18"/>
                <w:color w:val="auto"/>
              </w:rPr>
              <w:t>Satisfaction and Discharge of Indenture</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6.2</w:t>
            </w:r>
          </w:p>
        </w:tc>
        <w:tc>
          <w:tcPr>
            <w:tcW w:w="9700" w:type="dxa"/>
            <w:vAlign w:val="bottom"/>
          </w:tcPr>
          <w:p>
            <w:pPr>
              <w:ind w:left="340"/>
              <w:spacing w:after="0"/>
              <w:rPr>
                <w:sz w:val="20"/>
                <w:szCs w:val="20"/>
                <w:color w:val="auto"/>
              </w:rPr>
            </w:pPr>
            <w:r>
              <w:rPr>
                <w:rFonts w:ascii="Arial" w:cs="Arial" w:eastAsia="Arial" w:hAnsi="Arial"/>
                <w:sz w:val="18"/>
                <w:szCs w:val="18"/>
                <w:color w:val="auto"/>
              </w:rPr>
              <w:t>Legal Defeasance of Securities of any Series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6.3</w:t>
            </w:r>
          </w:p>
        </w:tc>
        <w:tc>
          <w:tcPr>
            <w:tcW w:w="9700" w:type="dxa"/>
            <w:vAlign w:val="bottom"/>
          </w:tcPr>
          <w:p>
            <w:pPr>
              <w:ind w:left="340"/>
              <w:spacing w:after="0"/>
              <w:rPr>
                <w:sz w:val="20"/>
                <w:szCs w:val="20"/>
                <w:color w:val="auto"/>
              </w:rPr>
            </w:pPr>
            <w:r>
              <w:rPr>
                <w:rFonts w:ascii="Arial" w:cs="Arial" w:eastAsia="Arial" w:hAnsi="Arial"/>
                <w:sz w:val="18"/>
                <w:szCs w:val="18"/>
                <w:color w:val="auto"/>
              </w:rPr>
              <w:t>Covenant Defeasance</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418"/>
        </w:trPr>
        <w:tc>
          <w:tcPr>
            <w:tcW w:w="1160" w:type="dxa"/>
            <w:vAlign w:val="bottom"/>
          </w:tcPr>
          <w:p>
            <w:pPr>
              <w:spacing w:after="0"/>
              <w:rPr>
                <w:sz w:val="24"/>
                <w:szCs w:val="24"/>
                <w:color w:val="auto"/>
              </w:rPr>
            </w:pPr>
          </w:p>
        </w:tc>
        <w:tc>
          <w:tcPr>
            <w:tcW w:w="9700" w:type="dxa"/>
            <w:vAlign w:val="bottom"/>
          </w:tcPr>
          <w:p>
            <w:pPr>
              <w:jc w:val="center"/>
              <w:ind w:right="510"/>
              <w:spacing w:after="0"/>
              <w:rPr>
                <w:sz w:val="20"/>
                <w:szCs w:val="20"/>
                <w:color w:val="auto"/>
              </w:rPr>
            </w:pPr>
            <w:r>
              <w:rPr>
                <w:rFonts w:ascii="Arial" w:cs="Arial" w:eastAsia="Arial" w:hAnsi="Arial"/>
                <w:sz w:val="18"/>
                <w:szCs w:val="18"/>
                <w:color w:val="auto"/>
                <w:w w:val="97"/>
              </w:rPr>
              <w:t>ARTICLE 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9700" w:type="dxa"/>
            <w:vAlign w:val="bottom"/>
          </w:tcPr>
          <w:p>
            <w:pPr>
              <w:jc w:val="center"/>
              <w:ind w:right="510"/>
              <w:spacing w:after="0"/>
              <w:rPr>
                <w:sz w:val="20"/>
                <w:szCs w:val="20"/>
                <w:color w:val="auto"/>
              </w:rPr>
            </w:pPr>
            <w:r>
              <w:rPr>
                <w:rFonts w:ascii="Arial" w:cs="Arial" w:eastAsia="Arial" w:hAnsi="Arial"/>
                <w:sz w:val="18"/>
                <w:szCs w:val="18"/>
                <w:color w:val="auto"/>
                <w:w w:val="97"/>
              </w:rPr>
              <w:t>MISCELLANEOUS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7.1</w:t>
            </w:r>
          </w:p>
        </w:tc>
        <w:tc>
          <w:tcPr>
            <w:tcW w:w="9700" w:type="dxa"/>
            <w:vAlign w:val="bottom"/>
          </w:tcPr>
          <w:p>
            <w:pPr>
              <w:ind w:left="340"/>
              <w:spacing w:after="0"/>
              <w:rPr>
                <w:sz w:val="20"/>
                <w:szCs w:val="20"/>
                <w:color w:val="auto"/>
              </w:rPr>
            </w:pPr>
            <w:r>
              <w:rPr>
                <w:rFonts w:ascii="Arial" w:cs="Arial" w:eastAsia="Arial" w:hAnsi="Arial"/>
                <w:sz w:val="18"/>
                <w:szCs w:val="18"/>
                <w:color w:val="auto"/>
              </w:rPr>
              <w:t>Trust Indenture Act Controls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7.2</w:t>
            </w:r>
          </w:p>
        </w:tc>
        <w:tc>
          <w:tcPr>
            <w:tcW w:w="970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7.3</w:t>
            </w:r>
          </w:p>
        </w:tc>
        <w:tc>
          <w:tcPr>
            <w:tcW w:w="9700" w:type="dxa"/>
            <w:vAlign w:val="bottom"/>
          </w:tcPr>
          <w:p>
            <w:pPr>
              <w:ind w:left="340"/>
              <w:spacing w:after="0"/>
              <w:rPr>
                <w:sz w:val="20"/>
                <w:szCs w:val="20"/>
                <w:color w:val="auto"/>
              </w:rPr>
            </w:pPr>
            <w:r>
              <w:rPr>
                <w:rFonts w:ascii="Arial" w:cs="Arial" w:eastAsia="Arial" w:hAnsi="Arial"/>
                <w:sz w:val="18"/>
                <w:szCs w:val="18"/>
                <w:color w:val="auto"/>
              </w:rPr>
              <w:t>Successors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7.4</w:t>
            </w:r>
          </w:p>
        </w:tc>
        <w:tc>
          <w:tcPr>
            <w:tcW w:w="9700" w:type="dxa"/>
            <w:vAlign w:val="bottom"/>
          </w:tcPr>
          <w:p>
            <w:pPr>
              <w:ind w:left="340"/>
              <w:spacing w:after="0"/>
              <w:rPr>
                <w:sz w:val="20"/>
                <w:szCs w:val="20"/>
                <w:color w:val="auto"/>
              </w:rPr>
            </w:pPr>
            <w:r>
              <w:rPr>
                <w:rFonts w:ascii="Arial" w:cs="Arial" w:eastAsia="Arial" w:hAnsi="Arial"/>
                <w:sz w:val="18"/>
                <w:szCs w:val="18"/>
                <w:color w:val="auto"/>
              </w:rPr>
              <w:t>Severability</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7.5</w:t>
            </w:r>
          </w:p>
        </w:tc>
        <w:tc>
          <w:tcPr>
            <w:tcW w:w="9700" w:type="dxa"/>
            <w:vAlign w:val="bottom"/>
          </w:tcPr>
          <w:p>
            <w:pPr>
              <w:ind w:left="340"/>
              <w:spacing w:after="0"/>
              <w:rPr>
                <w:sz w:val="20"/>
                <w:szCs w:val="20"/>
                <w:color w:val="auto"/>
              </w:rPr>
            </w:pPr>
            <w:r>
              <w:rPr>
                <w:rFonts w:ascii="Arial" w:cs="Arial" w:eastAsia="Arial" w:hAnsi="Arial"/>
                <w:sz w:val="18"/>
                <w:szCs w:val="18"/>
                <w:color w:val="auto"/>
              </w:rPr>
              <w:t>Counterpart Originals</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7.6</w:t>
            </w:r>
          </w:p>
        </w:tc>
        <w:tc>
          <w:tcPr>
            <w:tcW w:w="9700" w:type="dxa"/>
            <w:vAlign w:val="bottom"/>
          </w:tcPr>
          <w:p>
            <w:pPr>
              <w:ind w:left="340"/>
              <w:spacing w:after="0"/>
              <w:rPr>
                <w:sz w:val="20"/>
                <w:szCs w:val="20"/>
                <w:color w:val="auto"/>
              </w:rPr>
            </w:pPr>
            <w:r>
              <w:rPr>
                <w:rFonts w:ascii="Arial" w:cs="Arial" w:eastAsia="Arial" w:hAnsi="Arial"/>
                <w:sz w:val="18"/>
                <w:szCs w:val="18"/>
                <w:color w:val="auto"/>
              </w:rPr>
              <w:t>Table of Contents, Headings, Etc.</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Section 7.7</w:t>
            </w:r>
          </w:p>
        </w:tc>
        <w:tc>
          <w:tcPr>
            <w:tcW w:w="9700" w:type="dxa"/>
            <w:vAlign w:val="bottom"/>
          </w:tcPr>
          <w:p>
            <w:pPr>
              <w:ind w:left="340"/>
              <w:spacing w:after="0"/>
              <w:rPr>
                <w:sz w:val="20"/>
                <w:szCs w:val="20"/>
                <w:color w:val="auto"/>
              </w:rPr>
            </w:pPr>
            <w:r>
              <w:rPr>
                <w:rFonts w:ascii="Arial" w:cs="Arial" w:eastAsia="Arial" w:hAnsi="Arial"/>
                <w:sz w:val="18"/>
                <w:szCs w:val="18"/>
                <w:color w:val="auto"/>
              </w:rPr>
              <w:t>Jury Trial</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Section 7.8</w:t>
            </w:r>
          </w:p>
        </w:tc>
        <w:tc>
          <w:tcPr>
            <w:tcW w:w="9700" w:type="dxa"/>
            <w:vAlign w:val="bottom"/>
          </w:tcPr>
          <w:p>
            <w:pPr>
              <w:ind w:left="340"/>
              <w:spacing w:after="0"/>
              <w:rPr>
                <w:sz w:val="20"/>
                <w:szCs w:val="20"/>
                <w:color w:val="auto"/>
              </w:rPr>
            </w:pPr>
            <w:r>
              <w:rPr>
                <w:rFonts w:ascii="Arial" w:cs="Arial" w:eastAsia="Arial" w:hAnsi="Arial"/>
                <w:sz w:val="18"/>
                <w:szCs w:val="18"/>
                <w:color w:val="auto"/>
              </w:rPr>
              <w:t>Interpretation</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A</w:t>
            </w:r>
          </w:p>
        </w:tc>
        <w:tc>
          <w:tcPr>
            <w:tcW w:w="9700" w:type="dxa"/>
            <w:vAlign w:val="bottom"/>
          </w:tcPr>
          <w:p>
            <w:pPr>
              <w:ind w:left="340"/>
              <w:spacing w:after="0"/>
              <w:rPr>
                <w:sz w:val="20"/>
                <w:szCs w:val="20"/>
                <w:color w:val="auto"/>
              </w:rPr>
            </w:pPr>
            <w:r>
              <w:rPr>
                <w:rFonts w:ascii="Arial" w:cs="Arial" w:eastAsia="Arial" w:hAnsi="Arial"/>
                <w:sz w:val="18"/>
                <w:szCs w:val="18"/>
                <w:color w:val="auto"/>
              </w:rPr>
              <w:t>FORM OF NOTE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160" w:type="dxa"/>
            <w:vAlign w:val="bottom"/>
          </w:tcPr>
          <w:p>
            <w:pPr>
              <w:spacing w:after="0"/>
              <w:rPr>
                <w:sz w:val="24"/>
                <w:szCs w:val="24"/>
                <w:color w:val="auto"/>
              </w:rPr>
            </w:pPr>
          </w:p>
        </w:tc>
        <w:tc>
          <w:tcPr>
            <w:tcW w:w="9700" w:type="dxa"/>
            <w:vAlign w:val="bottom"/>
          </w:tcPr>
          <w:p>
            <w:pPr>
              <w:jc w:val="center"/>
              <w:ind w:right="510"/>
              <w:spacing w:after="0"/>
              <w:rPr>
                <w:sz w:val="20"/>
                <w:szCs w:val="20"/>
                <w:color w:val="auto"/>
              </w:rPr>
            </w:pPr>
            <w:r>
              <w:rPr>
                <w:rFonts w:ascii="Arial" w:cs="Arial" w:eastAsia="Arial" w:hAnsi="Arial"/>
                <w:sz w:val="18"/>
                <w:szCs w:val="18"/>
                <w:color w:val="auto"/>
              </w:rPr>
              <w:t>i</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97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7" w:name="page28"/>
    <w:bookmarkEnd w:id="27"/>
    <w:p>
      <w:pPr>
        <w:ind w:firstLine="225"/>
        <w:spacing w:after="0" w:line="277" w:lineRule="auto"/>
        <w:rPr>
          <w:sz w:val="20"/>
          <w:szCs w:val="20"/>
          <w:color w:val="auto"/>
        </w:rPr>
      </w:pPr>
      <w:r>
        <w:rPr>
          <w:rFonts w:ascii="Arial" w:cs="Arial" w:eastAsia="Arial" w:hAnsi="Arial"/>
          <w:sz w:val="18"/>
          <w:szCs w:val="18"/>
          <w:color w:val="auto"/>
        </w:rPr>
        <w:t>SUPPLEMENTAL INDENTURE dated as of June 30, 2009 by and between Analog Devices, Inc., a Massachusetts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Bank of New York Mellon Trust Company, N.A., a national banking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62" w:lineRule="exact"/>
        <w:rPr>
          <w:sz w:val="20"/>
          <w:szCs w:val="20"/>
          <w:color w:val="auto"/>
        </w:rPr>
      </w:pPr>
    </w:p>
    <w:p>
      <w:pPr>
        <w:ind w:right="200" w:firstLine="222"/>
        <w:spacing w:after="0" w:line="308" w:lineRule="auto"/>
        <w:rPr>
          <w:sz w:val="20"/>
          <w:szCs w:val="20"/>
          <w:color w:val="auto"/>
        </w:rPr>
      </w:pPr>
      <w:r>
        <w:rPr>
          <w:rFonts w:ascii="Arial" w:cs="Arial" w:eastAsia="Arial" w:hAnsi="Arial"/>
          <w:sz w:val="17"/>
          <w:szCs w:val="17"/>
          <w:color w:val="auto"/>
        </w:rPr>
        <w:t>The Company has heretofore executed and delivered to the Trustee an indenture, dated as of June 30, 2009 (the “</w:t>
      </w:r>
      <w:r>
        <w:rPr>
          <w:rFonts w:ascii="Arial" w:cs="Arial" w:eastAsia="Arial" w:hAnsi="Arial"/>
          <w:sz w:val="17"/>
          <w:szCs w:val="17"/>
          <w:b w:val="1"/>
          <w:bCs w:val="1"/>
          <w:i w:val="1"/>
          <w:iCs w:val="1"/>
          <w:color w:val="auto"/>
        </w:rPr>
        <w:t>Base Indenture</w:t>
      </w:r>
      <w:r>
        <w:rPr>
          <w:rFonts w:ascii="Arial" w:cs="Arial" w:eastAsia="Arial" w:hAnsi="Arial"/>
          <w:sz w:val="17"/>
          <w:szCs w:val="17"/>
          <w:i w:val="1"/>
          <w:iCs w:val="1"/>
          <w:color w:val="auto"/>
        </w:rPr>
        <w:t>”</w:t>
      </w:r>
      <w:r>
        <w:rPr>
          <w:rFonts w:ascii="Arial" w:cs="Arial" w:eastAsia="Arial" w:hAnsi="Arial"/>
          <w:sz w:val="17"/>
          <w:szCs w:val="17"/>
          <w:color w:val="auto"/>
        </w:rPr>
        <w:t xml:space="preserve"> and together with this Supplemental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providing for the issuance from time to time of one or more Series of the Company’s securities.</w:t>
      </w:r>
    </w:p>
    <w:p>
      <w:pPr>
        <w:spacing w:after="0" w:line="38"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 Company desires and has requested the Trustee pursuant to Section 9.1 of the Base Indenture to join with it in the execution and delivery of this Supplemental Indenture in order to supplement the Base Indenture as, and to the extent, set forth herein to provide for the issuance of and establish the form and terms and conditions of the Notes (as defined below).</w:t>
      </w:r>
    </w:p>
    <w:p>
      <w:pPr>
        <w:spacing w:after="0" w:line="73"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Section 9.1 of the Base Indenture provides that the Company and the Trustee, without the consent of any holders of the Company’s Securities, may amend or supplement certain terms and conditions in the Base Indenture, including to provide for the issuance of and establishment of terms of a Series of Securities as permitted by Sections 2.1 and 2.2 thereof.</w:t>
      </w:r>
    </w:p>
    <w:p>
      <w:pPr>
        <w:spacing w:after="0" w:line="73"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execution and delivery of this Supplemental Indenture has been duly authorized by votes of the Board of Directors or a duly authorized committee thereof.</w:t>
      </w:r>
    </w:p>
    <w:p>
      <w:pPr>
        <w:spacing w:after="0" w:line="62" w:lineRule="exact"/>
        <w:rPr>
          <w:sz w:val="20"/>
          <w:szCs w:val="20"/>
          <w:color w:val="auto"/>
        </w:rPr>
      </w:pPr>
    </w:p>
    <w:p>
      <w:pPr>
        <w:ind w:right="300" w:firstLine="215"/>
        <w:spacing w:after="0" w:line="342" w:lineRule="auto"/>
        <w:rPr>
          <w:sz w:val="20"/>
          <w:szCs w:val="20"/>
          <w:color w:val="auto"/>
        </w:rPr>
      </w:pPr>
      <w:r>
        <w:rPr>
          <w:rFonts w:ascii="Arial" w:cs="Arial" w:eastAsia="Arial" w:hAnsi="Arial"/>
          <w:sz w:val="16"/>
          <w:szCs w:val="16"/>
          <w:color w:val="auto"/>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spacing w:after="0" w:line="16"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Company and the Trustee agree as follows for the benefit of each other and for the equal and ratable benefit of the Holders (as defined herein) of the 5.00% Notes due July 1, 2014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Relationship with Base Indenture.</w:t>
      </w:r>
    </w:p>
    <w:p>
      <w:pPr>
        <w:spacing w:after="0" w:line="117" w:lineRule="exact"/>
        <w:rPr>
          <w:sz w:val="20"/>
          <w:szCs w:val="20"/>
          <w:color w:val="auto"/>
        </w:rPr>
      </w:pPr>
    </w:p>
    <w:p>
      <w:pPr>
        <w:ind w:right="300" w:firstLine="222"/>
        <w:spacing w:after="0" w:line="259" w:lineRule="auto"/>
        <w:rPr>
          <w:sz w:val="20"/>
          <w:szCs w:val="20"/>
          <w:color w:val="auto"/>
        </w:rPr>
      </w:pPr>
      <w:r>
        <w:rPr>
          <w:rFonts w:ascii="Arial" w:cs="Arial" w:eastAsia="Arial" w:hAnsi="Arial"/>
          <w:sz w:val="18"/>
          <w:szCs w:val="18"/>
          <w:color w:val="auto"/>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the provisions of this Supplemental Indenture will govern and be controlling.</w:t>
      </w:r>
    </w:p>
    <w:p>
      <w:pPr>
        <w:spacing w:after="0" w:line="79"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The Trustee accepts the amendment of the Base Indenture effected by this Supplemental Indenture and agrees to execute the trust created by the Base Indenture as hereby amended, but only upon the terms and conditions set forth in this Supplemental Indenture, including the terms and provisions defining and limiting the liabilities and responsibilities of the Trustee in the performance of the trust created by the Base Indenture, and without 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w:t>
      </w:r>
    </w:p>
    <w:p>
      <w:pPr>
        <w:spacing w:after="0" w:line="70" w:lineRule="exact"/>
        <w:rPr>
          <w:sz w:val="20"/>
          <w:szCs w:val="20"/>
          <w:color w:val="auto"/>
        </w:rPr>
      </w:pPr>
    </w:p>
    <w:p>
      <w:pPr>
        <w:ind w:right="340" w:firstLine="225"/>
        <w:spacing w:after="0" w:line="286" w:lineRule="auto"/>
        <w:rPr>
          <w:sz w:val="20"/>
          <w:szCs w:val="20"/>
          <w:color w:val="auto"/>
        </w:rPr>
      </w:pPr>
      <w:r>
        <w:rPr>
          <w:rFonts w:ascii="Arial" w:cs="Arial" w:eastAsia="Arial" w:hAnsi="Arial"/>
          <w:sz w:val="17"/>
          <w:szCs w:val="17"/>
          <w:color w:val="auto"/>
        </w:rPr>
        <w:t>Further, the Trustee shall not be responsible or liable for any failure or delay in the performance of its obligations under this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ind w:right="260"/>
        <w:spacing w:after="0" w:line="277" w:lineRule="auto"/>
        <w:rPr>
          <w:sz w:val="20"/>
          <w:szCs w:val="20"/>
          <w:color w:val="auto"/>
        </w:rPr>
      </w:pPr>
      <w:r>
        <w:rPr>
          <w:rFonts w:ascii="Arial" w:cs="Arial" w:eastAsia="Arial" w:hAnsi="Arial"/>
          <w:sz w:val="18"/>
          <w:szCs w:val="18"/>
          <w:color w:val="auto"/>
        </w:rPr>
        <w:t>service; accidents; labor disputes; acts of civil or military authority or governmental actions; it being understood that the Trustee shall use its best efforts to resume performance as soon as practicable under the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Definitions.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Capitalized terms used herein without definition shall have the respective meanings set forth in the Base Indenture. The following terms have the meanings given to them in this Section 1.2:</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Notes</w:t>
      </w:r>
      <w:r>
        <w:rPr>
          <w:rFonts w:ascii="Arial" w:cs="Arial" w:eastAsia="Arial" w:hAnsi="Arial"/>
          <w:sz w:val="18"/>
          <w:szCs w:val="18"/>
          <w:color w:val="auto"/>
        </w:rPr>
        <w:t>” means any Notes (other than the Initial Notes) issued under this Supplemental Indenture in accordance with Section 2.3 hereof, as part of the same Series as the Initial Notes.</w:t>
      </w:r>
    </w:p>
    <w:p>
      <w:pPr>
        <w:spacing w:after="0" w:line="62"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established by and customary for the Depositary that apply to such transfer or exchange.</w:t>
      </w:r>
    </w:p>
    <w:p>
      <w:pPr>
        <w:spacing w:after="0" w:line="62"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with regard to a Sale and Lease-Back Transaction with respect to any Principal Property means, at the time of determination, the lesser of (i) the fair market value of the Principal Property subject to the Sale and Lease-Back Transaction or (ii) the present value (discounted by the weighted average interest rate borne by all securities then outstanding under the Indenture at the time of determination compounded semiannually) of the total obligations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Sale and Lease-Back Transaction.</w:t>
      </w:r>
    </w:p>
    <w:p>
      <w:pPr>
        <w:spacing w:after="0" w:line="85"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Base Indenture</w:t>
      </w:r>
      <w:r>
        <w:rPr>
          <w:rFonts w:ascii="Arial" w:cs="Arial" w:eastAsia="Arial" w:hAnsi="Arial"/>
          <w:sz w:val="18"/>
          <w:szCs w:val="18"/>
          <w:color w:val="auto"/>
        </w:rPr>
        <w:t>” has the meaning set forth in the preamble to this Supplemental Indenture, as it may be amended, supplemented or otherwise modified from time to time in accordance with the terms thereof.</w:t>
      </w:r>
    </w:p>
    <w:p>
      <w:pPr>
        <w:spacing w:after="0" w:line="62"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Below Investment Grade Rating Event</w:t>
      </w:r>
      <w:r>
        <w:rPr>
          <w:rFonts w:ascii="Arial" w:cs="Arial" w:eastAsia="Arial" w:hAnsi="Arial"/>
          <w:sz w:val="16"/>
          <w:szCs w:val="16"/>
          <w:color w:val="auto"/>
        </w:rPr>
        <w:t>” means the notes are downgraded below Investment Grade by both Rating Agencies on any date during the period (the “</w:t>
      </w:r>
      <w:r>
        <w:rPr>
          <w:rFonts w:ascii="Arial" w:cs="Arial" w:eastAsia="Arial" w:hAnsi="Arial"/>
          <w:sz w:val="16"/>
          <w:szCs w:val="16"/>
          <w:b w:val="1"/>
          <w:bCs w:val="1"/>
          <w:i w:val="1"/>
          <w:iCs w:val="1"/>
          <w:color w:val="auto"/>
        </w:rPr>
        <w:t>Trigger Period</w:t>
      </w:r>
      <w:r>
        <w:rPr>
          <w:rFonts w:ascii="Arial" w:cs="Arial" w:eastAsia="Arial" w:hAnsi="Arial"/>
          <w:sz w:val="16"/>
          <w:szCs w:val="16"/>
          <w:color w:val="auto"/>
        </w:rPr>
        <w:t>”) commencing 60 days prior to the first public announcement by the Company of any Change of Control (or pending Change of Control) and ending 60 days following the consummation of such Change of Control (which Trigger Period shall be extended if the rating of the Notes is under publicly announced consideration for possible downgrade by any Rating Agency on such 60th day, such extension to last with respect to each Rating Agency until the date on which such Rating Agency considering such possible downgrade either (i) rates the Notes below Investment Grade or (ii) publicly announces that it is no longer considering the Notes for possible downgrade, provided that no such extension will occur if on such 60th day the Notes are rated Investment Grade by both Rating Agencies and are not subject to review for possible downgrade by either Rating Agency).</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117" w:lineRule="exact"/>
        <w:rPr>
          <w:sz w:val="20"/>
          <w:szCs w:val="20"/>
          <w:color w:val="auto"/>
        </w:rPr>
      </w:pPr>
    </w:p>
    <w:p>
      <w:pPr>
        <w:ind w:firstLine="233"/>
        <w:spacing w:after="0" w:line="264"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more series of related transactions, of all or substantially all of the Company’s assets and the assets of its Subsidiaries, taken as a whole, to any person, other than to the Company or one of its direct or indirect Subsidiaries;</w:t>
      </w:r>
    </w:p>
    <w:p>
      <w:pPr>
        <w:spacing w:after="0" w:line="73" w:lineRule="exact"/>
        <w:rPr>
          <w:rFonts w:ascii="Arial" w:cs="Arial" w:eastAsia="Arial" w:hAnsi="Arial"/>
          <w:sz w:val="18"/>
          <w:szCs w:val="18"/>
          <w:color w:val="auto"/>
        </w:rPr>
      </w:pPr>
    </w:p>
    <w:p>
      <w:pPr>
        <w:ind w:right="200" w:firstLine="233"/>
        <w:spacing w:after="0" w:line="259" w:lineRule="auto"/>
        <w:tabs>
          <w:tab w:leader="none" w:pos="4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consummation of any transaction (including any merger or consolidation) the result of which is that any person becomes the beneficial owner (as defined in Rules 13d-3 and 13d-5 under the Exchange Act), directly or indirectly, of more than 50% of the Company’s outstanding Voting Stock or other Voting Stock into which the Company’s Voting Stock is reclassified, consolidated, exchanged or changed, measured by voting power rather than number of shares;</w:t>
      </w:r>
    </w:p>
    <w:p>
      <w:pPr>
        <w:spacing w:after="0" w:line="78" w:lineRule="exact"/>
        <w:rPr>
          <w:rFonts w:ascii="Arial" w:cs="Arial" w:eastAsia="Arial" w:hAnsi="Arial"/>
          <w:sz w:val="18"/>
          <w:szCs w:val="18"/>
          <w:color w:val="auto"/>
        </w:rPr>
      </w:pPr>
    </w:p>
    <w:p>
      <w:pPr>
        <w:ind w:right="40" w:firstLine="233"/>
        <w:spacing w:after="0" w:line="286"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Company consolidates with, or merges with or into, any person, or any person consolidates with, or merges with or into, the Company, in any such event pursuant to a transaction in which any of the Company’s outstanding Voting Stock or the Voting Stock of such other person is converted into or exchanged for cash, securities or other property, other than any such transaction where the shares of the Company’s Voting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ind w:right="320"/>
        <w:spacing w:after="0" w:line="264" w:lineRule="auto"/>
        <w:rPr>
          <w:sz w:val="20"/>
          <w:szCs w:val="20"/>
          <w:color w:val="auto"/>
        </w:rPr>
      </w:pPr>
      <w:r>
        <w:rPr>
          <w:rFonts w:ascii="Arial" w:cs="Arial" w:eastAsia="Arial" w:hAnsi="Arial"/>
          <w:sz w:val="18"/>
          <w:szCs w:val="18"/>
          <w:color w:val="auto"/>
        </w:rPr>
        <w:t>outstanding immediately prior to such transaction constitute, or are converted into or exchanged for, a majority of the outstanding Voting Stock of the surviving person or any direct or indirect parent company of the surviving person immediately after giving effect to such transaction, measured by voting power rather than number of shares;</w:t>
      </w:r>
    </w:p>
    <w:p>
      <w:pPr>
        <w:spacing w:after="0" w:line="73" w:lineRule="exact"/>
        <w:rPr>
          <w:sz w:val="20"/>
          <w:szCs w:val="20"/>
          <w:color w:val="auto"/>
        </w:rPr>
      </w:pPr>
    </w:p>
    <w:p>
      <w:pPr>
        <w:ind w:left="540" w:hanging="307"/>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first day on which a majority of the members of the Board of Directors are not Continuing Directors; or</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adoption of a plan providing for the Company’s liquidation or dissolution.</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Notwithstanding the foregoing, a transaction will not be deemed to involve a Change of Control if (i) the Company becomes a direct or indirect wholly owned subsidiary of a holding company (which shall include a parent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as used in this definition, has the meaning given thereto in Section 13(d)(3) of the Exchange Act.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Below Investment Grade Rating Event.</w:t>
      </w:r>
    </w:p>
    <w:p>
      <w:pPr>
        <w:spacing w:after="0" w:line="117" w:lineRule="exact"/>
        <w:rPr>
          <w:sz w:val="20"/>
          <w:szCs w:val="20"/>
          <w:color w:val="auto"/>
        </w:rPr>
      </w:pPr>
    </w:p>
    <w:p>
      <w:pPr>
        <w:jc w:val="both"/>
        <w:ind w:right="32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Comparable Treasury Issue</w:t>
      </w:r>
      <w:r>
        <w:rPr>
          <w:rFonts w:ascii="Arial" w:cs="Arial" w:eastAsia="Arial" w:hAnsi="Arial"/>
          <w:sz w:val="17"/>
          <w:szCs w:val="17"/>
          <w:color w:val="auto"/>
        </w:rPr>
        <w:t>” means the United States Treasury security selected by the Quotation Agent as having an actual or interpolated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7" w:lineRule="exact"/>
        <w:rPr>
          <w:sz w:val="20"/>
          <w:szCs w:val="20"/>
          <w:color w:val="auto"/>
        </w:rPr>
      </w:pPr>
    </w:p>
    <w:p>
      <w:pPr>
        <w:ind w:right="28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the arithmetic average of all Reference Treasury Dealer Quotations for such redemption date or if the Quotation Agent obtains only one Reference Treasury Dealer Quotation, such Reference Treasury Dealer Quotation.</w:t>
      </w:r>
    </w:p>
    <w:p>
      <w:pPr>
        <w:spacing w:after="0" w:line="16"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Net Tangible Assets</w:t>
      </w:r>
      <w:r>
        <w:rPr>
          <w:rFonts w:ascii="Arial" w:cs="Arial" w:eastAsia="Arial" w:hAnsi="Arial"/>
          <w:sz w:val="17"/>
          <w:szCs w:val="17"/>
          <w:color w:val="auto"/>
        </w:rPr>
        <w:t>” means, as of any date on which the Company effects a transaction requiring such Consolidated Net Tangible Assets to be measured hereunder, the aggregate amount of assets (less applicable reserves) after deducting therefrom (i) all current liabilities, except for any notes and loans payable, current maturities of long-term debt, the current portion of deferred revenue and obligations under capital leases; and (ii) all goodwill, trade names, patents, unamortized debt discount and expense and any other like intangibles, to the extent included in said aggregate amount of assets, all as set forth on the Company’s most recent consolidated balance sheet and computed in accordance with GAAP.</w:t>
      </w:r>
    </w:p>
    <w:p>
      <w:pPr>
        <w:spacing w:after="0" w:line="64"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any member of the Board of Directors who (i) was a member of such Board of Directors on the date the Notes were issued or (ii)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46"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Definitive Note</w:t>
      </w:r>
      <w:r>
        <w:rPr>
          <w:rFonts w:ascii="Arial" w:cs="Arial" w:eastAsia="Arial" w:hAnsi="Arial"/>
          <w:sz w:val="18"/>
          <w:szCs w:val="18"/>
          <w:color w:val="auto"/>
        </w:rPr>
        <w:t xml:space="preserve">” means a certificated Note registered in the name of the Holder thereof and issued in accordance with Section 2.2 hereof,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except that such Note will not bear the Global Note Legend.</w:t>
      </w:r>
    </w:p>
    <w:p>
      <w:pPr>
        <w:spacing w:after="0" w:line="62"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Notes issuable or issued in whole or in part in global form, the person specified in Section 2.1 hereof as the Depositary, with respect to the Notes, and any and all successors thereto appointed as depositary hereunder.</w:t>
      </w:r>
    </w:p>
    <w:p>
      <w:pPr>
        <w:spacing w:after="0" w:line="62"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 Legend</w:t>
      </w:r>
      <w:r>
        <w:rPr>
          <w:rFonts w:ascii="Arial" w:cs="Arial" w:eastAsia="Arial" w:hAnsi="Arial"/>
          <w:sz w:val="18"/>
          <w:szCs w:val="18"/>
          <w:color w:val="auto"/>
        </w:rPr>
        <w:t>” means the legend set forth in Section 2.2(e), which is required to be placed on all Global Notes issued under this Supplemental Indenture.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0" w:name="page31"/>
    <w:bookmarkEnd w:id="30"/>
    <w:p>
      <w:pPr>
        <w:ind w:right="46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Notes</w:t>
      </w:r>
      <w:r>
        <w:rPr>
          <w:rFonts w:ascii="Arial" w:cs="Arial" w:eastAsia="Arial" w:hAnsi="Arial"/>
          <w:sz w:val="18"/>
          <w:szCs w:val="18"/>
          <w:color w:val="auto"/>
        </w:rPr>
        <w:t xml:space="preserve">” means, individually and collectively, each of the Global Notes,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issued in accordance with Section 2.1 hereof.</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Note is registered.</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the Base Indenture, as supplemented by this Supplemental Indenture, governing the Notes, in each case, as amended, supplemented or restated from time to time.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Initial Notes</w:t>
      </w:r>
      <w:r>
        <w:rPr>
          <w:rFonts w:ascii="Arial" w:cs="Arial" w:eastAsia="Arial" w:hAnsi="Arial"/>
          <w:sz w:val="17"/>
          <w:szCs w:val="17"/>
          <w:color w:val="auto"/>
        </w:rPr>
        <w:t>” means the first $375,000,000 aggregate principal amount of Notes issued under this Supplemental Indenture on the date hereof.</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Investment Grade</w:t>
      </w:r>
      <w:r>
        <w:rPr>
          <w:rFonts w:ascii="Arial" w:cs="Arial" w:eastAsia="Arial" w:hAnsi="Arial"/>
          <w:sz w:val="17"/>
          <w:szCs w:val="17"/>
          <w:color w:val="auto"/>
        </w:rPr>
        <w:t>” means having a rating equal to or higher than Baa3 (or the equivalent) by Moody’s and BBB- (or the equivalent) by S&amp;P.</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117" w:lineRule="exact"/>
        <w:rPr>
          <w:sz w:val="20"/>
          <w:szCs w:val="20"/>
          <w:color w:val="auto"/>
        </w:rPr>
      </w:pPr>
    </w:p>
    <w:p>
      <w:pPr>
        <w:ind w:right="120" w:firstLine="22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Net Available Proceeds</w:t>
      </w:r>
      <w:r>
        <w:rPr>
          <w:rFonts w:ascii="Arial" w:cs="Arial" w:eastAsia="Arial" w:hAnsi="Arial"/>
          <w:sz w:val="17"/>
          <w:szCs w:val="17"/>
          <w:color w:val="auto"/>
        </w:rPr>
        <w:t>” from any Sale and Lease-Back Transaction by the Company or any Subsidiary means cash or readily marketable cash equivalents received (including by way of sale or discounting of a note, installment receivable or other receivable, but excluding any other consideration received in the form of assumption by the acquiree of debt or obligations relating to the properties or assets that are the subject of such Sale and Lease-Back Transaction or received in any other noncash form) therefrom by the Company or any Subsidiary, net of (i) all legal, title and recording tax expenses, commissions and other fees and expenses incurred and all United States federal, state, provincial, foreign and local taxes required to be accrued as a liability as a consequence of such Sale and Lease-Back Transaction; (ii) all payments made the Company or any Subsidiary on any debt which is secured in whole or in part by any such properties and assets in accordance with the terms of any Lien upon or with respect to any such properties and assets or which must, by the terms of such Lien, or in order to obtain a necessary consent to such Sale and Lease-Back Transaction or by applicable law, be repaid out of the proceeds from such Sale and Lease-Back Transaction; and (iii) all distributions and other payments made to the minority interest holders in any Subsidiary or joint ventures as a result of such Sale and Lease-Back Transaction.</w:t>
      </w:r>
    </w:p>
    <w:p>
      <w:pPr>
        <w:spacing w:after="0" w:line="70"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Notes</w:t>
      </w:r>
      <w:r>
        <w:rPr>
          <w:rFonts w:ascii="Arial" w:cs="Arial" w:eastAsia="Arial" w:hAnsi="Arial"/>
          <w:sz w:val="18"/>
          <w:szCs w:val="18"/>
          <w:color w:val="auto"/>
        </w:rPr>
        <w:t>” has the meaning assigned to it in the preamble to this Supplemental Indenture. The Initial Notes and the Additional Notes, if any, will be treated as a single class for all purposes under this Supplemental Indenture, and unless the context otherwise requires, all references to the Notes will include the Initial Notes and any Additional Notes.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117"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i w:val="1"/>
          <w:iCs w:val="1"/>
          <w:color w:val="auto"/>
        </w:rPr>
        <w:t xml:space="preserve">“Principal Property” </w:t>
      </w:r>
      <w:r>
        <w:rPr>
          <w:rFonts w:ascii="Arial" w:cs="Arial" w:eastAsia="Arial" w:hAnsi="Arial"/>
          <w:sz w:val="16"/>
          <w:szCs w:val="16"/>
          <w:color w:val="auto"/>
        </w:rPr>
        <w:t>means any single parcel of real property or any permanent improvement thereon (i) owned by the Company or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located in the United States, including the Company’s principal corporate office, any manufacturing facility or plant or any portion thereof and</w:t>
      </w:r>
    </w:p>
    <w:p>
      <w:pPr>
        <w:ind w:right="460" w:firstLine="8"/>
        <w:spacing w:after="0" w:line="255"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a book value, as of the date of determination, in excess of 3.00% of the most recently calculated Consolidated Net Tangible Assets. Principal Property does not include any property that the Board of Directors has determined not to be of material importance to the business conducted by the Subsidiaries and the Company, taken as a whole.</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Subsidiary</w:t>
      </w:r>
      <w:r>
        <w:rPr>
          <w:rFonts w:ascii="Arial" w:cs="Arial" w:eastAsia="Arial" w:hAnsi="Arial"/>
          <w:sz w:val="18"/>
          <w:szCs w:val="18"/>
          <w:color w:val="auto"/>
        </w:rPr>
        <w:t>” means any Subsidiary which owns any Principal Property.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selected by the Company.</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each of Moody’s and S&amp;P; provided, that if either of Moody’s and S&amp;P ceases to provide rating services to issuers or investors, the Company may appoint a replacement for such Rating Agency that is a “nationally recognized statistical rating organization” within the meaning of Rule 15c3-1(c)(2)(vi)(F) under the Exchange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jc w:val="both"/>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each of Credit Suisse Securities (USA) LLC and Banc of America Securities LLC (or their respective successors), and any other primary U.S. Government securities dealer in New York City (a “</w:t>
      </w:r>
      <w:r>
        <w:rPr>
          <w:rFonts w:ascii="Arial" w:cs="Arial" w:eastAsia="Arial" w:hAnsi="Arial"/>
          <w:sz w:val="18"/>
          <w:szCs w:val="18"/>
          <w:b w:val="1"/>
          <w:bCs w:val="1"/>
          <w:i w:val="1"/>
          <w:iCs w:val="1"/>
          <w:color w:val="auto"/>
        </w:rPr>
        <w:t>primary treasury dealer</w:t>
      </w:r>
      <w:r>
        <w:rPr>
          <w:rFonts w:ascii="Arial" w:cs="Arial" w:eastAsia="Arial" w:hAnsi="Arial"/>
          <w:sz w:val="18"/>
          <w:szCs w:val="18"/>
          <w:color w:val="auto"/>
        </w:rPr>
        <w:t>”) selected by the Quotation Agent after consultation with the Company, provided that if any of the foregoing shall cease to be a primary treasury dealer, another primary treasury dealer shall be substituted therefor by the Company.</w:t>
      </w:r>
    </w:p>
    <w:p>
      <w:pPr>
        <w:spacing w:after="0" w:line="79"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w:t>
      </w:r>
      <w:r>
        <w:rPr>
          <w:rFonts w:ascii="Arial" w:cs="Arial" w:eastAsia="Arial" w:hAnsi="Arial"/>
          <w:sz w:val="18"/>
          <w:szCs w:val="18"/>
          <w:color w:val="auto"/>
        </w:rPr>
        <w:t>” means, with respect to each Reference Treasury Dealer and any redemption date, the arithmetic average, as determined by the Quotation Agent, of the bid and asked prices for the Comparable Treasury Issue (expressed in each case as a percentage of its principal amount) quoted in writing to the Quotation Agent by such Reference Treasury Dealer at 5:00 p.m. Eastern Time on the third Business Day preceding such redemption date.</w:t>
      </w:r>
    </w:p>
    <w:p>
      <w:pPr>
        <w:spacing w:after="0" w:line="7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Remaining Scheduled Payments</w:t>
      </w:r>
      <w:r>
        <w:rPr>
          <w:rFonts w:ascii="Arial" w:cs="Arial" w:eastAsia="Arial" w:hAnsi="Arial"/>
          <w:sz w:val="18"/>
          <w:szCs w:val="18"/>
          <w:color w:val="auto"/>
        </w:rPr>
        <w:t>” means, with respect to any Note being redeemed, the remaining scheduled payments of the principal and interest thereon that would be due after the related redemption date but for such redemption; provided, however, that, if such redemption date is not an interest payment date with respect to such Note, the amount of the next scheduled interest payment thereon shall be reduced by the amount of interest accrued thereon to such redemption date.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Services, a division of The McGraw-Hill Companies, Inc., and its successors.</w:t>
      </w:r>
    </w:p>
    <w:p>
      <w:pPr>
        <w:spacing w:after="0" w:line="117"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and Lease-Back Transaction</w:t>
      </w:r>
      <w:r>
        <w:rPr>
          <w:rFonts w:ascii="Arial" w:cs="Arial" w:eastAsia="Arial" w:hAnsi="Arial"/>
          <w:sz w:val="16"/>
          <w:szCs w:val="16"/>
          <w:color w:val="auto"/>
        </w:rPr>
        <w:t>” means an arrangement with any lender or investor or to which such lender or investor is a party providing for the leasing by the Company or any Subsidiary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to such lender or investor or to any person to whom funds have been or are to be advanced by such lender on the security of such Principal Property.</w:t>
      </w:r>
    </w:p>
    <w:p>
      <w:pPr>
        <w:spacing w:after="0" w:line="5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association or other business entity of which more than 50% of the total voting power of all shares, interests, participations, rights or other equivalents (however designated) of corporate stock entitled (without regard to the occurrence of any contingency) to vote in the election of directors, managers or trustees thereof is at the time owned or controlled, directly or indirectly, by the Company or one or more of its other Subsidiaries or a combination thereof.</w:t>
      </w:r>
    </w:p>
    <w:p>
      <w:pPr>
        <w:spacing w:after="0" w:line="79" w:lineRule="exact"/>
        <w:rPr>
          <w:sz w:val="20"/>
          <w:szCs w:val="20"/>
          <w:color w:val="auto"/>
        </w:rPr>
      </w:pPr>
    </w:p>
    <w:p>
      <w:pPr>
        <w:ind w:right="260" w:firstLine="225"/>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Supplemental Indenture</w:t>
      </w:r>
      <w:r>
        <w:rPr>
          <w:rFonts w:ascii="Arial" w:cs="Arial" w:eastAsia="Arial" w:hAnsi="Arial"/>
          <w:sz w:val="16"/>
          <w:szCs w:val="16"/>
          <w:color w:val="auto"/>
        </w:rPr>
        <w:t>” means this Supplemental Indenture, dated as of the date hereof, by and between the Company and the Trustee, governing the Notes, as amended, supplemented or otherwise modified from time to time in accordance with the Base Indenture and the terms hereof.</w:t>
      </w:r>
    </w:p>
    <w:p>
      <w:pPr>
        <w:spacing w:after="0" w:line="16"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yield to maturity of the Comparable Treasury Issue. In determining this rate, the price for the Comparable Treasury Issue (expressed as a percentage of its principal amount) shall be assumed to be equal to the Comparable Treasury Price for such redemption date.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 Certificate</w:t>
      </w:r>
      <w:r>
        <w:rPr>
          <w:rFonts w:ascii="Arial" w:cs="Arial" w:eastAsia="Arial" w:hAnsi="Arial"/>
          <w:sz w:val="18"/>
          <w:szCs w:val="18"/>
          <w:color w:val="auto"/>
        </w:rPr>
        <w:t>” means a certificate signed on behalf of the Trustee by one of its duly authorized officers.</w:t>
      </w:r>
    </w:p>
    <w:p>
      <w:pPr>
        <w:spacing w:after="0" w:line="117"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i w:val="1"/>
          <w:iCs w:val="1"/>
          <w:color w:val="auto"/>
        </w:rPr>
        <w:t>Other Definitions.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vMerge w:val="restart"/>
          </w:tcPr>
          <w:p>
            <w:pPr>
              <w:spacing w:after="0"/>
              <w:rPr>
                <w:sz w:val="20"/>
                <w:szCs w:val="20"/>
                <w:color w:val="auto"/>
              </w:rPr>
            </w:pPr>
            <w:r>
              <w:rPr>
                <w:rFonts w:ascii="Arial" w:cs="Arial" w:eastAsia="Arial" w:hAnsi="Arial"/>
                <w:sz w:val="14"/>
                <w:szCs w:val="14"/>
                <w:b w:val="1"/>
                <w:bCs w:val="1"/>
                <w:color w:val="auto"/>
              </w:rPr>
              <w:t>Term</w:t>
            </w:r>
          </w:p>
        </w:tc>
        <w:tc>
          <w:tcPr>
            <w:tcW w:w="5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Defined in</w:t>
            </w:r>
          </w:p>
        </w:tc>
        <w:tc>
          <w:tcPr>
            <w:tcW w:w="0" w:type="dxa"/>
            <w:vAlign w:val="bottom"/>
          </w:tcPr>
          <w:p>
            <w:pPr>
              <w:spacing w:after="0"/>
              <w:rPr>
                <w:sz w:val="1"/>
                <w:szCs w:val="1"/>
                <w:color w:val="auto"/>
              </w:rPr>
            </w:pPr>
          </w:p>
        </w:tc>
      </w:tr>
      <w:tr>
        <w:trPr>
          <w:trHeight w:val="171"/>
        </w:trPr>
        <w:tc>
          <w:tcPr>
            <w:tcW w:w="994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Section</w:t>
            </w:r>
          </w:p>
        </w:tc>
        <w:tc>
          <w:tcPr>
            <w:tcW w:w="0" w:type="dxa"/>
            <w:vAlign w:val="bottom"/>
          </w:tcPr>
          <w:p>
            <w:pPr>
              <w:spacing w:after="0"/>
              <w:rPr>
                <w:sz w:val="1"/>
                <w:szCs w:val="1"/>
                <w:color w:val="auto"/>
              </w:rPr>
            </w:pPr>
          </w:p>
        </w:tc>
      </w:tr>
      <w:tr>
        <w:trPr>
          <w:trHeight w:val="195"/>
        </w:trPr>
        <w:tc>
          <w:tcPr>
            <w:tcW w:w="9940" w:type="dxa"/>
            <w:vAlign w:val="bottom"/>
          </w:tcPr>
          <w:p>
            <w:pPr>
              <w:spacing w:after="0" w:line="195" w:lineRule="exact"/>
              <w:rPr>
                <w:sz w:val="20"/>
                <w:szCs w:val="20"/>
                <w:color w:val="auto"/>
              </w:rPr>
            </w:pPr>
            <w:r>
              <w:rPr>
                <w:rFonts w:ascii="Arial" w:cs="Arial" w:eastAsia="Arial" w:hAnsi="Arial"/>
                <w:sz w:val="18"/>
                <w:szCs w:val="18"/>
                <w:i w:val="1"/>
                <w:iCs w:val="1"/>
                <w:color w:val="auto"/>
              </w:rPr>
              <w:t>“Change of Control Offer”</w:t>
            </w:r>
          </w:p>
        </w:tc>
        <w:tc>
          <w:tcPr>
            <w:tcW w:w="580" w:type="dxa"/>
            <w:vAlign w:val="bottom"/>
          </w:tcPr>
          <w:p>
            <w:pPr>
              <w:spacing w:after="0"/>
              <w:rPr>
                <w:sz w:val="16"/>
                <w:szCs w:val="16"/>
                <w:color w:val="auto"/>
              </w:rPr>
            </w:pPr>
          </w:p>
        </w:tc>
        <w:tc>
          <w:tcPr>
            <w:tcW w:w="900" w:type="dxa"/>
            <w:vAlign w:val="bottom"/>
          </w:tcPr>
          <w:p>
            <w:pPr>
              <w:jc w:val="center"/>
              <w:spacing w:after="0" w:line="195" w:lineRule="exact"/>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i w:val="1"/>
                <w:iCs w:val="1"/>
                <w:color w:val="auto"/>
              </w:rPr>
              <w:t>“Change of Control Payment”</w:t>
            </w:r>
          </w:p>
        </w:tc>
        <w:tc>
          <w:tcPr>
            <w:tcW w:w="1480" w:type="dxa"/>
            <w:vAlign w:val="bottom"/>
            <w:gridSpan w:val="2"/>
          </w:tcPr>
          <w:p>
            <w:pPr>
              <w:jc w:val="center"/>
              <w:ind w:left="490"/>
              <w:spacing w:after="0"/>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i w:val="1"/>
                <w:iCs w:val="1"/>
                <w:color w:val="auto"/>
              </w:rPr>
              <w:t>“Change of Control Payment Date”</w:t>
            </w:r>
          </w:p>
        </w:tc>
        <w:tc>
          <w:tcPr>
            <w:tcW w:w="1480" w:type="dxa"/>
            <w:vAlign w:val="bottom"/>
            <w:gridSpan w:val="2"/>
          </w:tcPr>
          <w:p>
            <w:pPr>
              <w:jc w:val="center"/>
              <w:ind w:left="490"/>
              <w:spacing w:after="0"/>
              <w:rPr>
                <w:sz w:val="20"/>
                <w:szCs w:val="20"/>
                <w:color w:val="auto"/>
              </w:rPr>
            </w:pPr>
            <w:r>
              <w:rPr>
                <w:rFonts w:ascii="Arial" w:cs="Arial" w:eastAsia="Arial" w:hAnsi="Arial"/>
                <w:sz w:val="18"/>
                <w:szCs w:val="18"/>
                <w:color w:val="auto"/>
                <w:w w:val="87"/>
              </w:rPr>
              <w:t>4.1</w:t>
            </w:r>
          </w:p>
        </w:tc>
        <w:tc>
          <w:tcPr>
            <w:tcW w:w="0" w:type="dxa"/>
            <w:vAlign w:val="bottom"/>
          </w:tcPr>
          <w:p>
            <w:pPr>
              <w:spacing w:after="0"/>
              <w:rPr>
                <w:sz w:val="1"/>
                <w:szCs w:val="1"/>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i w:val="1"/>
                <w:iCs w:val="1"/>
                <w:color w:val="auto"/>
              </w:rPr>
              <w:t>“Debt”</w:t>
            </w:r>
          </w:p>
        </w:tc>
        <w:tc>
          <w:tcPr>
            <w:tcW w:w="1480" w:type="dxa"/>
            <w:vAlign w:val="bottom"/>
            <w:gridSpan w:val="2"/>
          </w:tcPr>
          <w:p>
            <w:pPr>
              <w:jc w:val="center"/>
              <w:ind w:left="490"/>
              <w:spacing w:after="0"/>
              <w:rPr>
                <w:sz w:val="20"/>
                <w:szCs w:val="20"/>
                <w:color w:val="auto"/>
              </w:rPr>
            </w:pPr>
            <w:r>
              <w:rPr>
                <w:rFonts w:ascii="Arial" w:cs="Arial" w:eastAsia="Arial" w:hAnsi="Arial"/>
                <w:sz w:val="18"/>
                <w:szCs w:val="18"/>
                <w:color w:val="auto"/>
                <w:w w:val="87"/>
              </w:rPr>
              <w:t>4.2</w:t>
            </w:r>
          </w:p>
        </w:tc>
        <w:tc>
          <w:tcPr>
            <w:tcW w:w="0" w:type="dxa"/>
            <w:vAlign w:val="bottom"/>
          </w:tcPr>
          <w:p>
            <w:pPr>
              <w:spacing w:after="0"/>
              <w:rPr>
                <w:sz w:val="1"/>
                <w:szCs w:val="1"/>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i w:val="1"/>
                <w:iCs w:val="1"/>
                <w:color w:val="auto"/>
              </w:rPr>
              <w:t>“DTC”</w:t>
            </w:r>
          </w:p>
        </w:tc>
        <w:tc>
          <w:tcPr>
            <w:tcW w:w="1480" w:type="dxa"/>
            <w:vAlign w:val="bottom"/>
            <w:gridSpan w:val="2"/>
          </w:tcPr>
          <w:p>
            <w:pPr>
              <w:jc w:val="center"/>
              <w:ind w:left="490"/>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i w:val="1"/>
                <w:iCs w:val="1"/>
                <w:color w:val="auto"/>
              </w:rPr>
              <w:t>“Event of Default”</w:t>
            </w:r>
          </w:p>
        </w:tc>
        <w:tc>
          <w:tcPr>
            <w:tcW w:w="1480" w:type="dxa"/>
            <w:vAlign w:val="bottom"/>
            <w:gridSpan w:val="2"/>
          </w:tcPr>
          <w:p>
            <w:pPr>
              <w:jc w:val="center"/>
              <w:ind w:left="490"/>
              <w:spacing w:after="0"/>
              <w:rPr>
                <w:sz w:val="20"/>
                <w:szCs w:val="20"/>
                <w:color w:val="auto"/>
              </w:rPr>
            </w:pPr>
            <w:r>
              <w:rPr>
                <w:rFonts w:ascii="Arial" w:cs="Arial" w:eastAsia="Arial" w:hAnsi="Arial"/>
                <w:sz w:val="18"/>
                <w:szCs w:val="18"/>
                <w:color w:val="auto"/>
                <w:w w:val="87"/>
              </w:rPr>
              <w:t>5.1</w:t>
            </w:r>
          </w:p>
        </w:tc>
        <w:tc>
          <w:tcPr>
            <w:tcW w:w="0" w:type="dxa"/>
            <w:vAlign w:val="bottom"/>
          </w:tcPr>
          <w:p>
            <w:pPr>
              <w:spacing w:after="0"/>
              <w:rPr>
                <w:sz w:val="1"/>
                <w:szCs w:val="1"/>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i w:val="1"/>
                <w:iCs w:val="1"/>
                <w:color w:val="auto"/>
              </w:rPr>
              <w:t>“incur”</w:t>
            </w:r>
          </w:p>
        </w:tc>
        <w:tc>
          <w:tcPr>
            <w:tcW w:w="1480" w:type="dxa"/>
            <w:vAlign w:val="bottom"/>
            <w:gridSpan w:val="2"/>
          </w:tcPr>
          <w:p>
            <w:pPr>
              <w:jc w:val="center"/>
              <w:ind w:left="490"/>
              <w:spacing w:after="0"/>
              <w:rPr>
                <w:sz w:val="20"/>
                <w:szCs w:val="20"/>
                <w:color w:val="auto"/>
              </w:rPr>
            </w:pPr>
            <w:r>
              <w:rPr>
                <w:rFonts w:ascii="Arial" w:cs="Arial" w:eastAsia="Arial" w:hAnsi="Arial"/>
                <w:sz w:val="18"/>
                <w:szCs w:val="18"/>
                <w:color w:val="auto"/>
                <w:w w:val="87"/>
              </w:rPr>
              <w:t>4.2</w:t>
            </w:r>
          </w:p>
        </w:tc>
        <w:tc>
          <w:tcPr>
            <w:tcW w:w="0" w:type="dxa"/>
            <w:vAlign w:val="bottom"/>
          </w:tcPr>
          <w:p>
            <w:pPr>
              <w:spacing w:after="0"/>
              <w:rPr>
                <w:sz w:val="1"/>
                <w:szCs w:val="1"/>
                <w:color w:val="auto"/>
              </w:rPr>
            </w:pPr>
          </w:p>
        </w:tc>
      </w:tr>
      <w:tr>
        <w:trPr>
          <w:trHeight w:val="230"/>
        </w:trPr>
        <w:tc>
          <w:tcPr>
            <w:tcW w:w="9940" w:type="dxa"/>
            <w:vAlign w:val="bottom"/>
          </w:tcPr>
          <w:p>
            <w:pPr>
              <w:spacing w:after="0"/>
              <w:rPr>
                <w:sz w:val="20"/>
                <w:szCs w:val="20"/>
                <w:color w:val="auto"/>
              </w:rPr>
            </w:pPr>
            <w:r>
              <w:rPr>
                <w:rFonts w:ascii="Arial" w:cs="Arial" w:eastAsia="Arial" w:hAnsi="Arial"/>
                <w:sz w:val="18"/>
                <w:szCs w:val="18"/>
                <w:i w:val="1"/>
                <w:iCs w:val="1"/>
                <w:color w:val="auto"/>
              </w:rPr>
              <w:t>“Lien”</w:t>
            </w:r>
          </w:p>
        </w:tc>
        <w:tc>
          <w:tcPr>
            <w:tcW w:w="1480" w:type="dxa"/>
            <w:vAlign w:val="bottom"/>
            <w:gridSpan w:val="2"/>
          </w:tcPr>
          <w:p>
            <w:pPr>
              <w:jc w:val="center"/>
              <w:ind w:left="490"/>
              <w:spacing w:after="0"/>
              <w:rPr>
                <w:sz w:val="20"/>
                <w:szCs w:val="20"/>
                <w:color w:val="auto"/>
              </w:rPr>
            </w:pPr>
            <w:r>
              <w:rPr>
                <w:rFonts w:ascii="Arial" w:cs="Arial" w:eastAsia="Arial" w:hAnsi="Arial"/>
                <w:sz w:val="18"/>
                <w:szCs w:val="18"/>
                <w:color w:val="auto"/>
                <w:w w:val="87"/>
              </w:rPr>
              <w:t>4.2</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Form and Dating.</w:t>
      </w:r>
    </w:p>
    <w:p>
      <w:pPr>
        <w:spacing w:after="0" w:line="117" w:lineRule="exact"/>
        <w:rPr>
          <w:sz w:val="20"/>
          <w:szCs w:val="20"/>
          <w:color w:val="auto"/>
        </w:rPr>
      </w:pPr>
    </w:p>
    <w:p>
      <w:pPr>
        <w:ind w:right="140" w:firstLine="233"/>
        <w:spacing w:after="0" w:line="264" w:lineRule="auto"/>
        <w:tabs>
          <w:tab w:leader="none" w:pos="47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Notes and the Trustee’s certificate of authentication will be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i w:val="1"/>
          <w:iCs w:val="1"/>
          <w:color w:val="auto"/>
        </w:rPr>
        <w:t xml:space="preserve"> </w:t>
      </w:r>
      <w:r>
        <w:rPr>
          <w:rFonts w:ascii="Arial" w:cs="Arial" w:eastAsia="Arial" w:hAnsi="Arial"/>
          <w:sz w:val="18"/>
          <w:szCs w:val="18"/>
          <w:color w:val="auto"/>
        </w:rPr>
        <w:t>hereto. The Notes may have notations,</w:t>
      </w:r>
      <w:r>
        <w:rPr>
          <w:rFonts w:ascii="Arial" w:cs="Arial" w:eastAsia="Arial" w:hAnsi="Arial"/>
          <w:sz w:val="18"/>
          <w:szCs w:val="18"/>
          <w:i w:val="1"/>
          <w:iCs w:val="1"/>
          <w:color w:val="auto"/>
        </w:rPr>
        <w:t xml:space="preserve"> </w:t>
      </w:r>
      <w:r>
        <w:rPr>
          <w:rFonts w:ascii="Arial" w:cs="Arial" w:eastAsia="Arial" w:hAnsi="Arial"/>
          <w:sz w:val="18"/>
          <w:szCs w:val="18"/>
          <w:color w:val="auto"/>
        </w:rPr>
        <w:t>legends or endorsements required by law, stock exchange rule or usage. Each Note will be dated the date of its authentication. The Notes will be in denominations of $2,000 with integral multiples of $1,000 thereof.</w:t>
      </w:r>
    </w:p>
    <w:p>
      <w:pPr>
        <w:spacing w:after="0" w:line="73"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w:t>
      </w:r>
    </w:p>
    <w:p>
      <w:pPr>
        <w:spacing w:after="0" w:line="79" w:lineRule="exact"/>
        <w:rPr>
          <w:sz w:val="20"/>
          <w:szCs w:val="20"/>
          <w:color w:val="auto"/>
        </w:rPr>
      </w:pPr>
    </w:p>
    <w:p>
      <w:pPr>
        <w:ind w:right="40" w:firstLine="233"/>
        <w:spacing w:after="0" w:line="271"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Global Notes</w:t>
      </w:r>
      <w:r>
        <w:rPr>
          <w:rFonts w:ascii="Arial" w:cs="Arial" w:eastAsia="Arial" w:hAnsi="Arial"/>
          <w:sz w:val="17"/>
          <w:szCs w:val="17"/>
          <w:color w:val="auto"/>
        </w:rPr>
        <w:t>. Notes issued in global form will be substantially in the form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i w:val="1"/>
          <w:iCs w:val="1"/>
          <w:color w:val="auto"/>
        </w:rPr>
        <w:t xml:space="preserve"> </w:t>
      </w:r>
      <w:r>
        <w:rPr>
          <w:rFonts w:ascii="Arial" w:cs="Arial" w:eastAsia="Arial" w:hAnsi="Arial"/>
          <w:sz w:val="17"/>
          <w:szCs w:val="17"/>
          <w:color w:val="auto"/>
        </w:rPr>
        <w:t>attached hereto (including the Global Note Legend thereon).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Notes issued in definitive form will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(but without the Global Note Legend thereon). 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to act as Depositary with respect to the Global Notes.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Transfer and Exchange.</w:t>
      </w:r>
    </w:p>
    <w:p>
      <w:pPr>
        <w:spacing w:after="0" w:line="117" w:lineRule="exact"/>
        <w:rPr>
          <w:sz w:val="20"/>
          <w:szCs w:val="20"/>
          <w:color w:val="auto"/>
        </w:rPr>
      </w:pPr>
    </w:p>
    <w:p>
      <w:pPr>
        <w:ind w:right="80" w:firstLine="233"/>
        <w:spacing w:after="0" w:line="286" w:lineRule="auto"/>
        <w:tabs>
          <w:tab w:leader="none" w:pos="47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Transfer and Exchange of Global Notes</w:t>
      </w:r>
      <w:r>
        <w:rPr>
          <w:rFonts w:ascii="Arial" w:cs="Arial" w:eastAsia="Arial" w:hAnsi="Arial"/>
          <w:sz w:val="17"/>
          <w:szCs w:val="17"/>
          <w:color w:val="auto"/>
        </w:rPr>
        <w:t>. A Global Note may not be transferred as a whole except by the Depositary to a nominee of the Depositary, by</w:t>
      </w:r>
      <w:r>
        <w:rPr>
          <w:rFonts w:ascii="Arial" w:cs="Arial" w:eastAsia="Arial" w:hAnsi="Arial"/>
          <w:sz w:val="17"/>
          <w:szCs w:val="17"/>
          <w:i w:val="1"/>
          <w:iCs w:val="1"/>
          <w:color w:val="auto"/>
        </w:rPr>
        <w:t xml:space="preserve"> </w:t>
      </w:r>
      <w:r>
        <w:rPr>
          <w:rFonts w:ascii="Arial" w:cs="Arial" w:eastAsia="Arial" w:hAnsi="Arial"/>
          <w:sz w:val="17"/>
          <w:szCs w:val="17"/>
          <w:color w:val="auto"/>
        </w:rPr>
        <w:t>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57" w:lineRule="exact"/>
        <w:rPr>
          <w:rFonts w:ascii="Arial" w:cs="Arial" w:eastAsia="Arial" w:hAnsi="Arial"/>
          <w:sz w:val="17"/>
          <w:szCs w:val="17"/>
          <w:color w:val="auto"/>
        </w:rPr>
      </w:pPr>
    </w:p>
    <w:p>
      <w:pPr>
        <w:ind w:right="40" w:firstLine="458"/>
        <w:spacing w:after="0" w:line="264" w:lineRule="auto"/>
        <w:tabs>
          <w:tab w:leader="none" w:pos="7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 or</w:t>
      </w:r>
    </w:p>
    <w:p>
      <w:pPr>
        <w:spacing w:after="0" w:line="73" w:lineRule="exact"/>
        <w:rPr>
          <w:rFonts w:ascii="Arial" w:cs="Arial" w:eastAsia="Arial" w:hAnsi="Arial"/>
          <w:sz w:val="18"/>
          <w:szCs w:val="18"/>
          <w:color w:val="auto"/>
        </w:rPr>
      </w:pPr>
    </w:p>
    <w:p>
      <w:pPr>
        <w:ind w:right="20" w:firstLine="458"/>
        <w:spacing w:after="0" w:line="277" w:lineRule="auto"/>
        <w:tabs>
          <w:tab w:leader="none" w:pos="705"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in its sole discretion determines that the Global Notes (in whole but not in part) should be exchanged for Definitive Notes and delivers a written notice to such effect to the Trustee.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ind w:right="180" w:firstLine="225"/>
        <w:spacing w:after="0" w:line="255" w:lineRule="auto"/>
        <w:rPr>
          <w:sz w:val="20"/>
          <w:szCs w:val="20"/>
          <w:color w:val="auto"/>
        </w:rPr>
      </w:pPr>
      <w:r>
        <w:rPr>
          <w:rFonts w:ascii="Arial" w:cs="Arial" w:eastAsia="Arial" w:hAnsi="Arial"/>
          <w:sz w:val="18"/>
          <w:szCs w:val="18"/>
          <w:color w:val="auto"/>
        </w:rPr>
        <w:t>Upon the occurrence of either of the preceding events in (1) or (2) above, Definitive Notes will be issued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 Sections 2.2(b) or (f) hereof.</w:t>
      </w:r>
    </w:p>
    <w:p>
      <w:pPr>
        <w:spacing w:after="0" w:line="85" w:lineRule="exact"/>
        <w:rPr>
          <w:sz w:val="20"/>
          <w:szCs w:val="20"/>
          <w:color w:val="auto"/>
        </w:rPr>
      </w:pPr>
    </w:p>
    <w:p>
      <w:pPr>
        <w:ind w:right="380" w:firstLine="233"/>
        <w:spacing w:after="0" w:line="259"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 Notes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spacing w:after="0" w:line="78" w:lineRule="exact"/>
        <w:rPr>
          <w:rFonts w:ascii="Arial" w:cs="Arial" w:eastAsia="Arial" w:hAnsi="Arial"/>
          <w:sz w:val="18"/>
          <w:szCs w:val="18"/>
          <w:color w:val="auto"/>
        </w:rPr>
      </w:pPr>
    </w:p>
    <w:p>
      <w:pPr>
        <w:ind w:right="240" w:firstLine="458"/>
        <w:spacing w:after="0" w:line="264" w:lineRule="auto"/>
        <w:tabs>
          <w:tab w:leader="none" w:pos="705"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Global Note may be transferred to persons who take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in the form of a beneficial interest in a Global Note. No written orders or instructions will be required to be delivered to the Registrar to effect the transfers described in this Section 2.2(b)(1).</w:t>
      </w:r>
    </w:p>
    <w:p>
      <w:pPr>
        <w:spacing w:after="0" w:line="73" w:lineRule="exact"/>
        <w:rPr>
          <w:rFonts w:ascii="Arial" w:cs="Arial" w:eastAsia="Arial" w:hAnsi="Arial"/>
          <w:sz w:val="18"/>
          <w:szCs w:val="18"/>
          <w:color w:val="auto"/>
        </w:rPr>
      </w:pPr>
    </w:p>
    <w:p>
      <w:pPr>
        <w:ind w:firstLine="458"/>
        <w:spacing w:after="0" w:line="277" w:lineRule="auto"/>
        <w:tabs>
          <w:tab w:leader="none" w:pos="705"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All Other Transfers and Exchanges of Beneficial Interests in Global Notes</w:t>
      </w:r>
      <w:r>
        <w:rPr>
          <w:rFonts w:ascii="Arial" w:cs="Arial" w:eastAsia="Arial" w:hAnsi="Arial"/>
          <w:sz w:val="18"/>
          <w:szCs w:val="18"/>
          <w:color w:val="auto"/>
        </w:rPr>
        <w:t>. In connection with all transfers and exchanges of beneficial interests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subject to Section 2.2(b)(1) above, the transferor of such beneficial interest must deliver to the Registrar:</w:t>
      </w:r>
    </w:p>
    <w:p>
      <w:pPr>
        <w:spacing w:after="0" w:line="62" w:lineRule="exact"/>
        <w:rPr>
          <w:rFonts w:ascii="Arial" w:cs="Arial" w:eastAsia="Arial" w:hAnsi="Arial"/>
          <w:sz w:val="18"/>
          <w:szCs w:val="18"/>
          <w:color w:val="auto"/>
        </w:rPr>
      </w:pPr>
    </w:p>
    <w:p>
      <w:pPr>
        <w:ind w:left="240" w:right="220" w:firstLine="446"/>
        <w:spacing w:after="0" w:line="264" w:lineRule="auto"/>
        <w:tabs>
          <w:tab w:leader="none" w:pos="905"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73" w:lineRule="exact"/>
        <w:rPr>
          <w:rFonts w:ascii="Arial" w:cs="Arial" w:eastAsia="Arial" w:hAnsi="Arial"/>
          <w:sz w:val="18"/>
          <w:szCs w:val="18"/>
          <w:color w:val="auto"/>
        </w:rPr>
      </w:pPr>
    </w:p>
    <w:p>
      <w:pPr>
        <w:ind w:left="240" w:right="300" w:firstLine="446"/>
        <w:spacing w:after="0" w:line="277" w:lineRule="auto"/>
        <w:tabs>
          <w:tab w:leader="none" w:pos="955" w:val="left"/>
        </w:tabs>
        <w:numPr>
          <w:ilvl w:val="2"/>
          <w:numId w:val="34"/>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w:t>
      </w:r>
    </w:p>
    <w:p>
      <w:pPr>
        <w:spacing w:after="0" w:line="62"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Upon satisfaction of all of the requirements for transfer or exchange of beneficial interests in Global Notes contained in this Supplemental Indenture and the Notes or otherwise applicable under the Securities Act of 1933, as amended, the Trustee will adjust the principal amount of the relevant Global Note(s) pursuant to Section 2.2(f) hereof.</w:t>
      </w:r>
    </w:p>
    <w:p>
      <w:pPr>
        <w:spacing w:after="0" w:line="73" w:lineRule="exact"/>
        <w:rPr>
          <w:sz w:val="20"/>
          <w:szCs w:val="20"/>
          <w:color w:val="auto"/>
        </w:rPr>
      </w:pPr>
    </w:p>
    <w:p>
      <w:pPr>
        <w:ind w:left="480" w:hanging="247"/>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117" w:lineRule="exact"/>
        <w:rPr>
          <w:sz w:val="20"/>
          <w:szCs w:val="20"/>
          <w:color w:val="auto"/>
        </w:rPr>
      </w:pPr>
    </w:p>
    <w:p>
      <w:pPr>
        <w:jc w:val="both"/>
        <w:ind w:right="200" w:firstLine="215"/>
        <w:spacing w:after="0" w:line="286" w:lineRule="auto"/>
        <w:rPr>
          <w:sz w:val="20"/>
          <w:szCs w:val="20"/>
          <w:color w:val="auto"/>
        </w:rPr>
      </w:pPr>
      <w:r>
        <w:rPr>
          <w:rFonts w:ascii="Arial" w:cs="Arial" w:eastAsia="Arial" w:hAnsi="Arial"/>
          <w:sz w:val="17"/>
          <w:szCs w:val="17"/>
          <w:color w:val="auto"/>
        </w:rPr>
        <w:t>A Holder of a Definitive Note may exchange such Note for a beneficial interest in a Global Note or transfer such Definitive Notes to a person who takes delivery thereof in the form of a beneficial interest in a Global Note at any time. Upon receipt of a request for such an exchange or transfer, the Trustee will cancel the applicable Definitive Note and increase or cause to be increased the aggregate principal amount of one of the Global Notes.</w:t>
      </w:r>
    </w:p>
    <w:p>
      <w:pPr>
        <w:spacing w:after="0" w:line="5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If any such exchange or transfer from a Definitive Note to a beneficial interest is effected pursuant to the previous paragraph at a time when a Global Note has not yet been issued, the Company will issue and, upon receipt of the Company’s order, the Trustee will authenticate one or more Global Notes in an aggregate principal amount equal to the principal amount of Definitive Notes so transferred.</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Holder of Definitive Notes may transfer such Notes to a person who takes delivery thereof in the form of a Definitive Note.</w:t>
      </w:r>
    </w:p>
    <w:p>
      <w:pPr>
        <w:spacing w:after="0" w:line="117" w:lineRule="exact"/>
        <w:rPr>
          <w:sz w:val="20"/>
          <w:szCs w:val="20"/>
          <w:color w:val="auto"/>
        </w:rPr>
      </w:pPr>
    </w:p>
    <w:p>
      <w:pPr>
        <w:ind w:right="40" w:firstLine="233"/>
        <w:spacing w:after="0" w:line="286" w:lineRule="auto"/>
        <w:tabs>
          <w:tab w:leader="none" w:pos="48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Transfer and Exchange of Definitive Notes for Definitive Notes</w:t>
      </w:r>
      <w:r>
        <w:rPr>
          <w:rFonts w:ascii="Arial" w:cs="Arial" w:eastAsia="Arial" w:hAnsi="Arial"/>
          <w:sz w:val="17"/>
          <w:szCs w:val="17"/>
          <w:color w:val="auto"/>
        </w:rPr>
        <w:t>. Upon request by a Holder of Definitive Notes and such Holder’s compliance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4" w:name="page35"/>
    <w:bookmarkEnd w:id="34"/>
    <w:p>
      <w:pPr>
        <w:ind w:right="280"/>
        <w:spacing w:after="0" w:line="277" w:lineRule="auto"/>
        <w:rPr>
          <w:sz w:val="20"/>
          <w:szCs w:val="20"/>
          <w:color w:val="auto"/>
        </w:rPr>
      </w:pPr>
      <w:r>
        <w:rPr>
          <w:rFonts w:ascii="Arial" w:cs="Arial" w:eastAsia="Arial" w:hAnsi="Arial"/>
          <w:sz w:val="18"/>
          <w:szCs w:val="18"/>
          <w:color w:val="auto"/>
        </w:rPr>
        <w:t>transfer in form satisfactory to the Registrar duly executed by such Holder or by his attorney, duly authorized in writing. In addition, the requesting Holder will provide any additional required certifications, documents and information, as applicable.</w:t>
      </w:r>
    </w:p>
    <w:p>
      <w:pPr>
        <w:spacing w:after="0" w:line="62" w:lineRule="exact"/>
        <w:rPr>
          <w:sz w:val="20"/>
          <w:szCs w:val="20"/>
          <w:color w:val="auto"/>
        </w:rPr>
      </w:pPr>
    </w:p>
    <w:p>
      <w:pPr>
        <w:ind w:right="660" w:firstLine="233"/>
        <w:spacing w:after="0" w:line="277" w:lineRule="auto"/>
        <w:tabs>
          <w:tab w:leader="none" w:pos="47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The following legends will appear on the face of all Global Notes issued under this Supplemental Indenture unless specifically stated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in the applicable provisions of this Supplemental Indenture.</w:t>
      </w:r>
    </w:p>
    <w:p>
      <w:pPr>
        <w:spacing w:after="0" w:line="62" w:lineRule="exact"/>
        <w:rPr>
          <w:sz w:val="20"/>
          <w:szCs w:val="20"/>
          <w:color w:val="auto"/>
        </w:rPr>
      </w:pPr>
    </w:p>
    <w:p>
      <w:pPr>
        <w:ind w:right="80" w:firstLine="225"/>
        <w:spacing w:after="0" w:line="254" w:lineRule="auto"/>
        <w:rPr>
          <w:sz w:val="20"/>
          <w:szCs w:val="20"/>
          <w:color w:val="auto"/>
        </w:rPr>
      </w:pPr>
      <w:r>
        <w:rPr>
          <w:rFonts w:ascii="Arial" w:cs="Arial" w:eastAsia="Arial" w:hAnsi="Arial"/>
          <w:sz w:val="18"/>
          <w:szCs w:val="18"/>
          <w:color w:val="auto"/>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84" w:lineRule="exact"/>
        <w:rPr>
          <w:sz w:val="20"/>
          <w:szCs w:val="20"/>
          <w:color w:val="auto"/>
        </w:rPr>
      </w:pPr>
    </w:p>
    <w:p>
      <w:pPr>
        <w:ind w:firstLine="222"/>
        <w:spacing w:after="0" w:line="252" w:lineRule="auto"/>
        <w:rPr>
          <w:sz w:val="20"/>
          <w:szCs w:val="20"/>
          <w:color w:val="auto"/>
        </w:rPr>
      </w:pPr>
      <w:r>
        <w:rPr>
          <w:rFonts w:ascii="Arial" w:cs="Arial" w:eastAsia="Arial" w:hAnsi="Arial"/>
          <w:sz w:val="18"/>
          <w:szCs w:val="18"/>
          <w:color w:val="auto"/>
        </w:rPr>
        <w:t>THIS GLOBAL NOTE IS A GLOBAL NOTE WITHIN THE MEANING OF THE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92" w:lineRule="exact"/>
        <w:rPr>
          <w:sz w:val="20"/>
          <w:szCs w:val="20"/>
          <w:color w:val="auto"/>
        </w:rPr>
      </w:pPr>
    </w:p>
    <w:p>
      <w:pPr>
        <w:ind w:firstLine="233"/>
        <w:spacing w:after="0" w:line="290" w:lineRule="auto"/>
        <w:tabs>
          <w:tab w:leader="none" w:pos="45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Cancellation and/or Adjustment of Global Notes</w:t>
      </w:r>
      <w:r>
        <w:rPr>
          <w:rFonts w:ascii="Arial" w:cs="Arial" w:eastAsia="Arial" w:hAnsi="Arial"/>
          <w:sz w:val="16"/>
          <w:szCs w:val="16"/>
          <w:color w:val="auto"/>
        </w:rPr>
        <w:t>. At such time as all beneficial interests in a particular Global Note have been exchanged for Definitive</w:t>
      </w:r>
      <w:r>
        <w:rPr>
          <w:rFonts w:ascii="Arial" w:cs="Arial" w:eastAsia="Arial" w:hAnsi="Arial"/>
          <w:sz w:val="16"/>
          <w:szCs w:val="16"/>
          <w:i w:val="1"/>
          <w:iCs w:val="1"/>
          <w:color w:val="auto"/>
        </w:rPr>
        <w:t xml:space="preserve"> </w:t>
      </w:r>
      <w:r>
        <w:rPr>
          <w:rFonts w:ascii="Arial" w:cs="Arial" w:eastAsia="Arial" w:hAnsi="Arial"/>
          <w:sz w:val="16"/>
          <w:szCs w:val="16"/>
          <w:color w:val="auto"/>
        </w:rPr>
        <w:t>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58" w:lineRule="exact"/>
        <w:rPr>
          <w:rFonts w:ascii="Arial" w:cs="Arial" w:eastAsia="Arial" w:hAnsi="Arial"/>
          <w:sz w:val="16"/>
          <w:szCs w:val="16"/>
          <w:color w:val="auto"/>
        </w:rPr>
      </w:pPr>
    </w:p>
    <w:p>
      <w:pPr>
        <w:ind w:left="480" w:hanging="247"/>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20" w:firstLine="458"/>
        <w:spacing w:after="0" w:line="277" w:lineRule="auto"/>
        <w:tabs>
          <w:tab w:leader="none" w:pos="702"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Definitive Notes upon the Company’s order or at the Registrar’s request.</w:t>
      </w:r>
    </w:p>
    <w:p>
      <w:pPr>
        <w:spacing w:after="0" w:line="62" w:lineRule="exact"/>
        <w:rPr>
          <w:rFonts w:ascii="Arial" w:cs="Arial" w:eastAsia="Arial" w:hAnsi="Arial"/>
          <w:sz w:val="18"/>
          <w:szCs w:val="18"/>
          <w:color w:val="auto"/>
        </w:rPr>
      </w:pPr>
    </w:p>
    <w:p>
      <w:pPr>
        <w:ind w:right="580" w:firstLine="458"/>
        <w:spacing w:after="0" w:line="264" w:lineRule="auto"/>
        <w:tabs>
          <w:tab w:leader="none" w:pos="705"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such transfer taxes or similar governmental charge payable upon exchange or transfer pursuant to Sections 2.11, 3.6 and 9.6 of the Base Indenture).</w:t>
      </w:r>
    </w:p>
    <w:p>
      <w:pPr>
        <w:spacing w:after="0" w:line="129" w:lineRule="exact"/>
        <w:rPr>
          <w:sz w:val="20"/>
          <w:szCs w:val="20"/>
          <w:color w:val="auto"/>
        </w:rPr>
      </w:pPr>
    </w:p>
    <w:p>
      <w:pPr>
        <w:ind w:right="840" w:firstLine="458"/>
        <w:spacing w:after="0" w:line="277" w:lineRule="auto"/>
        <w:tabs>
          <w:tab w:leader="none" w:pos="7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any Note selected for redemption in whole or in part, except the unredeemed portion of any Note being redeemed in part.</w:t>
      </w:r>
    </w:p>
    <w:p>
      <w:pPr>
        <w:spacing w:after="0" w:line="62" w:lineRule="exact"/>
        <w:rPr>
          <w:rFonts w:ascii="Arial" w:cs="Arial" w:eastAsia="Arial" w:hAnsi="Arial"/>
          <w:sz w:val="18"/>
          <w:szCs w:val="18"/>
          <w:color w:val="auto"/>
        </w:rPr>
      </w:pPr>
    </w:p>
    <w:p>
      <w:pPr>
        <w:ind w:right="40" w:firstLine="458"/>
        <w:spacing w:after="0" w:line="264"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spacing w:after="0" w:line="73" w:lineRule="exact"/>
        <w:rPr>
          <w:rFonts w:ascii="Arial" w:cs="Arial" w:eastAsia="Arial" w:hAnsi="Arial"/>
          <w:sz w:val="18"/>
          <w:szCs w:val="18"/>
          <w:color w:val="auto"/>
        </w:rPr>
      </w:pPr>
    </w:p>
    <w:p>
      <w:pPr>
        <w:ind w:left="700" w:hanging="242"/>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will not be required:</w:t>
      </w:r>
    </w:p>
    <w:p>
      <w:pPr>
        <w:spacing w:after="0" w:line="117" w:lineRule="exact"/>
        <w:rPr>
          <w:rFonts w:ascii="Arial" w:cs="Arial" w:eastAsia="Arial" w:hAnsi="Arial"/>
          <w:sz w:val="18"/>
          <w:szCs w:val="18"/>
          <w:color w:val="auto"/>
        </w:rPr>
      </w:pPr>
    </w:p>
    <w:p>
      <w:pPr>
        <w:ind w:left="240" w:right="220" w:firstLine="446"/>
        <w:spacing w:after="0" w:line="277" w:lineRule="auto"/>
        <w:tabs>
          <w:tab w:leader="none" w:pos="90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issue, to register the transfer of or to exchange any Notes during a period of 15 days before the day of any selection of Notes for redemption under Section 3.2 of the Base Indenture and ending at the close of business on the day of selection;</w:t>
      </w:r>
    </w:p>
    <w:p>
      <w:pPr>
        <w:spacing w:after="0" w:line="62" w:lineRule="exact"/>
        <w:rPr>
          <w:rFonts w:ascii="Arial" w:cs="Arial" w:eastAsia="Arial" w:hAnsi="Arial"/>
          <w:sz w:val="18"/>
          <w:szCs w:val="18"/>
          <w:color w:val="auto"/>
        </w:rPr>
      </w:pPr>
    </w:p>
    <w:p>
      <w:pPr>
        <w:ind w:left="240" w:right="320" w:firstLine="446"/>
        <w:spacing w:after="0" w:line="277" w:lineRule="auto"/>
        <w:tabs>
          <w:tab w:leader="none" w:pos="95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register the transfer of or to exchange any Note so selected for redemption in whole or in part, except the unredeemed portion of any Note being redeemed in part; or</w:t>
      </w:r>
    </w:p>
    <w:p>
      <w:pPr>
        <w:spacing w:after="0" w:line="62" w:lineRule="exact"/>
        <w:rPr>
          <w:rFonts w:ascii="Arial" w:cs="Arial" w:eastAsia="Arial" w:hAnsi="Arial"/>
          <w:sz w:val="18"/>
          <w:szCs w:val="18"/>
          <w:color w:val="auto"/>
        </w:rPr>
      </w:pPr>
    </w:p>
    <w:p>
      <w:pPr>
        <w:ind w:left="1000" w:hanging="314"/>
        <w:spacing w:after="0"/>
        <w:tabs>
          <w:tab w:leader="none" w:pos="10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register the transfer of or to exchange a Note between a record date and the next succeeding interest payment date.</w:t>
      </w:r>
    </w:p>
    <w:p>
      <w:pPr>
        <w:spacing w:after="0" w:line="117" w:lineRule="exact"/>
        <w:rPr>
          <w:rFonts w:ascii="Arial" w:cs="Arial" w:eastAsia="Arial" w:hAnsi="Arial"/>
          <w:sz w:val="18"/>
          <w:szCs w:val="18"/>
          <w:color w:val="auto"/>
        </w:rPr>
      </w:pPr>
    </w:p>
    <w:p>
      <w:pPr>
        <w:ind w:firstLine="458"/>
        <w:spacing w:after="0" w:line="286" w:lineRule="auto"/>
        <w:tabs>
          <w:tab w:leader="none" w:pos="705"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will be affected by notice to the contrary.</w:t>
      </w:r>
    </w:p>
    <w:p>
      <w:pPr>
        <w:spacing w:after="0" w:line="57" w:lineRule="exact"/>
        <w:rPr>
          <w:rFonts w:ascii="Arial" w:cs="Arial" w:eastAsia="Arial" w:hAnsi="Arial"/>
          <w:sz w:val="17"/>
          <w:szCs w:val="17"/>
          <w:color w:val="auto"/>
        </w:rPr>
      </w:pPr>
    </w:p>
    <w:p>
      <w:pPr>
        <w:ind w:left="700" w:hanging="242"/>
        <w:spacing w:after="0"/>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Trustee will authenticate Global Notes and Definitive Notes in accordance with the provisions of Section 2.3 of the Base Indenture.</w:t>
      </w:r>
    </w:p>
    <w:p>
      <w:pPr>
        <w:spacing w:after="0" w:line="128" w:lineRule="exact"/>
        <w:rPr>
          <w:rFonts w:ascii="Arial" w:cs="Arial" w:eastAsia="Arial" w:hAnsi="Arial"/>
          <w:sz w:val="17"/>
          <w:szCs w:val="17"/>
          <w:color w:val="auto"/>
        </w:rPr>
      </w:pPr>
    </w:p>
    <w:p>
      <w:pPr>
        <w:ind w:right="120" w:firstLine="458"/>
        <w:spacing w:after="0" w:line="264" w:lineRule="auto"/>
        <w:tabs>
          <w:tab w:leader="none" w:pos="70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will deliver one or more Trustee Certificates in a form reasonably acceptable to the Company certifying, among other things, pursuant to Section 2.3 of the Base Indenture, that the Notes have been authenticated and have been made available for delivery and the corporate governance documents and incumbency of signing officers of the Trustee as of the date hereof.</w:t>
      </w:r>
    </w:p>
    <w:p>
      <w:pPr>
        <w:spacing w:after="0" w:line="73" w:lineRule="exact"/>
        <w:rPr>
          <w:rFonts w:ascii="Arial" w:cs="Arial" w:eastAsia="Arial" w:hAnsi="Arial"/>
          <w:sz w:val="18"/>
          <w:szCs w:val="18"/>
          <w:color w:val="auto"/>
        </w:rPr>
      </w:pPr>
    </w:p>
    <w:p>
      <w:pPr>
        <w:ind w:right="160" w:firstLine="458"/>
        <w:spacing w:after="0" w:line="277"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certifications, certificates and Opinions of Counsel required to be submitted to the Registrar pursuant to this Section 2.2 to effect a registration of transfer or exchange may be submitted by facsimile.</w:t>
      </w:r>
    </w:p>
    <w:p>
      <w:pPr>
        <w:spacing w:after="0" w:line="62" w:lineRule="exact"/>
        <w:rPr>
          <w:rFonts w:ascii="Arial" w:cs="Arial" w:eastAsia="Arial" w:hAnsi="Arial"/>
          <w:sz w:val="18"/>
          <w:szCs w:val="18"/>
          <w:color w:val="auto"/>
        </w:rPr>
      </w:pPr>
    </w:p>
    <w:p>
      <w:pPr>
        <w:jc w:val="both"/>
        <w:ind w:right="40" w:firstLine="458"/>
        <w:spacing w:after="0" w:line="279" w:lineRule="auto"/>
        <w:tabs>
          <w:tab w:leader="none" w:pos="792"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63" w:lineRule="exact"/>
        <w:rPr>
          <w:rFonts w:ascii="Arial" w:cs="Arial" w:eastAsia="Arial" w:hAnsi="Arial"/>
          <w:sz w:val="17"/>
          <w:szCs w:val="17"/>
          <w:color w:val="auto"/>
        </w:rPr>
      </w:pPr>
    </w:p>
    <w:p>
      <w:pPr>
        <w:ind w:left="800" w:hanging="342"/>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Trustee nor any Agent shall have any responsibility for any actions taken or not taken by the Depositary.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Issuance of Additional Notes.</w:t>
      </w:r>
    </w:p>
    <w:p>
      <w:pPr>
        <w:spacing w:after="0" w:line="117" w:lineRule="exact"/>
        <w:rPr>
          <w:sz w:val="20"/>
          <w:szCs w:val="20"/>
          <w:color w:val="auto"/>
        </w:rPr>
      </w:pPr>
    </w:p>
    <w:p>
      <w:pPr>
        <w:jc w:val="both"/>
        <w:ind w:right="280" w:firstLine="222"/>
        <w:spacing w:after="0" w:line="264" w:lineRule="auto"/>
        <w:rPr>
          <w:sz w:val="20"/>
          <w:szCs w:val="20"/>
          <w:color w:val="auto"/>
        </w:rPr>
      </w:pPr>
      <w:r>
        <w:rPr>
          <w:rFonts w:ascii="Arial" w:cs="Arial" w:eastAsia="Arial" w:hAnsi="Arial"/>
          <w:sz w:val="18"/>
          <w:szCs w:val="18"/>
          <w:color w:val="auto"/>
        </w:rPr>
        <w:t>The Company will be entitled, upon delivery of an Officer’s Certificate and an Opinion of Counsel, to issue Additional Notes under this Supplemental Indenture which will have identical terms as the Initial Notes issued on the date hereof, other than with respect to the date of issuance and issue price. The Initial Notes issued on the date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hereof and any Additional Notes issued will be treated as a single class for all purposes under this Supplemental Indenture.</w:t>
      </w:r>
    </w:p>
    <w:p>
      <w:pPr>
        <w:spacing w:after="0" w:line="11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With respect to any Additional Notes, the Company will set forth in a resolution of its Board of Directors (or a duly authorized committee thereof) or of a designee thereof and an Officers’ Certificate, a copy of each which will be delivered to the Trustee, the following information:</w:t>
      </w:r>
    </w:p>
    <w:p>
      <w:pPr>
        <w:spacing w:after="0" w:line="62" w:lineRule="exact"/>
        <w:rPr>
          <w:sz w:val="20"/>
          <w:szCs w:val="20"/>
          <w:color w:val="auto"/>
        </w:rPr>
      </w:pPr>
    </w:p>
    <w:p>
      <w:pPr>
        <w:ind w:left="480" w:hanging="247"/>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aggregate principal amount of such Additional Notes to be authenticated and delivered pursuant to this Supplemental Indenture; and</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issue price, the issue date and the CUSIP number of such Additional Notes.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Optional Redemption.</w:t>
      </w:r>
    </w:p>
    <w:p>
      <w:pPr>
        <w:spacing w:after="0" w:line="117"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Notes are redeemable at the option of the Company, at any time or from time to time, either in whole or in part, at a redemption price equal to the greater of the following amounts, plus, in each case, accrued and unpaid interest thereon to the redemption date:</w:t>
      </w:r>
    </w:p>
    <w:p>
      <w:pPr>
        <w:spacing w:after="0" w:line="62" w:lineRule="exact"/>
        <w:rPr>
          <w:sz w:val="20"/>
          <w:szCs w:val="20"/>
          <w:color w:val="auto"/>
        </w:rPr>
      </w:pPr>
    </w:p>
    <w:p>
      <w:pPr>
        <w:ind w:left="680" w:hanging="222"/>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w:t>
      </w:r>
    </w:p>
    <w:p>
      <w:pPr>
        <w:spacing w:after="0" w:line="117"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In determining the present values of the Remaining Scheduled Payments, such payments shall be discounted to the redemption date on a semi-annual basis (assuming a 360-day year consisting of twelve 30-day months) using a discount rate equal to the Treasury Rate plus 37.5 basis points.</w:t>
      </w:r>
    </w:p>
    <w:p>
      <w:pPr>
        <w:spacing w:after="0" w:line="38"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Calculation of the foregoing shall be made by the Company or on the Company’s behalf by such person as the Company shall designate; provided, however, that such calculation shall not be a duty or obligation of the Trustee.</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Notes or portions thereof called for redemption.</w:t>
      </w:r>
    </w:p>
    <w:p>
      <w:pPr>
        <w:spacing w:after="0" w:line="62"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 partial redemption of the Notes may be effected by such method as the Trustee shall deem fair and appropriate and may provide for the selection for redemption of a portion of the principal amount of the Notes equal to an authorized denomination.</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No Notes of $2,000 or less can be redeemed in part. Notes in denominations larger than $2,000 may be redeemed in part but only in whole multiples of $1,000, unless all of the Notes held by a Holder are to be redeemed.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Mandatory Redemption.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is not required to make any mandatory redemption or sinking fund payments with respect to the Notes.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PARTICULAR COVENANTS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Offer to Purchase Upon Change of Control Triggering Event.</w:t>
      </w:r>
    </w:p>
    <w:p>
      <w:pPr>
        <w:spacing w:after="0" w:line="117" w:lineRule="exact"/>
        <w:rPr>
          <w:sz w:val="20"/>
          <w:szCs w:val="20"/>
          <w:color w:val="auto"/>
        </w:rPr>
      </w:pPr>
    </w:p>
    <w:p>
      <w:pPr>
        <w:jc w:val="both"/>
        <w:ind w:firstLine="233"/>
        <w:spacing w:after="0" w:line="264" w:lineRule="auto"/>
        <w:tabs>
          <w:tab w:leader="none" w:pos="4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 Change of Control Triggering Event occurs, unless the Company has exercised its option to redeem the Notes or has defeased the Notes or satisfied and discharged the Notes, the Company shall be required to make an offer (a “</w:t>
      </w:r>
      <w:r>
        <w:rPr>
          <w:rFonts w:ascii="Arial" w:cs="Arial" w:eastAsia="Arial" w:hAnsi="Arial"/>
          <w:sz w:val="18"/>
          <w:szCs w:val="18"/>
          <w:b w:val="1"/>
          <w:bCs w:val="1"/>
          <w:i w:val="1"/>
          <w:iCs w:val="1"/>
          <w:color w:val="auto"/>
        </w:rPr>
        <w:t>Change of Control Offer</w:t>
      </w:r>
      <w:r>
        <w:rPr>
          <w:rFonts w:ascii="Arial" w:cs="Arial" w:eastAsia="Arial" w:hAnsi="Arial"/>
          <w:sz w:val="18"/>
          <w:szCs w:val="18"/>
          <w:color w:val="auto"/>
        </w:rPr>
        <w:t>”) to each Holder of the Notes to repurchase all or any part (equal to $2,000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7" w:name="page38"/>
    <w:bookmarkEnd w:id="37"/>
    <w:p>
      <w:pPr>
        <w:ind w:right="40"/>
        <w:spacing w:after="0" w:line="290" w:lineRule="auto"/>
        <w:rPr>
          <w:sz w:val="20"/>
          <w:szCs w:val="20"/>
          <w:color w:val="auto"/>
        </w:rPr>
      </w:pPr>
      <w:r>
        <w:rPr>
          <w:rFonts w:ascii="Arial" w:cs="Arial" w:eastAsia="Arial" w:hAnsi="Arial"/>
          <w:sz w:val="16"/>
          <w:szCs w:val="16"/>
          <w:color w:val="auto"/>
        </w:rPr>
        <w:t>in integral multiples of $1,000 in excess thereof) of that Holder’s Notes pursuant to the offer set forth below. In a Change of Control Offer, the Company shall be required to offer payment in cash equal to 101% of the aggregate principal amount of the Notes repurchased, plus accrued and unpaid interest, if any, on the Notes repurchased to the date of repurchase (a “</w:t>
      </w:r>
      <w:r>
        <w:rPr>
          <w:rFonts w:ascii="Arial" w:cs="Arial" w:eastAsia="Arial" w:hAnsi="Arial"/>
          <w:sz w:val="16"/>
          <w:szCs w:val="16"/>
          <w:b w:val="1"/>
          <w:bCs w:val="1"/>
          <w:i w:val="1"/>
          <w:iCs w:val="1"/>
          <w:color w:val="auto"/>
        </w:rPr>
        <w:t>Change of Control Payment</w:t>
      </w:r>
      <w:r>
        <w:rPr>
          <w:rFonts w:ascii="Arial" w:cs="Arial" w:eastAsia="Arial" w:hAnsi="Arial"/>
          <w:sz w:val="16"/>
          <w:szCs w:val="16"/>
          <w:color w:val="auto"/>
        </w:rPr>
        <w:t>”). Within 30 days following any Change of Control Triggering Event or, at the Company’s option, prior to any Change of Control, but after public announcement of the transaction that constitutes or may constitute the Change of Control, a notice shall be mailed to Holders of the Notes describing the transaction that constitutes or may constitute the Change of Control Triggering Event and offering to repurchase such Notes on the date specified in the notice, which date shall be no earlier than 30 days and no later than 60 days from the date such notice is mailed (a “</w:t>
      </w:r>
      <w:r>
        <w:rPr>
          <w:rFonts w:ascii="Arial" w:cs="Arial" w:eastAsia="Arial" w:hAnsi="Arial"/>
          <w:sz w:val="16"/>
          <w:szCs w:val="16"/>
          <w:b w:val="1"/>
          <w:bCs w:val="1"/>
          <w:i w:val="1"/>
          <w:iCs w:val="1"/>
          <w:color w:val="auto"/>
        </w:rPr>
        <w:t>Change of Control Payment Date</w:t>
      </w:r>
      <w:r>
        <w:rPr>
          <w:rFonts w:ascii="Arial" w:cs="Arial" w:eastAsia="Arial" w:hAnsi="Arial"/>
          <w:sz w:val="16"/>
          <w:szCs w:val="16"/>
          <w:color w:val="auto"/>
        </w:rPr>
        <w:t>”). The notice shall, if mailed prior to the date of consummation of the Change of Control, state that the offer to purchase is conditioned on the Change of Control Triggering Event occurring on or prior to the Change of Control Payment Date.</w:t>
      </w:r>
    </w:p>
    <w:p>
      <w:pPr>
        <w:spacing w:after="0" w:line="58" w:lineRule="exact"/>
        <w:rPr>
          <w:sz w:val="20"/>
          <w:szCs w:val="20"/>
          <w:color w:val="auto"/>
        </w:rPr>
      </w:pPr>
    </w:p>
    <w:p>
      <w:pPr>
        <w:ind w:left="480" w:hanging="247"/>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notice shall also state:</w:t>
      </w:r>
    </w:p>
    <w:p>
      <w:pPr>
        <w:spacing w:after="0" w:line="117" w:lineRule="exact"/>
        <w:rPr>
          <w:rFonts w:ascii="Arial" w:cs="Arial" w:eastAsia="Arial" w:hAnsi="Arial"/>
          <w:sz w:val="18"/>
          <w:szCs w:val="18"/>
          <w:color w:val="auto"/>
        </w:rPr>
      </w:pPr>
    </w:p>
    <w:p>
      <w:pPr>
        <w:ind w:right="780" w:firstLine="458"/>
        <w:spacing w:after="0" w:line="277" w:lineRule="auto"/>
        <w:tabs>
          <w:tab w:leader="none" w:pos="7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that the Change of Control Offer is being made pursuant to this Section 4.1 and that all Notes or portion of Notes validly tendered and not withdrawn will be accepted for payment;</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Change of Control Payment and the Change of Control Payment Date;</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that any Note not tendered will continue to accrue interest;</w:t>
      </w:r>
    </w:p>
    <w:p>
      <w:pPr>
        <w:spacing w:after="0" w:line="117" w:lineRule="exact"/>
        <w:rPr>
          <w:rFonts w:ascii="Arial" w:cs="Arial" w:eastAsia="Arial" w:hAnsi="Arial"/>
          <w:sz w:val="18"/>
          <w:szCs w:val="18"/>
          <w:color w:val="auto"/>
        </w:rPr>
      </w:pPr>
    </w:p>
    <w:p>
      <w:pPr>
        <w:ind w:right="40" w:firstLine="458"/>
        <w:spacing w:after="0" w:line="264" w:lineRule="auto"/>
        <w:tabs>
          <w:tab w:leader="none" w:pos="7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that any Note accepted for payment pursuant to the Change of Control Offer shall cease to accrue interest after the Change of Control Payment Date unless the Company shall default in the payment of the Change of Control Payment of the Notes and the only remaining right of the Holder is to receive payment of the Change of Control Payment upon surrender of the Notes to the Paying Agent;</w:t>
      </w:r>
    </w:p>
    <w:p>
      <w:pPr>
        <w:spacing w:after="0" w:line="73" w:lineRule="exact"/>
        <w:rPr>
          <w:rFonts w:ascii="Arial" w:cs="Arial" w:eastAsia="Arial" w:hAnsi="Arial"/>
          <w:sz w:val="18"/>
          <w:szCs w:val="18"/>
          <w:color w:val="auto"/>
        </w:rPr>
      </w:pPr>
    </w:p>
    <w:p>
      <w:pPr>
        <w:ind w:right="60" w:firstLine="458"/>
        <w:spacing w:after="0" w:line="277" w:lineRule="auto"/>
        <w:tabs>
          <w:tab w:leader="none" w:pos="7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that Holders electing to have a portion of a Note purchased pursuant to a Change of Control Offer may only elect to have such Note purchased as to $2,000 and integral multiples of $1,000 in excess thereof;</w:t>
      </w:r>
    </w:p>
    <w:p>
      <w:pPr>
        <w:spacing w:after="0" w:line="62" w:lineRule="exact"/>
        <w:rPr>
          <w:rFonts w:ascii="Arial" w:cs="Arial" w:eastAsia="Arial" w:hAnsi="Arial"/>
          <w:sz w:val="18"/>
          <w:szCs w:val="18"/>
          <w:color w:val="auto"/>
        </w:rPr>
      </w:pPr>
    </w:p>
    <w:p>
      <w:pPr>
        <w:jc w:val="both"/>
        <w:ind w:firstLine="458"/>
        <w:spacing w:after="0" w:line="286" w:lineRule="auto"/>
        <w:tabs>
          <w:tab w:leader="none" w:pos="705"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that if a Holder elects to have a Note purchased pursuant to the Change of Control Offer such Holder will be required to surrender the Note, with the form entitled “Option of Holder to Elect Purchase” on the reverse of the Note completed, or transfer by book-entry transfer, to the Paying Agent at the address specified in the notice prior to the close of business on the third Business Day prior to the Change of Control Payment Date;</w:t>
      </w:r>
    </w:p>
    <w:p>
      <w:pPr>
        <w:spacing w:after="0" w:line="57" w:lineRule="exact"/>
        <w:rPr>
          <w:rFonts w:ascii="Arial" w:cs="Arial" w:eastAsia="Arial" w:hAnsi="Arial"/>
          <w:sz w:val="17"/>
          <w:szCs w:val="17"/>
          <w:color w:val="auto"/>
        </w:rPr>
      </w:pPr>
    </w:p>
    <w:p>
      <w:pPr>
        <w:ind w:right="220" w:firstLine="458"/>
        <w:spacing w:after="0" w:line="286" w:lineRule="auto"/>
        <w:tabs>
          <w:tab w:leader="none" w:pos="705"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that a Holder will be entitled to withdraw its election if the Company receives, not later than the close of business on the third Business Day preceding the Change of Control Payment Date, a facsimile transmission or letter setting forth the name of such Holder, the principal amount of Notes such Holder delivered for purchase, and a statement that such Holder is withdrawing its election to have such Note purchased; and</w:t>
      </w:r>
    </w:p>
    <w:p>
      <w:pPr>
        <w:spacing w:after="0" w:line="57" w:lineRule="exact"/>
        <w:rPr>
          <w:rFonts w:ascii="Arial" w:cs="Arial" w:eastAsia="Arial" w:hAnsi="Arial"/>
          <w:sz w:val="17"/>
          <w:szCs w:val="17"/>
          <w:color w:val="auto"/>
        </w:rPr>
      </w:pPr>
    </w:p>
    <w:p>
      <w:pPr>
        <w:ind w:right="220" w:firstLine="458"/>
        <w:spacing w:after="0" w:line="277" w:lineRule="auto"/>
        <w:tabs>
          <w:tab w:leader="none" w:pos="7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that if Notes are purchased only in part by the Company, a new Note of the same type will be issued in principal amount equal to the unpurchased portion of the Notes surrendered.</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accept for payment all Notes or portions of such Notes properly tendered pursuant to the Change of Control Offer;</w:t>
      </w:r>
    </w:p>
    <w:p>
      <w:pPr>
        <w:spacing w:after="0" w:line="117" w:lineRule="exact"/>
        <w:rPr>
          <w:rFonts w:ascii="Arial" w:cs="Arial" w:eastAsia="Arial" w:hAnsi="Arial"/>
          <w:sz w:val="18"/>
          <w:szCs w:val="18"/>
          <w:color w:val="auto"/>
        </w:rPr>
      </w:pPr>
    </w:p>
    <w:p>
      <w:pPr>
        <w:ind w:right="640" w:firstLine="458"/>
        <w:spacing w:after="0" w:line="277" w:lineRule="auto"/>
        <w:tabs>
          <w:tab w:leader="none" w:pos="7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such Notes properly tendered; and</w:t>
      </w:r>
    </w:p>
    <w:p>
      <w:pPr>
        <w:spacing w:after="0" w:line="62" w:lineRule="exact"/>
        <w:rPr>
          <w:rFonts w:ascii="Arial" w:cs="Arial" w:eastAsia="Arial" w:hAnsi="Arial"/>
          <w:sz w:val="18"/>
          <w:szCs w:val="18"/>
          <w:color w:val="auto"/>
        </w:rPr>
      </w:pPr>
    </w:p>
    <w:p>
      <w:pPr>
        <w:ind w:right="440" w:firstLine="458"/>
        <w:spacing w:after="0" w:line="277" w:lineRule="auto"/>
        <w:tabs>
          <w:tab w:leader="none" w:pos="7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such Notes being repurchased.</w:t>
      </w:r>
    </w:p>
    <w:p>
      <w:pPr>
        <w:spacing w:after="0" w:line="62" w:lineRule="exact"/>
        <w:rPr>
          <w:rFonts w:ascii="Arial" w:cs="Arial" w:eastAsia="Arial" w:hAnsi="Arial"/>
          <w:sz w:val="18"/>
          <w:szCs w:val="18"/>
          <w:color w:val="auto"/>
        </w:rPr>
      </w:pPr>
    </w:p>
    <w:p>
      <w:pPr>
        <w:ind w:right="260" w:firstLine="233"/>
        <w:spacing w:after="0" w:line="277" w:lineRule="auto"/>
        <w:tabs>
          <w:tab w:leader="none" w:pos="47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shall not be required to make a Change of Control Offer upon the occurrence of a Change of Control Triggering Event if a third party makes such an offer in the manner, at the times and otherwise in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8" w:name="page39"/>
    <w:bookmarkEnd w:id="38"/>
    <w:p>
      <w:pPr>
        <w:ind w:right="240"/>
        <w:spacing w:after="0" w:line="277" w:lineRule="auto"/>
        <w:rPr>
          <w:sz w:val="20"/>
          <w:szCs w:val="20"/>
          <w:color w:val="auto"/>
        </w:rPr>
      </w:pPr>
      <w:r>
        <w:rPr>
          <w:rFonts w:ascii="Arial" w:cs="Arial" w:eastAsia="Arial" w:hAnsi="Arial"/>
          <w:sz w:val="18"/>
          <w:szCs w:val="18"/>
          <w:color w:val="auto"/>
        </w:rPr>
        <w:t>compliance with the requirements for an offer made by the Company and the third party purchases all Notes properly tendered and not withdrawn under its offer.</w:t>
      </w:r>
    </w:p>
    <w:p>
      <w:pPr>
        <w:spacing w:after="0" w:line="62" w:lineRule="exact"/>
        <w:rPr>
          <w:sz w:val="20"/>
          <w:szCs w:val="20"/>
          <w:color w:val="auto"/>
        </w:rPr>
      </w:pPr>
    </w:p>
    <w:p>
      <w:pPr>
        <w:ind w:right="240" w:firstLine="233"/>
        <w:spacing w:after="0" w:line="257" w:lineRule="auto"/>
        <w:tabs>
          <w:tab w:leader="none" w:pos="46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comply with the requirements of Rule 14e-1 under the Exchange Act and any other securities laws and regulations thereunder to the extent such securities laws and regulations are applicable in connection with the repurchase of the Notes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by virtue of any such conflict.</w:t>
      </w:r>
    </w:p>
    <w:p>
      <w:pPr>
        <w:spacing w:after="0" w:line="80" w:lineRule="exact"/>
        <w:rPr>
          <w:rFonts w:ascii="Arial" w:cs="Arial" w:eastAsia="Arial" w:hAnsi="Arial"/>
          <w:sz w:val="18"/>
          <w:szCs w:val="18"/>
          <w:color w:val="auto"/>
        </w:rPr>
      </w:pPr>
    </w:p>
    <w:p>
      <w:pPr>
        <w:ind w:right="260" w:firstLine="233"/>
        <w:spacing w:after="0" w:line="277" w:lineRule="auto"/>
        <w:tabs>
          <w:tab w:leader="none" w:pos="4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Notes of $2,000 or less can be repurchased pursuant to this Section 4.1 in part. Notes in denominations larger than $2,000 may be repurchased in part but only in whole multiples of $1,000, unless all of the Notes held by a Holder are to be repurchased.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Liens.</w:t>
      </w:r>
    </w:p>
    <w:p>
      <w:pPr>
        <w:spacing w:after="0" w:line="117" w:lineRule="exact"/>
        <w:rPr>
          <w:sz w:val="20"/>
          <w:szCs w:val="20"/>
          <w:color w:val="auto"/>
        </w:rPr>
      </w:pPr>
    </w:p>
    <w:p>
      <w:pPr>
        <w:ind w:right="160" w:firstLine="233"/>
        <w:spacing w:after="0" w:line="291" w:lineRule="auto"/>
        <w:tabs>
          <w:tab w:leader="none" w:pos="467"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will not, nor will it permit any Subsidiary to, issue, incur, create, assume or guarantee (collectively, “</w:t>
      </w:r>
      <w:r>
        <w:rPr>
          <w:rFonts w:ascii="Arial" w:cs="Arial" w:eastAsia="Arial" w:hAnsi="Arial"/>
          <w:sz w:val="16"/>
          <w:szCs w:val="16"/>
          <w:b w:val="1"/>
          <w:bCs w:val="1"/>
          <w:i w:val="1"/>
          <w:iCs w:val="1"/>
          <w:color w:val="auto"/>
        </w:rPr>
        <w:t>incur</w:t>
      </w:r>
      <w:r>
        <w:rPr>
          <w:rFonts w:ascii="Arial" w:cs="Arial" w:eastAsia="Arial" w:hAnsi="Arial"/>
          <w:sz w:val="16"/>
          <w:szCs w:val="16"/>
          <w:color w:val="auto"/>
        </w:rPr>
        <w:t>”) any debt for borrowed money including all obligations evidenced by bonds, debentures, notes or similar instruments (collectively a “</w:t>
      </w:r>
      <w:r>
        <w:rPr>
          <w:rFonts w:ascii="Arial" w:cs="Arial" w:eastAsia="Arial" w:hAnsi="Arial"/>
          <w:sz w:val="16"/>
          <w:szCs w:val="16"/>
          <w:b w:val="1"/>
          <w:bCs w:val="1"/>
          <w:i w:val="1"/>
          <w:iCs w:val="1"/>
          <w:color w:val="auto"/>
        </w:rPr>
        <w:t>Debt</w:t>
      </w:r>
      <w:r>
        <w:rPr>
          <w:rFonts w:ascii="Arial" w:cs="Arial" w:eastAsia="Arial" w:hAnsi="Arial"/>
          <w:sz w:val="16"/>
          <w:szCs w:val="16"/>
          <w:color w:val="auto"/>
        </w:rPr>
        <w:t>”), secured by a mortgage, deed of trust, security interest, pledge, lien, charge or other encumbrance (collectively, a “</w:t>
      </w:r>
      <w:r>
        <w:rPr>
          <w:rFonts w:ascii="Arial" w:cs="Arial" w:eastAsia="Arial" w:hAnsi="Arial"/>
          <w:sz w:val="16"/>
          <w:szCs w:val="16"/>
          <w:b w:val="1"/>
          <w:bCs w:val="1"/>
          <w:i w:val="1"/>
          <w:iCs w:val="1"/>
          <w:color w:val="auto"/>
        </w:rPr>
        <w:t>Lien</w:t>
      </w:r>
      <w:r>
        <w:rPr>
          <w:rFonts w:ascii="Arial" w:cs="Arial" w:eastAsia="Arial" w:hAnsi="Arial"/>
          <w:sz w:val="16"/>
          <w:szCs w:val="16"/>
          <w:color w:val="auto"/>
        </w:rPr>
        <w:t>”) upon any Principal Property or upon any shares of stock of any Principal Subsidiary (whether such Principal Property or shares are now existing or owed or hereafter created or acquired) without in any such case effectively providing, substantially concurrently with or prior to the creation or assumption of such Lien, that the Notes (together with, if the Company shall so determine, any other indebtedness of or guarantee by the Company or such Subsidiary ranking equally with the Notes) shall be secured equally and ratably with (or, at the Company’s option, prior to) such secured Debt. The foregoing restriction, however, will not apply to each of the following:</w:t>
      </w:r>
    </w:p>
    <w:p>
      <w:pPr>
        <w:spacing w:after="0" w:line="59" w:lineRule="exact"/>
        <w:rPr>
          <w:rFonts w:ascii="Arial" w:cs="Arial" w:eastAsia="Arial" w:hAnsi="Arial"/>
          <w:sz w:val="16"/>
          <w:szCs w:val="16"/>
          <w:color w:val="auto"/>
        </w:rPr>
      </w:pPr>
    </w:p>
    <w:p>
      <w:pPr>
        <w:ind w:right="100" w:firstLine="458"/>
        <w:spacing w:after="0" w:line="259" w:lineRule="auto"/>
        <w:tabs>
          <w:tab w:leader="none" w:pos="705" w:val="left"/>
        </w:tabs>
        <w:numPr>
          <w:ilvl w:val="1"/>
          <w:numId w:val="45"/>
        </w:numPr>
        <w:rPr>
          <w:rFonts w:ascii="Arial" w:cs="Arial" w:eastAsia="Arial" w:hAnsi="Arial"/>
          <w:sz w:val="18"/>
          <w:szCs w:val="18"/>
          <w:color w:val="auto"/>
        </w:rPr>
      </w:pPr>
      <w:r>
        <w:rPr>
          <w:rFonts w:ascii="Arial" w:cs="Arial" w:eastAsia="Arial" w:hAnsi="Arial"/>
          <w:sz w:val="18"/>
          <w:szCs w:val="18"/>
          <w:color w:val="auto"/>
        </w:rPr>
        <w:t>Liens on property, shares of stock or other assets of any person existing at the time such person becomes a Subsidiary or existing at the time of acquisition thereof by the Company or a Subsidiary, provided that such Liens are not incurred in anticipation of such person’s becoming a Subsidiary or such acquisition and do not extend to (i) any Principal Property or (ii) any Shares of Stock of any Principal Subsidiary that, in each case, were not previously encumbered by such Liens;</w:t>
      </w:r>
    </w:p>
    <w:p>
      <w:pPr>
        <w:spacing w:after="0" w:line="78" w:lineRule="exact"/>
        <w:rPr>
          <w:rFonts w:ascii="Arial" w:cs="Arial" w:eastAsia="Arial" w:hAnsi="Arial"/>
          <w:sz w:val="18"/>
          <w:szCs w:val="18"/>
          <w:color w:val="auto"/>
        </w:rPr>
      </w:pPr>
    </w:p>
    <w:p>
      <w:pPr>
        <w:ind w:right="180" w:firstLine="458"/>
        <w:spacing w:after="0" w:line="257" w:lineRule="auto"/>
        <w:tabs>
          <w:tab w:leader="none" w:pos="705" w:val="left"/>
        </w:tabs>
        <w:numPr>
          <w:ilvl w:val="1"/>
          <w:numId w:val="45"/>
        </w:numPr>
        <w:rPr>
          <w:rFonts w:ascii="Arial" w:cs="Arial" w:eastAsia="Arial" w:hAnsi="Arial"/>
          <w:sz w:val="18"/>
          <w:szCs w:val="18"/>
          <w:color w:val="auto"/>
        </w:rPr>
      </w:pPr>
      <w:r>
        <w:rPr>
          <w:rFonts w:ascii="Arial" w:cs="Arial" w:eastAsia="Arial" w:hAnsi="Arial"/>
          <w:sz w:val="18"/>
          <w:szCs w:val="18"/>
          <w:color w:val="auto"/>
        </w:rPr>
        <w:t>Liens on property of a person (as defined in the Base Indenture) existing at the time such person is merged into or consolidated with the Company or a Subsidiary or at the time of a sale, lease or other disposition of the properties of such person (or a division thereof) as an entirety or substantially as an entirety to the Company or a Subsidiary, provided that such Liens were not incurred in anticipation of such merger or consolidation or sale, lease or other disposition and do not extend to (i) any Principal Property or (ii) any Shares of Stock of any Principal Subsidiary that, in each case, were not previously encumbered by such Liens;</w:t>
      </w:r>
    </w:p>
    <w:p>
      <w:pPr>
        <w:spacing w:after="0" w:line="80" w:lineRule="exact"/>
        <w:rPr>
          <w:rFonts w:ascii="Arial" w:cs="Arial" w:eastAsia="Arial" w:hAnsi="Arial"/>
          <w:sz w:val="18"/>
          <w:szCs w:val="18"/>
          <w:color w:val="auto"/>
        </w:rPr>
      </w:pPr>
    </w:p>
    <w:p>
      <w:pPr>
        <w:ind w:firstLine="458"/>
        <w:spacing w:after="0" w:line="302" w:lineRule="auto"/>
        <w:tabs>
          <w:tab w:leader="none" w:pos="705" w:val="left"/>
        </w:tabs>
        <w:numPr>
          <w:ilvl w:val="1"/>
          <w:numId w:val="45"/>
        </w:numPr>
        <w:rPr>
          <w:rFonts w:ascii="Arial" w:cs="Arial" w:eastAsia="Arial" w:hAnsi="Arial"/>
          <w:sz w:val="16"/>
          <w:szCs w:val="16"/>
          <w:color w:val="auto"/>
        </w:rPr>
      </w:pPr>
      <w:r>
        <w:rPr>
          <w:rFonts w:ascii="Arial" w:cs="Arial" w:eastAsia="Arial" w:hAnsi="Arial"/>
          <w:sz w:val="16"/>
          <w:szCs w:val="16"/>
          <w:color w:val="auto"/>
        </w:rPr>
        <w:t>Liens to secure all or part of the cost of acquisition, construction, development or improvement of any property or to secure Debt incurred to provide funds for any such purpose (including purchase money security interests or purchase money mortgages), provided that the commitment of the creditor to extend the credit secured by any such Lien is obtained not later than 24 months after the later of (i) the completion of acquisition, construction, development or improvement of such property and (ii) the placing in operating of such property or of such property as so constructed, developed or improved;</w:t>
      </w:r>
    </w:p>
    <w:p>
      <w:pPr>
        <w:spacing w:after="0" w:line="46" w:lineRule="exact"/>
        <w:rPr>
          <w:rFonts w:ascii="Arial" w:cs="Arial" w:eastAsia="Arial" w:hAnsi="Arial"/>
          <w:sz w:val="16"/>
          <w:szCs w:val="16"/>
          <w:color w:val="auto"/>
        </w:rPr>
      </w:pPr>
    </w:p>
    <w:p>
      <w:pPr>
        <w:ind w:left="720" w:hanging="262"/>
        <w:spacing w:after="0"/>
        <w:tabs>
          <w:tab w:leader="none" w:pos="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Liens in favor of, or which secure Debt owing to, the Company or any Subsidiary;</w:t>
      </w:r>
    </w:p>
    <w:p>
      <w:pPr>
        <w:spacing w:after="0" w:line="117" w:lineRule="exact"/>
        <w:rPr>
          <w:rFonts w:ascii="Arial" w:cs="Arial" w:eastAsia="Arial" w:hAnsi="Arial"/>
          <w:sz w:val="18"/>
          <w:szCs w:val="18"/>
          <w:color w:val="auto"/>
        </w:rPr>
      </w:pPr>
    </w:p>
    <w:p>
      <w:pPr>
        <w:ind w:left="720" w:hanging="262"/>
        <w:spacing w:after="0"/>
        <w:tabs>
          <w:tab w:leader="none" w:pos="7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Liens existing at the date of the issuance of the Notes;</w:t>
      </w:r>
    </w:p>
    <w:p>
      <w:pPr>
        <w:spacing w:after="0" w:line="117" w:lineRule="exact"/>
        <w:rPr>
          <w:rFonts w:ascii="Arial" w:cs="Arial" w:eastAsia="Arial" w:hAnsi="Arial"/>
          <w:sz w:val="18"/>
          <w:szCs w:val="18"/>
          <w:color w:val="auto"/>
        </w:rPr>
      </w:pPr>
    </w:p>
    <w:p>
      <w:pPr>
        <w:ind w:right="620" w:firstLine="458"/>
        <w:spacing w:after="0" w:line="264" w:lineRule="auto"/>
        <w:tabs>
          <w:tab w:leader="none" w:pos="705" w:val="left"/>
        </w:tabs>
        <w:numPr>
          <w:ilvl w:val="1"/>
          <w:numId w:val="45"/>
        </w:numPr>
        <w:rPr>
          <w:rFonts w:ascii="Arial" w:cs="Arial" w:eastAsia="Arial" w:hAnsi="Arial"/>
          <w:sz w:val="18"/>
          <w:szCs w:val="18"/>
          <w:color w:val="auto"/>
        </w:rPr>
      </w:pPr>
      <w:r>
        <w:rPr>
          <w:rFonts w:ascii="Arial" w:cs="Arial" w:eastAsia="Arial" w:hAnsi="Arial"/>
          <w:sz w:val="18"/>
          <w:szCs w:val="18"/>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9" w:name="page40"/>
    <w:bookmarkEnd w:id="39"/>
    <w:p>
      <w:pPr>
        <w:ind w:right="500"/>
        <w:spacing w:after="0" w:line="277" w:lineRule="auto"/>
        <w:rPr>
          <w:sz w:val="20"/>
          <w:szCs w:val="20"/>
          <w:color w:val="auto"/>
        </w:rPr>
      </w:pPr>
      <w:r>
        <w:rPr>
          <w:rFonts w:ascii="Arial" w:cs="Arial" w:eastAsia="Arial" w:hAnsi="Arial"/>
          <w:sz w:val="18"/>
          <w:szCs w:val="18"/>
          <w:color w:val="auto"/>
        </w:rPr>
        <w:t>pursuant to any contract or statute or to secure any indebtedness incurred for the purpose of financing all or any part of the purchase price or the cost of constructing or improving the property subject to such Liens;</w:t>
      </w:r>
    </w:p>
    <w:p>
      <w:pPr>
        <w:spacing w:after="0" w:line="62" w:lineRule="exact"/>
        <w:rPr>
          <w:sz w:val="20"/>
          <w:szCs w:val="20"/>
          <w:color w:val="auto"/>
        </w:rPr>
      </w:pPr>
    </w:p>
    <w:p>
      <w:pPr>
        <w:ind w:right="480" w:firstLine="458"/>
        <w:spacing w:after="0" w:line="277" w:lineRule="auto"/>
        <w:tabs>
          <w:tab w:leader="none" w:pos="705" w:val="left"/>
        </w:tabs>
        <w:numPr>
          <w:ilvl w:val="1"/>
          <w:numId w:val="46"/>
        </w:numPr>
        <w:rPr>
          <w:rFonts w:ascii="Arial" w:cs="Arial" w:eastAsia="Arial" w:hAnsi="Arial"/>
          <w:sz w:val="18"/>
          <w:szCs w:val="18"/>
          <w:color w:val="auto"/>
        </w:rPr>
      </w:pPr>
      <w:r>
        <w:rPr>
          <w:rFonts w:ascii="Arial" w:cs="Arial" w:eastAsia="Arial" w:hAnsi="Arial"/>
          <w:sz w:val="18"/>
          <w:szCs w:val="18"/>
          <w:color w:val="auto"/>
        </w:rPr>
        <w:t>Liens incurred or assumed in connection with the issuance of revenue bonds the interest on which is exempt from federal taxation pursuant to Section 103(b) of the Internal Revenue Code of 1986, as amended; and</w:t>
      </w:r>
    </w:p>
    <w:p>
      <w:pPr>
        <w:spacing w:after="0" w:line="62" w:lineRule="exact"/>
        <w:rPr>
          <w:rFonts w:ascii="Arial" w:cs="Arial" w:eastAsia="Arial" w:hAnsi="Arial"/>
          <w:sz w:val="18"/>
          <w:szCs w:val="18"/>
          <w:color w:val="auto"/>
        </w:rPr>
      </w:pPr>
    </w:p>
    <w:p>
      <w:pPr>
        <w:ind w:right="300" w:firstLine="458"/>
        <w:spacing w:after="0" w:line="259" w:lineRule="auto"/>
        <w:tabs>
          <w:tab w:leader="none" w:pos="705"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extensions, renewals or replacements of any Liens referred to in the foregoing clauses, provided that (i) the principal amount of Debt secured thereby shall not exceed the principal amount of Debt so secured at the time of such extension, renewal or replacement and (ii) such extension, renewal or replacement Liens will be limited to all or part of the same property and improvement thereon which secured the Debt so secured at the time of such extension, renewal or replacement.</w:t>
      </w:r>
    </w:p>
    <w:p>
      <w:pPr>
        <w:spacing w:after="0" w:line="78" w:lineRule="exact"/>
        <w:rPr>
          <w:rFonts w:ascii="Arial" w:cs="Arial" w:eastAsia="Arial" w:hAnsi="Arial"/>
          <w:sz w:val="18"/>
          <w:szCs w:val="18"/>
          <w:color w:val="auto"/>
        </w:rPr>
      </w:pPr>
    </w:p>
    <w:p>
      <w:pPr>
        <w:ind w:right="160" w:firstLine="233"/>
        <w:spacing w:after="0" w:line="297" w:lineRule="auto"/>
        <w:tabs>
          <w:tab w:leader="none" w:pos="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Notwithstanding the restrictions in clause (a) above, the Company or any Subsidiary may incur Debt secured by a Lien which would otherwise be subject to such restrictions without equally and ratably securing the Notes provided that after giving effect thereto, the aggregate amount of all such Debt so secured by such Liens (not including Liens permitted under items (1) through (8) in clause (a) above) plus the aggregate amount of Attributable Debt in respect of Sale and Lease-Back Transactions entered into after the date of issuance of the Notes and permitted solely pursuant to clause (c) of Section 4.3 hereof and still in existence does not exceed the greater of 15% of the Consolidated Net Tangible Assets at the time of such incurrence and $350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Sale and Lease-Back Transactions.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Company will not, and will not permit any Subsidiary to, enter into any Sale and Lease-Back Transaction with respect to any Principal Property, other than any such Sale and Lease-Back Transaction involving a lease for a term of not more than three years or any such Sale and Lease-Back Transaction between the Company and one of its Subsidiaries, or between its Subsidiaries, unless:</w:t>
      </w:r>
    </w:p>
    <w:p>
      <w:pPr>
        <w:spacing w:after="0" w:line="73" w:lineRule="exact"/>
        <w:rPr>
          <w:sz w:val="20"/>
          <w:szCs w:val="20"/>
          <w:color w:val="auto"/>
        </w:rPr>
      </w:pPr>
    </w:p>
    <w:p>
      <w:pPr>
        <w:jc w:val="both"/>
        <w:ind w:right="160" w:firstLine="233"/>
        <w:spacing w:after="0" w:line="264" w:lineRule="auto"/>
        <w:tabs>
          <w:tab w:leader="none" w:pos="4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or such Subsidiary, as applicable, would be entitled to incur debt secured by a Lien on the Principal Property involved in such Sale and Lease-Back Transaction at least equal in amount to the Attributable Debt with respect to such Sale and Lease-Back Transaction, without equally and ratably securing the Notes, pursuant to items (1) through (8) in clause (a) of Section 4.2 hereof;</w:t>
      </w:r>
    </w:p>
    <w:p>
      <w:pPr>
        <w:spacing w:after="0" w:line="73" w:lineRule="exact"/>
        <w:rPr>
          <w:rFonts w:ascii="Arial" w:cs="Arial" w:eastAsia="Arial" w:hAnsi="Arial"/>
          <w:sz w:val="18"/>
          <w:szCs w:val="18"/>
          <w:color w:val="auto"/>
        </w:rPr>
      </w:pPr>
    </w:p>
    <w:p>
      <w:pPr>
        <w:ind w:firstLine="233"/>
        <w:spacing w:after="0" w:line="279" w:lineRule="auto"/>
        <w:tabs>
          <w:tab w:leader="none" w:pos="4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applies the Net Available Proceeds of such Sale and Lease-Back Transaction within 180 days of such Sale and Lease-Back Transaction to either (or a combination of) (i) the prepayment or retirement of debt of the Company or a Subsidiary (other than debt that is, in the case of debt of the Company, subordinated to the Notes or debt owed to the Company or a Subsidiary) that by its terms matures more than 12 months after its creation or (ii) the purchase, construction, development, expansion or improvement of comparable properties or facilities; or</w:t>
      </w:r>
    </w:p>
    <w:p>
      <w:pPr>
        <w:spacing w:after="0" w:line="63" w:lineRule="exact"/>
        <w:rPr>
          <w:rFonts w:ascii="Arial" w:cs="Arial" w:eastAsia="Arial" w:hAnsi="Arial"/>
          <w:sz w:val="17"/>
          <w:szCs w:val="17"/>
          <w:color w:val="auto"/>
        </w:rPr>
      </w:pPr>
    </w:p>
    <w:p>
      <w:pPr>
        <w:ind w:right="40" w:firstLine="233"/>
        <w:spacing w:after="0" w:line="302" w:lineRule="auto"/>
        <w:tabs>
          <w:tab w:leader="none" w:pos="47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aggregate amount of Attributable Debt in respect of such Sale and Lease-Back Transaction plus the Attributable Debt in respect of all other Sale and Lease-Back Transactions of Principal Properties entered into after the date of issuance of the Notes permitted solely pursuant to this clause (c) and still in existence, plus the aggregate amount of all Debt secured by Liens permitted solely pursuant to clause (b) of Section 4.2 above and still outstanding, does not exceed the greater of 15% of the Consolidated Net Tangible Assets at the time of such Sale and Lease-Back Transaction and $350 million.</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Events of Default.</w:t>
      </w:r>
    </w:p>
    <w:p>
      <w:pPr>
        <w:spacing w:after="0" w:line="117"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In addition to the Events of Default set forth in the Base Indenture, the following is an “Event of Default” with respect to the Notes: (i) the failure of the Company or any Subsidiary to pay indebtedness for money borrowed in an aggregate principal amount of at least $100,000,000, at the later of final maturity and the expiration of any related applicable grace period and such defaulted payment shall not have been made, waived or extended within 30 days after written notice from the Trustee or the holders of at least 25% in principal amount of the outstanding Notes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0" w:name="page41"/>
    <w:bookmarkEnd w:id="40"/>
    <w:p>
      <w:pPr>
        <w:ind w:right="200"/>
        <w:spacing w:after="0" w:line="259" w:lineRule="auto"/>
        <w:rPr>
          <w:sz w:val="20"/>
          <w:szCs w:val="20"/>
          <w:color w:val="auto"/>
        </w:rPr>
      </w:pPr>
      <w:r>
        <w:rPr>
          <w:rFonts w:ascii="Arial" w:cs="Arial" w:eastAsia="Arial" w:hAnsi="Arial"/>
          <w:sz w:val="18"/>
          <w:szCs w:val="18"/>
          <w:color w:val="auto"/>
        </w:rPr>
        <w:t>or (ii) acceleration of the maturity of indebtedness for money borrowed by the Company or any Subsidiary in an aggregate principal amount of at least $100,000,000, if that acceleration results from a default under the instrument giving rise to or securing such indebtedness for money borrowed and such indebtedness has not been discharged in full or such acceleration has not been rescinded or annulled within 30 days after written notice from the Trustee or the holders of at least 25% in principal amount of the outstanding Notes.</w:t>
      </w: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Satisfaction and Discharge of Indenture.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may satisfy and discharge the Notes in accordance with and subject to the terms of Section 8.1 of the Base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Legal Defeasance of Securities of any Series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Section 8.3 of the Base Indenture shall be applicable to the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Covenant Defeasance</w:t>
      </w:r>
    </w:p>
    <w:p>
      <w:pPr>
        <w:spacing w:after="0" w:line="117" w:lineRule="exact"/>
        <w:rPr>
          <w:sz w:val="20"/>
          <w:szCs w:val="20"/>
          <w:color w:val="auto"/>
        </w:rPr>
      </w:pPr>
    </w:p>
    <w:p>
      <w:pPr>
        <w:jc w:val="both"/>
        <w:ind w:right="280" w:firstLine="225"/>
        <w:spacing w:after="0" w:line="264" w:lineRule="auto"/>
        <w:rPr>
          <w:sz w:val="20"/>
          <w:szCs w:val="20"/>
          <w:color w:val="auto"/>
        </w:rPr>
      </w:pPr>
      <w:r>
        <w:rPr>
          <w:rFonts w:ascii="Arial" w:cs="Arial" w:eastAsia="Arial" w:hAnsi="Arial"/>
          <w:sz w:val="18"/>
          <w:szCs w:val="18"/>
          <w:color w:val="auto"/>
        </w:rPr>
        <w:t>In addition to the covenants specified in Section 8.4 of the Base Indenture, the Company may omit to comply with respect to the Notes with any term, provision or condition set forth in Sections 4.1, 4.2 and 4.3 of this Supplemental Indenture by complying with the requirements of Section 8.4 of the Base Indenture.</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Trust Indenture Act Controls.</w:t>
      </w:r>
    </w:p>
    <w:p>
      <w:pPr>
        <w:spacing w:after="0" w:line="117"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If any provision of this Supplemental Indenture limits, qualifies or conflicts with another provision which is required or deemed to be included in this Supplemental Indenture by the TIA, such required or deemed provision shall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Governing Law.</w:t>
      </w:r>
    </w:p>
    <w:p>
      <w:pPr>
        <w:spacing w:after="0" w:line="117" w:lineRule="exact"/>
        <w:rPr>
          <w:sz w:val="20"/>
          <w:szCs w:val="20"/>
          <w:color w:val="auto"/>
        </w:rPr>
      </w:pPr>
    </w:p>
    <w:p>
      <w:pPr>
        <w:jc w:val="both"/>
        <w:ind w:right="580" w:firstLine="222"/>
        <w:spacing w:after="0" w:line="264" w:lineRule="auto"/>
        <w:rPr>
          <w:sz w:val="20"/>
          <w:szCs w:val="20"/>
          <w:color w:val="auto"/>
        </w:rPr>
      </w:pPr>
      <w:r>
        <w:rPr>
          <w:rFonts w:ascii="Arial" w:cs="Arial" w:eastAsia="Arial" w:hAnsi="Arial"/>
          <w:sz w:val="18"/>
          <w:szCs w:val="18"/>
          <w:color w:val="auto"/>
        </w:rPr>
        <w:t>THIS SUPPLEMENTAL INDENTURE AND THE SECURITIES SHALL BE GOVERNED BY THE LAWS OF THE STATE OF NEW YORK APPLICABLE TO AGREEMENTS MADE AND TO BE PERFORMED IN SUCH STATE, WITHOUT REGARD TO THE CONFLICT OF LAWS PROVISIONS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Successors.</w:t>
      </w:r>
    </w:p>
    <w:p>
      <w:pPr>
        <w:spacing w:after="0" w:line="117"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All agreements of the Company in this Supplemental Indenture and the Notes will bind its successors. All agreements of the Trustee in this Supplemental Indenture will bind its successors.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Severability.</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case any provision in this Supplemental Indenture or in the Notes will be invalid, illegal or unenforceable, the validity, legality and enforceability of the remaining provisions will not in any way be affected or impaired thereby.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Counterpart Originals.</w:t>
      </w:r>
    </w:p>
    <w:p>
      <w:pPr>
        <w:spacing w:after="0" w:line="117"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This Supplemental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Table of Contents, Headings, Etc.</w:t>
      </w:r>
    </w:p>
    <w:p>
      <w:pPr>
        <w:spacing w:after="0" w:line="117" w:lineRule="exact"/>
        <w:rPr>
          <w:sz w:val="20"/>
          <w:szCs w:val="20"/>
          <w:color w:val="auto"/>
        </w:rPr>
      </w:pPr>
    </w:p>
    <w:p>
      <w:pPr>
        <w:ind w:firstLine="222"/>
        <w:spacing w:after="0" w:line="308" w:lineRule="auto"/>
        <w:rPr>
          <w:sz w:val="20"/>
          <w:szCs w:val="20"/>
          <w:color w:val="auto"/>
        </w:rPr>
      </w:pPr>
      <w:r>
        <w:rPr>
          <w:rFonts w:ascii="Arial" w:cs="Arial" w:eastAsia="Arial" w:hAnsi="Arial"/>
          <w:sz w:val="17"/>
          <w:szCs w:val="17"/>
          <w:color w:val="auto"/>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Jury Trial</w:t>
      </w:r>
    </w:p>
    <w:p>
      <w:pPr>
        <w:spacing w:after="0" w:line="11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Each party hereto hereby irrevocably waives any and all rights to trial by jury in any legal proceeding arising out of or relating to this Supplemental Indenture.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Interpretation</w:t>
      </w:r>
    </w:p>
    <w:p>
      <w:pPr>
        <w:spacing w:after="0" w:line="117" w:lineRule="exact"/>
        <w:rPr>
          <w:sz w:val="20"/>
          <w:szCs w:val="20"/>
          <w:color w:val="auto"/>
        </w:rPr>
      </w:pPr>
    </w:p>
    <w:p>
      <w:pPr>
        <w:ind w:right="40" w:firstLine="222"/>
        <w:spacing w:after="0" w:line="284" w:lineRule="auto"/>
        <w:rPr>
          <w:sz w:val="20"/>
          <w:szCs w:val="20"/>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w:t>
      </w:r>
    </w:p>
    <w:p>
      <w:pPr>
        <w:spacing w:after="0" w:line="5" w:lineRule="exact"/>
        <w:rPr>
          <w:sz w:val="20"/>
          <w:szCs w:val="20"/>
          <w:color w:val="auto"/>
        </w:rPr>
      </w:pPr>
    </w:p>
    <w:p>
      <w:pPr>
        <w:jc w:val="both"/>
        <w:ind w:right="20" w:firstLine="8"/>
        <w:spacing w:after="0" w:line="273" w:lineRule="auto"/>
        <w:tabs>
          <w:tab w:leader="none" w:pos="24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spacing w:after="0" w:line="2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[Signatures on following page]</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5" w:right="379" w:bottom="1440" w:gutter="0" w:footer="0" w:header="0"/>
        </w:sectPr>
      </w:pPr>
    </w:p>
    <w:bookmarkStart w:id="42" w:name="page43"/>
    <w:bookmarkEnd w:id="42"/>
    <w:p>
      <w:pPr>
        <w:ind w:left="51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as of June 30, 2009</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David A. Zinsner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 and Chief Financial Officer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THE BANK OF NEW YORK MELLON TRUST COMPANY,</w:t>
      </w:r>
    </w:p>
    <w:p>
      <w:pPr>
        <w:spacing w:after="0" w:line="3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 as Trustee</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Peter M. Murphy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Peter M.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219"/>
          </w:cols>
          <w:pgMar w:left="240" w:top="959"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4.2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GLOBAL NOTE</w:t>
      </w:r>
    </w:p>
    <w:p>
      <w:pPr>
        <w:spacing w:after="0" w:line="121" w:lineRule="exact"/>
        <w:rPr>
          <w:sz w:val="20"/>
          <w:szCs w:val="20"/>
          <w:color w:val="auto"/>
        </w:rPr>
      </w:pPr>
    </w:p>
    <w:p>
      <w:pPr>
        <w:ind w:right="120" w:firstLine="222"/>
        <w:spacing w:after="0" w:line="254" w:lineRule="auto"/>
        <w:rPr>
          <w:sz w:val="20"/>
          <w:szCs w:val="20"/>
          <w:color w:val="auto"/>
        </w:rPr>
      </w:pPr>
      <w:r>
        <w:rPr>
          <w:rFonts w:ascii="Arial" w:cs="Arial" w:eastAsia="Arial" w:hAnsi="Arial"/>
          <w:sz w:val="18"/>
          <w:szCs w:val="18"/>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84" w:lineRule="exact"/>
        <w:rPr>
          <w:sz w:val="20"/>
          <w:szCs w:val="20"/>
          <w:color w:val="auto"/>
        </w:rPr>
      </w:pPr>
    </w:p>
    <w:p>
      <w:pPr>
        <w:ind w:firstLine="222"/>
        <w:spacing w:after="0" w:line="252" w:lineRule="auto"/>
        <w:rPr>
          <w:sz w:val="20"/>
          <w:szCs w:val="20"/>
          <w:color w:val="auto"/>
        </w:rPr>
      </w:pPr>
      <w:r>
        <w:rPr>
          <w:rFonts w:ascii="Arial" w:cs="Arial" w:eastAsia="Arial" w:hAnsi="Arial"/>
          <w:sz w:val="18"/>
          <w:szCs w:val="18"/>
          <w:color w:val="auto"/>
        </w:rPr>
        <w:t>THIS GLOBAL NOTE IS A GLOBAL NOTE WITHIN THE MEANING OF THE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032654 AE5</w:t>
      </w:r>
    </w:p>
    <w:p>
      <w:pPr>
        <w:spacing w:after="0" w:line="23"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ISIN: US032654AE55</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 Notes due July 1, 2014</w:t>
      </w:r>
    </w:p>
    <w:p>
      <w:pPr>
        <w:spacing w:after="0" w:line="211" w:lineRule="exact"/>
        <w:rPr>
          <w:sz w:val="20"/>
          <w:szCs w:val="20"/>
          <w:color w:val="auto"/>
        </w:rPr>
      </w:pPr>
    </w:p>
    <w:p>
      <w:pPr>
        <w:spacing w:after="0"/>
        <w:tabs>
          <w:tab w:leader="none" w:pos="1042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201930</wp:posOffset>
            </wp:positionH>
            <wp:positionV relativeFrom="paragraph">
              <wp:posOffset>-10160</wp:posOffset>
            </wp:positionV>
            <wp:extent cx="1428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6680200</wp:posOffset>
            </wp:positionH>
            <wp:positionV relativeFrom="paragraph">
              <wp:posOffset>-10160</wp:posOffset>
            </wp:positionV>
            <wp:extent cx="571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9300" w:type="dxa"/>
            <w:vAlign w:val="bottom"/>
            <w:gridSpan w:val="10"/>
          </w:tcPr>
          <w:p>
            <w:pPr>
              <w:spacing w:after="0"/>
              <w:rPr>
                <w:sz w:val="20"/>
                <w:szCs w:val="20"/>
                <w:color w:val="auto"/>
              </w:rPr>
            </w:pPr>
            <w:r>
              <w:rPr>
                <w:rFonts w:ascii="Arial" w:cs="Arial" w:eastAsia="Arial" w:hAnsi="Arial"/>
                <w:sz w:val="18"/>
                <w:szCs w:val="18"/>
                <w:color w:val="auto"/>
                <w:w w:val="90"/>
              </w:rPr>
              <w:t>Analog Devices, Inc., a Massachusetts corporation, promises to pay to CEDE &amp; CO. or registered assigns, the principal sum of $</w:t>
            </w:r>
          </w:p>
        </w:tc>
        <w:tc>
          <w:tcPr>
            <w:tcW w:w="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w w:val="89"/>
              </w:rPr>
              <w:t>on July 1, 2014.</w:t>
            </w:r>
          </w:p>
        </w:tc>
      </w:tr>
      <w:tr>
        <w:trPr>
          <w:trHeight w:val="345"/>
        </w:trPr>
        <w:tc>
          <w:tcPr>
            <w:tcW w:w="1760" w:type="dxa"/>
            <w:vAlign w:val="bottom"/>
            <w:gridSpan w:val="5"/>
          </w:tcPr>
          <w:p>
            <w:pPr>
              <w:spacing w:after="0"/>
              <w:rPr>
                <w:sz w:val="20"/>
                <w:szCs w:val="20"/>
                <w:color w:val="auto"/>
              </w:rPr>
            </w:pPr>
            <w:r>
              <w:rPr>
                <w:rFonts w:ascii="Arial" w:cs="Arial" w:eastAsia="Arial" w:hAnsi="Arial"/>
                <w:sz w:val="18"/>
                <w:szCs w:val="18"/>
                <w:color w:val="auto"/>
                <w:w w:val="90"/>
              </w:rPr>
              <w:t>Interest Payment Dates:</w:t>
            </w:r>
          </w:p>
        </w:tc>
        <w:tc>
          <w:tcPr>
            <w:tcW w:w="8060" w:type="dxa"/>
            <w:vAlign w:val="bottom"/>
            <w:gridSpan w:val="6"/>
          </w:tcPr>
          <w:p>
            <w:pPr>
              <w:ind w:left="360"/>
              <w:spacing w:after="0"/>
              <w:rPr>
                <w:sz w:val="20"/>
                <w:szCs w:val="20"/>
                <w:color w:val="auto"/>
              </w:rPr>
            </w:pPr>
            <w:r>
              <w:rPr>
                <w:rFonts w:ascii="Arial" w:cs="Arial" w:eastAsia="Arial" w:hAnsi="Arial"/>
                <w:sz w:val="18"/>
                <w:szCs w:val="18"/>
                <w:color w:val="auto"/>
              </w:rPr>
              <w:t>January 1 and July 1</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8"/>
        </w:trPr>
        <w:tc>
          <w:tcPr>
            <w:tcW w:w="1440" w:type="dxa"/>
            <w:vAlign w:val="bottom"/>
            <w:gridSpan w:val="2"/>
          </w:tcPr>
          <w:p>
            <w:pPr>
              <w:spacing w:after="0"/>
              <w:rPr>
                <w:sz w:val="20"/>
                <w:szCs w:val="20"/>
                <w:color w:val="auto"/>
              </w:rPr>
            </w:pPr>
            <w:r>
              <w:rPr>
                <w:rFonts w:ascii="Arial" w:cs="Arial" w:eastAsia="Arial" w:hAnsi="Arial"/>
                <w:sz w:val="18"/>
                <w:szCs w:val="18"/>
                <w:color w:val="auto"/>
              </w:rPr>
              <w:t>Record Dates: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60" w:type="dxa"/>
            <w:vAlign w:val="bottom"/>
            <w:gridSpan w:val="6"/>
          </w:tcPr>
          <w:p>
            <w:pPr>
              <w:ind w:left="360"/>
              <w:spacing w:after="0"/>
              <w:rPr>
                <w:sz w:val="20"/>
                <w:szCs w:val="20"/>
                <w:color w:val="auto"/>
              </w:rPr>
            </w:pPr>
            <w:r>
              <w:rPr>
                <w:rFonts w:ascii="Arial" w:cs="Arial" w:eastAsia="Arial" w:hAnsi="Arial"/>
                <w:sz w:val="18"/>
                <w:szCs w:val="18"/>
                <w:color w:val="auto"/>
              </w:rPr>
              <w:t>December 15 and June 15</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4"/>
        </w:trPr>
        <w:tc>
          <w:tcPr>
            <w:tcW w:w="1440" w:type="dxa"/>
            <w:vAlign w:val="bottom"/>
            <w:gridSpan w:val="2"/>
          </w:tcPr>
          <w:p>
            <w:pPr>
              <w:spacing w:after="0"/>
              <w:rPr>
                <w:sz w:val="20"/>
                <w:szCs w:val="20"/>
                <w:color w:val="auto"/>
              </w:rPr>
            </w:pPr>
            <w:r>
              <w:rPr>
                <w:rFonts w:ascii="Arial" w:cs="Arial" w:eastAsia="Arial" w:hAnsi="Arial"/>
                <w:sz w:val="18"/>
                <w:szCs w:val="18"/>
                <w:color w:val="auto"/>
              </w:rPr>
              <w:t>Dated:</w:t>
            </w:r>
          </w:p>
        </w:tc>
        <w:tc>
          <w:tcPr>
            <w:tcW w:w="1220" w:type="dxa"/>
            <w:vAlign w:val="bottom"/>
            <w:gridSpan w:val="4"/>
          </w:tcPr>
          <w:p>
            <w:pPr>
              <w:jc w:val="right"/>
              <w:ind w:right="410"/>
              <w:spacing w:after="0"/>
              <w:rPr>
                <w:sz w:val="20"/>
                <w:szCs w:val="20"/>
                <w:color w:val="auto"/>
              </w:rPr>
            </w:pPr>
            <w:r>
              <w:rPr>
                <w:rFonts w:ascii="Arial" w:cs="Arial" w:eastAsia="Arial" w:hAnsi="Arial"/>
                <w:sz w:val="18"/>
                <w:szCs w:val="18"/>
                <w:color w:val="auto"/>
              </w:rPr>
              <w:t>, 2009</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53"/>
        </w:trPr>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00" w:type="dxa"/>
            <w:vAlign w:val="bottom"/>
            <w:gridSpan w:val="3"/>
          </w:tcPr>
          <w:p>
            <w:pPr>
              <w:ind w:left="2220"/>
              <w:spacing w:after="0"/>
              <w:rPr>
                <w:sz w:val="20"/>
                <w:szCs w:val="20"/>
                <w:color w:val="auto"/>
              </w:rPr>
            </w:pPr>
            <w:r>
              <w:rPr>
                <w:rFonts w:ascii="Arial" w:cs="Arial" w:eastAsia="Arial" w:hAnsi="Arial"/>
                <w:sz w:val="18"/>
                <w:szCs w:val="18"/>
                <w:color w:val="auto"/>
              </w:rPr>
              <w:t>ANALOG DEVICES, INC.</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00" w:type="dxa"/>
            <w:vAlign w:val="bottom"/>
            <w:gridSpan w:val="3"/>
          </w:tcPr>
          <w:p>
            <w:pPr>
              <w:ind w:left="222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5"/>
        </w:trPr>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3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Name:</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0"/>
        </w:trPr>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00"/>
        </w:trPr>
        <w:tc>
          <w:tcPr>
            <w:tcW w:w="1760" w:type="dxa"/>
            <w:vAlign w:val="bottom"/>
            <w:gridSpan w:val="5"/>
          </w:tcPr>
          <w:p>
            <w:pPr>
              <w:spacing w:after="0"/>
              <w:rPr>
                <w:sz w:val="20"/>
                <w:szCs w:val="20"/>
                <w:color w:val="auto"/>
              </w:rPr>
            </w:pPr>
            <w:r>
              <w:rPr>
                <w:rFonts w:ascii="Arial" w:cs="Arial" w:eastAsia="Arial" w:hAnsi="Arial"/>
                <w:sz w:val="18"/>
                <w:szCs w:val="18"/>
                <w:color w:val="auto"/>
                <w:w w:val="95"/>
              </w:rPr>
              <w:t>Date of Authentication:</w:t>
            </w: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Pr>
          <w:p>
            <w:pPr>
              <w:jc w:val="right"/>
              <w:ind w:right="2030"/>
              <w:spacing w:after="0"/>
              <w:rPr>
                <w:sz w:val="20"/>
                <w:szCs w:val="20"/>
                <w:color w:val="auto"/>
              </w:rPr>
            </w:pPr>
            <w:r>
              <w:rPr>
                <w:rFonts w:ascii="Arial" w:cs="Arial" w:eastAsia="Arial" w:hAnsi="Arial"/>
                <w:sz w:val="18"/>
                <w:szCs w:val="18"/>
                <w:color w:val="auto"/>
                <w:w w:val="87"/>
              </w:rPr>
              <w:t>, 2009</w:t>
            </w:r>
          </w:p>
        </w:tc>
        <w:tc>
          <w:tcPr>
            <w:tcW w:w="3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5"/>
        </w:trPr>
        <w:tc>
          <w:tcPr>
            <w:tcW w:w="9820" w:type="dxa"/>
            <w:vAlign w:val="bottom"/>
            <w:gridSpan w:val="11"/>
          </w:tcPr>
          <w:p>
            <w:pPr>
              <w:spacing w:after="0"/>
              <w:rPr>
                <w:sz w:val="20"/>
                <w:szCs w:val="20"/>
                <w:color w:val="auto"/>
              </w:rPr>
            </w:pPr>
            <w:r>
              <w:rPr>
                <w:rFonts w:ascii="Arial" w:cs="Arial" w:eastAsia="Arial" w:hAnsi="Arial"/>
                <w:sz w:val="18"/>
                <w:szCs w:val="18"/>
                <w:color w:val="auto"/>
              </w:rPr>
              <w:t>This is one of the Global Notes referred to in the within-mentioned Supplemental Indenture:</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4"/>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gridSpan w:val="2"/>
          </w:tcPr>
          <w:p>
            <w:pPr>
              <w:jc w:val="right"/>
              <w:ind w:right="410"/>
              <w:spacing w:after="0"/>
              <w:rPr>
                <w:sz w:val="20"/>
                <w:szCs w:val="20"/>
                <w:color w:val="auto"/>
              </w:rPr>
            </w:pPr>
            <w:r>
              <w:rPr>
                <w:rFonts w:ascii="Arial" w:cs="Arial" w:eastAsia="Arial" w:hAnsi="Arial"/>
                <w:sz w:val="18"/>
                <w:szCs w:val="18"/>
                <w:color w:val="auto"/>
                <w:w w:val="87"/>
              </w:rPr>
              <w:t>, 2009</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 TRUST COMPANY,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35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8"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(Back of Note)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 Notes due July 1, 2014</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117" w:lineRule="exact"/>
        <w:rPr>
          <w:sz w:val="20"/>
          <w:szCs w:val="20"/>
          <w:color w:val="auto"/>
        </w:rPr>
      </w:pPr>
    </w:p>
    <w:p>
      <w:pPr>
        <w:ind w:left="-20" w:firstLine="233"/>
        <w:spacing w:after="0" w:line="270" w:lineRule="auto"/>
        <w:tabs>
          <w:tab w:leader="none" w:pos="385"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Analog Devices, Inc., a Massachusetts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promises to pay interest on the principal amount of this Note at 5.00%</w:t>
      </w:r>
      <w:r>
        <w:rPr>
          <w:rFonts w:ascii="Arial" w:cs="Arial" w:eastAsia="Arial" w:hAnsi="Arial"/>
          <w:sz w:val="17"/>
          <w:szCs w:val="17"/>
          <w:i w:val="1"/>
          <w:iCs w:val="1"/>
          <w:color w:val="auto"/>
        </w:rPr>
        <w:t xml:space="preserve"> </w:t>
      </w:r>
      <w:r>
        <w:rPr>
          <w:rFonts w:ascii="Arial" w:cs="Arial" w:eastAsia="Arial" w:hAnsi="Arial"/>
          <w:sz w:val="17"/>
          <w:szCs w:val="17"/>
          <w:color w:val="auto"/>
        </w:rPr>
        <w:t>per annum from the date hereof until maturity. The Company will pay interest semi-annually on January 1 and July 1 of each year, or if any such day is not a Business Day, on the next succeeding Business Day, and no additional interest will accrue on the amount so payable for that period (each an “</w:t>
      </w:r>
      <w:r>
        <w:rPr>
          <w:rFonts w:ascii="Arial" w:cs="Arial" w:eastAsia="Arial" w:hAnsi="Arial"/>
          <w:sz w:val="17"/>
          <w:szCs w:val="17"/>
          <w:b w:val="1"/>
          <w:bCs w:val="1"/>
          <w:i w:val="1"/>
          <w:iCs w:val="1"/>
          <w:color w:val="auto"/>
        </w:rPr>
        <w:t>Interest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Payment Date</w:t>
      </w:r>
      <w:r>
        <w:rPr>
          <w:rFonts w:ascii="Arial" w:cs="Arial" w:eastAsia="Arial" w:hAnsi="Arial"/>
          <w:sz w:val="17"/>
          <w:szCs w:val="17"/>
          <w:color w:val="auto"/>
        </w:rPr>
        <w:t>”). Interest on the Notes will accrue from the most recent date to which interest has been paid or, if no interest has been paid, from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2009;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there is no existing Default in the payment of interest, and if this Note is authenticated between a record date referred to on the face hereof and the next succeeding Interest Payment Date, interest will accrue from such next succeeding Interest Payment Date;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first Interest Payment Date will be January 1, 2010. The Company will pay interest (including post-petition interest in any proceeding under any Bankruptcy Law to the extent allowable) on overdue principal at the rate equal to the then applicable interest rate on the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69" w:lineRule="exact"/>
        <w:rPr>
          <w:rFonts w:ascii="Arial" w:cs="Arial" w:eastAsia="Arial" w:hAnsi="Arial"/>
          <w:sz w:val="17"/>
          <w:szCs w:val="17"/>
          <w:color w:val="auto"/>
        </w:rPr>
      </w:pPr>
    </w:p>
    <w:p>
      <w:pPr>
        <w:ind w:left="-20" w:firstLine="233"/>
        <w:spacing w:after="0" w:line="290" w:lineRule="auto"/>
        <w:tabs>
          <w:tab w:leader="none" w:pos="385"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Notes (except defaulted interest) to the persons who are registered Holders of Notes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close of business on the June 15 or December 15 next preceding the Interest Payment Date, even if such Notes are canceled after such record date and on or before such Interest Payment Date, except as provided in Section 2.13 of the Base Indenture with respect to defaulted interest. Principal and interest on the Notes will be payable at the office or agency of the Paying Agent and Registrar within the City and State of New York or, at the option of the Company, payment of interest may be made by check mailed to the Holders of the Notes at their respective addresses set forth in the register of Holders of Notes;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payment by wire transfer of immediately available funds will be required with respect to principal of and interest on all Global Securities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other Notes the Holders of which will have provided wire transfer instructions to the Company or the Paying Agent. Such payment will be in such coin or currency of the United States of America as at the time of payment is legal tender for payment of public and private debts.</w:t>
      </w:r>
    </w:p>
    <w:p>
      <w:pPr>
        <w:spacing w:after="0" w:line="58" w:lineRule="exact"/>
        <w:rPr>
          <w:rFonts w:ascii="Arial" w:cs="Arial" w:eastAsia="Arial" w:hAnsi="Arial"/>
          <w:sz w:val="16"/>
          <w:szCs w:val="16"/>
          <w:color w:val="auto"/>
        </w:rPr>
      </w:pPr>
    </w:p>
    <w:p>
      <w:pPr>
        <w:ind w:left="-20" w:right="20" w:firstLine="233"/>
        <w:spacing w:after="0" w:line="264" w:lineRule="auto"/>
        <w:tabs>
          <w:tab w:leader="none" w:pos="38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The Bank of New York Mellon Trust Company, N.A., the Trustee under the Indenture, will act as Paying</w:t>
      </w:r>
      <w:r>
        <w:rPr>
          <w:rFonts w:ascii="Arial" w:cs="Arial" w:eastAsia="Arial" w:hAnsi="Arial"/>
          <w:sz w:val="18"/>
          <w:szCs w:val="18"/>
          <w:i w:val="1"/>
          <w:iCs w:val="1"/>
          <w:color w:val="auto"/>
        </w:rPr>
        <w:t xml:space="preserve"> </w:t>
      </w:r>
      <w:r>
        <w:rPr>
          <w:rFonts w:ascii="Arial" w:cs="Arial" w:eastAsia="Arial" w:hAnsi="Arial"/>
          <w:sz w:val="18"/>
          <w:szCs w:val="18"/>
          <w:color w:val="auto"/>
        </w:rPr>
        <w:t>Agent and Registrar. The Company may change any Paying Agent or Registrar without notice to any Holder. The Company or any of its Subsidiaries may act in any such capacity.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62" w:right="259" w:bottom="1440" w:gutter="0" w:footer="0" w:header="0"/>
        </w:sectPr>
      </w:pPr>
    </w:p>
    <w:bookmarkStart w:id="46" w:name="page47"/>
    <w:bookmarkEnd w:id="46"/>
    <w:p>
      <w:pPr>
        <w:ind w:firstLine="233"/>
        <w:spacing w:after="0" w:line="271" w:lineRule="auto"/>
        <w:tabs>
          <w:tab w:leader="none" w:pos="405"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INDENTURE</w:t>
      </w:r>
      <w:r>
        <w:rPr>
          <w:rFonts w:ascii="Arial" w:cs="Arial" w:eastAsia="Arial" w:hAnsi="Arial"/>
          <w:sz w:val="17"/>
          <w:szCs w:val="17"/>
          <w:color w:val="auto"/>
        </w:rPr>
        <w:t>. This Note is one of a duly authenticated Series of securities of the Company issued and to be issued in one or more Series under an</w:t>
      </w:r>
      <w:r>
        <w:rPr>
          <w:rFonts w:ascii="Arial" w:cs="Arial" w:eastAsia="Arial" w:hAnsi="Arial"/>
          <w:sz w:val="17"/>
          <w:szCs w:val="17"/>
          <w:i w:val="1"/>
          <w:iCs w:val="1"/>
          <w:color w:val="auto"/>
        </w:rPr>
        <w:t xml:space="preserve"> </w:t>
      </w:r>
      <w:r>
        <w:rPr>
          <w:rFonts w:ascii="Arial" w:cs="Arial" w:eastAsia="Arial" w:hAnsi="Arial"/>
          <w:sz w:val="17"/>
          <w:szCs w:val="17"/>
          <w:color w:val="auto"/>
        </w:rPr>
        <w:t>indenture (the “</w:t>
      </w:r>
      <w:r>
        <w:rPr>
          <w:rFonts w:ascii="Arial" w:cs="Arial" w:eastAsia="Arial" w:hAnsi="Arial"/>
          <w:sz w:val="17"/>
          <w:szCs w:val="17"/>
          <w:b w:val="1"/>
          <w:bCs w:val="1"/>
          <w:i w:val="1"/>
          <w:iCs w:val="1"/>
          <w:color w:val="auto"/>
        </w:rPr>
        <w:t>Base Indenture</w:t>
      </w:r>
      <w:r>
        <w:rPr>
          <w:rFonts w:ascii="Arial" w:cs="Arial" w:eastAsia="Arial" w:hAnsi="Arial"/>
          <w:sz w:val="17"/>
          <w:szCs w:val="17"/>
          <w:color w:val="auto"/>
        </w:rPr>
        <w:t>”), dated as of June 30, 2009 between the Company and the Trustee, as amended by the Supplemental Indenture, dated as of June 30, 2009, between the Company and the Trustee (the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The terms of the Notes include those stated in the Indenture and those made part of the Indenture by reference to the TIA. The Notes are subject to all such terms, and Holders are referred to the Indenture and such Act for a statement of such terms. To the extent any provision of this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Notes pursuant to Section 2.3 of the Supplemental Indenture.</w:t>
      </w:r>
    </w:p>
    <w:p>
      <w:pPr>
        <w:spacing w:after="0" w:line="70" w:lineRule="exact"/>
        <w:rPr>
          <w:rFonts w:ascii="Arial" w:cs="Arial" w:eastAsia="Arial" w:hAnsi="Arial"/>
          <w:sz w:val="17"/>
          <w:szCs w:val="17"/>
          <w:color w:val="auto"/>
        </w:rPr>
      </w:pPr>
    </w:p>
    <w:p>
      <w:pPr>
        <w:ind w:left="420" w:hanging="187"/>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OPTIONAL REDEMPTION.</w:t>
      </w:r>
    </w:p>
    <w:p>
      <w:pPr>
        <w:spacing w:after="0" w:line="117"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Notes are redeemable at the option of the Company, at any time or from time to time, either in whole or in part, at a redemption price equal to the greater of the following amounts, plus, in each case, accrued and unpaid interest thereon to the redemption date:</w:t>
      </w:r>
    </w:p>
    <w:p>
      <w:pPr>
        <w:spacing w:after="0" w:line="62" w:lineRule="exact"/>
        <w:rPr>
          <w:sz w:val="20"/>
          <w:szCs w:val="20"/>
          <w:color w:val="auto"/>
        </w:rPr>
      </w:pPr>
    </w:p>
    <w:p>
      <w:pPr>
        <w:ind w:left="440" w:hanging="207"/>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ind w:left="500" w:hanging="267"/>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w:t>
      </w:r>
    </w:p>
    <w:p>
      <w:pPr>
        <w:spacing w:after="0" w:line="117" w:lineRule="exact"/>
        <w:rPr>
          <w:sz w:val="20"/>
          <w:szCs w:val="20"/>
          <w:color w:val="auto"/>
        </w:rPr>
      </w:pPr>
    </w:p>
    <w:p>
      <w:pPr>
        <w:ind w:firstLine="225"/>
        <w:spacing w:after="0" w:line="308" w:lineRule="auto"/>
        <w:rPr>
          <w:sz w:val="20"/>
          <w:szCs w:val="20"/>
          <w:color w:val="auto"/>
        </w:rPr>
      </w:pPr>
      <w:r>
        <w:rPr>
          <w:rFonts w:ascii="Arial" w:cs="Arial" w:eastAsia="Arial" w:hAnsi="Arial"/>
          <w:sz w:val="17"/>
          <w:szCs w:val="17"/>
          <w:color w:val="auto"/>
        </w:rPr>
        <w:t>In determining the present values of the Remaining Scheduled Payments, such payments shall be discounted to the redemption date on a semi-annual basis (assuming a 360-day year consisting of twelve 30-day months) using a discount rate equal to the Treasury Rate plus 37.5 basis points.</w:t>
      </w:r>
    </w:p>
    <w:p>
      <w:pPr>
        <w:spacing w:after="0" w:line="38"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 xml:space="preserve">Calculation of the foregoing shall be made by the Company or on the Company’s behalf by such person as the Company shall designate;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calculation shall not be a duty or obligation of the Trustee.</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Notes or portions thereof called for redemption.</w:t>
      </w:r>
    </w:p>
    <w:p>
      <w:pPr>
        <w:spacing w:after="0" w:line="62"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 partial redemption of the Notes may be effected by such method as the Trustee shall deem fair and appropriate and may provide for the selection for redemption of a portion of the principal amount of the Notes equal to an authorized denomination.</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No Notes of $2,000 or less can be redeemed in part. Notes in denominations larger than $2,000 may be redeemed in part but only in whole multiples of $1,000, unless all of the Notes held by a Holder are to be redeemed.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Notice of any redemption shall be mailed at least 15 days but not more than 60 days before the redemption date to each Holder of the Notes to be redeemed.</w:t>
      </w:r>
    </w:p>
    <w:p>
      <w:pPr>
        <w:spacing w:after="0" w:line="140" w:lineRule="exact"/>
        <w:rPr>
          <w:sz w:val="20"/>
          <w:szCs w:val="20"/>
          <w:color w:val="auto"/>
        </w:rPr>
      </w:pPr>
    </w:p>
    <w:p>
      <w:pPr>
        <w:ind w:left="420" w:hanging="187"/>
        <w:spacing w:after="0"/>
        <w:tabs>
          <w:tab w:leader="none" w:pos="42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MANDATORY REDEMPTION</w:t>
      </w:r>
      <w:r>
        <w:rPr>
          <w:rFonts w:ascii="Arial" w:cs="Arial" w:eastAsia="Arial" w:hAnsi="Arial"/>
          <w:sz w:val="16"/>
          <w:szCs w:val="16"/>
          <w:color w:val="auto"/>
        </w:rPr>
        <w:t>. The Company is not required to make any mandatory redemption or sinking fund payments with respect to the Notes.</w:t>
      </w:r>
    </w:p>
    <w:p>
      <w:pPr>
        <w:spacing w:after="0" w:line="140" w:lineRule="exact"/>
        <w:rPr>
          <w:rFonts w:ascii="Arial" w:cs="Arial" w:eastAsia="Arial" w:hAnsi="Arial"/>
          <w:sz w:val="16"/>
          <w:szCs w:val="16"/>
          <w:color w:val="auto"/>
        </w:rPr>
      </w:pPr>
    </w:p>
    <w:p>
      <w:pPr>
        <w:ind w:left="420" w:hanging="187"/>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OFFER TO PURCHASE UPON CHANGE OF CONTROL.</w:t>
      </w:r>
    </w:p>
    <w:p>
      <w:pPr>
        <w:spacing w:after="0" w:line="11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If a Change of Control Triggering Event occurs, unless the Company has exercised its option to redeem the Notes or has defeased the Notes or satisfied and discharged the Notes, the Company shall be required to make an offer (a “</w:t>
      </w:r>
      <w:r>
        <w:rPr>
          <w:rFonts w:ascii="Arial" w:cs="Arial" w:eastAsia="Arial" w:hAnsi="Arial"/>
          <w:sz w:val="17"/>
          <w:szCs w:val="17"/>
          <w:b w:val="1"/>
          <w:bCs w:val="1"/>
          <w:i w:val="1"/>
          <w:iCs w:val="1"/>
          <w:color w:val="auto"/>
        </w:rPr>
        <w:t>Change of Control Offer</w:t>
      </w:r>
      <w:r>
        <w:rPr>
          <w:rFonts w:ascii="Arial" w:cs="Arial" w:eastAsia="Arial" w:hAnsi="Arial"/>
          <w:sz w:val="17"/>
          <w:szCs w:val="17"/>
          <w:color w:val="auto"/>
        </w:rPr>
        <w:t>”) to each Holder of the Notes to repurchase all or any part (equal to $2,000 and in integral multiples of $1,000 in excess thereof) of that Holder’s Notes pursuant to the terms set forth in the Indenture. In a Change of Control Offer, the Company shall be required to offer payment in cash equal to 101% of the aggregate principal amount of the Notes repurchased, plus accrued and unpaid interest, if any, on the Notes repurchased to the date of repurchase.</w:t>
      </w:r>
    </w:p>
    <w:p>
      <w:pPr>
        <w:spacing w:after="0" w:line="64" w:lineRule="exact"/>
        <w:rPr>
          <w:sz w:val="20"/>
          <w:szCs w:val="20"/>
          <w:color w:val="auto"/>
        </w:rPr>
      </w:pPr>
    </w:p>
    <w:p>
      <w:pPr>
        <w:ind w:right="60" w:firstLine="233"/>
        <w:spacing w:after="0" w:line="293" w:lineRule="auto"/>
        <w:tabs>
          <w:tab w:leader="none" w:pos="405"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DENOMINATIONS, TRANSFER, EXCHANGE</w:t>
      </w:r>
      <w:r>
        <w:rPr>
          <w:rFonts w:ascii="Arial" w:cs="Arial" w:eastAsia="Arial" w:hAnsi="Arial"/>
          <w:sz w:val="16"/>
          <w:szCs w:val="16"/>
          <w:color w:val="auto"/>
        </w:rPr>
        <w:t>. The Notes are in registered form without coupons in denominations of $2,000 and integral multiples of</w:t>
      </w:r>
      <w:r>
        <w:rPr>
          <w:rFonts w:ascii="Arial" w:cs="Arial" w:eastAsia="Arial" w:hAnsi="Arial"/>
          <w:sz w:val="16"/>
          <w:szCs w:val="16"/>
          <w:i w:val="1"/>
          <w:iCs w:val="1"/>
          <w:color w:val="auto"/>
        </w:rPr>
        <w:t xml:space="preserve"> </w:t>
      </w:r>
      <w:r>
        <w:rPr>
          <w:rFonts w:ascii="Arial" w:cs="Arial" w:eastAsia="Arial" w:hAnsi="Arial"/>
          <w:sz w:val="16"/>
          <w:szCs w:val="16"/>
          <w:color w:val="auto"/>
        </w:rPr>
        <w:t>$1,000.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Note or portion of a Note selected for redemption, except for the unredeemed portion of any Note being redeemed in part. Also, the Company need not exchange or register the transfer of any Notes for a period of 15 days before the day of any selection of Notes to be redeemed or during the period between a record date and the corresponding Interest Payment Date.</w:t>
      </w:r>
    </w:p>
    <w:p>
      <w:pPr>
        <w:spacing w:after="0" w:line="56" w:lineRule="exact"/>
        <w:rPr>
          <w:rFonts w:ascii="Arial" w:cs="Arial" w:eastAsia="Arial" w:hAnsi="Arial"/>
          <w:sz w:val="16"/>
          <w:szCs w:val="16"/>
          <w:color w:val="auto"/>
        </w:rPr>
      </w:pPr>
    </w:p>
    <w:p>
      <w:pPr>
        <w:ind w:left="420" w:hanging="187"/>
        <w:spacing w:after="0"/>
        <w:tabs>
          <w:tab w:leader="none" w:pos="420"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The registered Holder of a Note may be treated as its owner for all purposes.</w:t>
      </w:r>
    </w:p>
    <w:p>
      <w:pPr>
        <w:spacing w:after="0" w:line="117" w:lineRule="exact"/>
        <w:rPr>
          <w:rFonts w:ascii="Arial" w:cs="Arial" w:eastAsia="Arial" w:hAnsi="Arial"/>
          <w:sz w:val="18"/>
          <w:szCs w:val="18"/>
          <w:color w:val="auto"/>
        </w:rPr>
      </w:pPr>
    </w:p>
    <w:p>
      <w:pPr>
        <w:ind w:firstLine="233"/>
        <w:spacing w:after="0" w:line="285" w:lineRule="auto"/>
        <w:tabs>
          <w:tab w:leader="none" w:pos="495"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AMENDMENT, SUPPLEMENT AND WAIVER</w:t>
      </w:r>
      <w:r>
        <w:rPr>
          <w:rFonts w:ascii="Arial" w:cs="Arial" w:eastAsia="Arial" w:hAnsi="Arial"/>
          <w:sz w:val="16"/>
          <w:szCs w:val="16"/>
          <w:color w:val="auto"/>
        </w:rPr>
        <w:t>. Subject to certain exceptions, the Indenture or the Notes may be amended or supplemented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of the Holders of at least a majority in principal amount of the Notes then outstanding, including, without limitation, consents obtained in connection with a tender offer or exchange offer for the Notes, and any existing default or compliance with any provision of the Indenture or the Notes, may be waived with the consent of the Holders of a majority in principal amount of the then outstanding Notes, including, without limitation, consents obtained in connection with a tender offer or exchange offer for the Notes. Without the consent of any Holder of a Note, the Indenture or the Notes may be amended or supplemented</w:t>
      </w:r>
    </w:p>
    <w:p>
      <w:pPr>
        <w:spacing w:after="0" w:line="2" w:lineRule="exact"/>
        <w:rPr>
          <w:rFonts w:ascii="Arial" w:cs="Arial" w:eastAsia="Arial" w:hAnsi="Arial"/>
          <w:sz w:val="16"/>
          <w:szCs w:val="16"/>
          <w:color w:val="auto"/>
        </w:rPr>
      </w:pPr>
    </w:p>
    <w:p>
      <w:pPr>
        <w:ind w:right="100" w:firstLine="8"/>
        <w:spacing w:after="0" w:line="253" w:lineRule="auto"/>
        <w:tabs>
          <w:tab w:leader="none" w:pos="2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cure any ambiguity, defect or inconsistency; (ii) to provide for a supplemental indenture as set forth in Article V of the Base Indenture; (iii) to provide for uncertificated Notes in addition to or in place of certificated Notes; (iv) to make any change that does not adversely affect the rights of any Holder; (v) to provide for the issuance of and establish the form and terms and conditions of the Securities of any Series as permitted by the Indenture; (vi) to evidence and provide for the acceptance of appointment under the Indenture by a successor Trustee and to add to or change any of the provisions of the Indenture as shall be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ind w:right="20"/>
        <w:spacing w:after="0" w:line="277" w:lineRule="auto"/>
        <w:rPr>
          <w:sz w:val="20"/>
          <w:szCs w:val="20"/>
          <w:color w:val="auto"/>
        </w:rPr>
      </w:pPr>
      <w:r>
        <w:rPr>
          <w:rFonts w:ascii="Arial" w:cs="Arial" w:eastAsia="Arial" w:hAnsi="Arial"/>
          <w:sz w:val="18"/>
          <w:szCs w:val="18"/>
          <w:color w:val="auto"/>
        </w:rPr>
        <w:t>necessary to provide for or facilitate the administration of the trusts under the Indenture by more than one Trustee; or (vii) to comply with the requirements of the SEC in order to effect or maintain the qualification of the Indenture under the TIA.</w:t>
      </w:r>
    </w:p>
    <w:p>
      <w:pPr>
        <w:spacing w:after="0" w:line="62" w:lineRule="exact"/>
        <w:rPr>
          <w:sz w:val="20"/>
          <w:szCs w:val="20"/>
          <w:color w:val="auto"/>
        </w:rPr>
      </w:pPr>
    </w:p>
    <w:p>
      <w:pPr>
        <w:ind w:right="280" w:firstLine="233"/>
        <w:spacing w:after="0" w:line="342" w:lineRule="auto"/>
        <w:tabs>
          <w:tab w:leader="none" w:pos="488"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DEFAULTS AND REMEDIES</w:t>
      </w:r>
      <w:r>
        <w:rPr>
          <w:rFonts w:ascii="Arial" w:cs="Arial" w:eastAsia="Arial" w:hAnsi="Arial"/>
          <w:sz w:val="16"/>
          <w:szCs w:val="16"/>
          <w:color w:val="auto"/>
        </w:rPr>
        <w:t>. If an Event of Default with respect to the Notes shall occur and be continuing, the principal of, and any accrued and</w:t>
      </w:r>
      <w:r>
        <w:rPr>
          <w:rFonts w:ascii="Arial" w:cs="Arial" w:eastAsia="Arial" w:hAnsi="Arial"/>
          <w:sz w:val="16"/>
          <w:szCs w:val="16"/>
          <w:i w:val="1"/>
          <w:iCs w:val="1"/>
          <w:color w:val="auto"/>
        </w:rPr>
        <w:t xml:space="preserve"> </w:t>
      </w:r>
      <w:r>
        <w:rPr>
          <w:rFonts w:ascii="Arial" w:cs="Arial" w:eastAsia="Arial" w:hAnsi="Arial"/>
          <w:sz w:val="16"/>
          <w:szCs w:val="16"/>
          <w:color w:val="auto"/>
        </w:rPr>
        <w:t>unpaid interest on, the outstanding Notes may be declared due and payable in the manner and with the effect provided in the Indenture.</w:t>
      </w:r>
    </w:p>
    <w:p>
      <w:pPr>
        <w:spacing w:after="0" w:line="15" w:lineRule="exact"/>
        <w:rPr>
          <w:rFonts w:ascii="Arial" w:cs="Arial" w:eastAsia="Arial" w:hAnsi="Arial"/>
          <w:sz w:val="16"/>
          <w:szCs w:val="16"/>
          <w:color w:val="auto"/>
        </w:rPr>
      </w:pPr>
    </w:p>
    <w:p>
      <w:pPr>
        <w:ind w:right="20" w:firstLine="233"/>
        <w:spacing w:after="0" w:line="277" w:lineRule="auto"/>
        <w:tabs>
          <w:tab w:leader="none" w:pos="49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r>
        <w:rPr>
          <w:rFonts w:ascii="Arial" w:cs="Arial" w:eastAsia="Arial" w:hAnsi="Arial"/>
          <w:sz w:val="18"/>
          <w:szCs w:val="18"/>
          <w:color w:val="auto"/>
        </w:rPr>
        <w:t>. The Trustee, in its individual or any other capacity, may become the owner or pledgee of the Notes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deal with the Company or an Affiliate of the Company with the same rights it would have if it were not Trustee.</w:t>
      </w:r>
    </w:p>
    <w:p>
      <w:pPr>
        <w:spacing w:after="0" w:line="62" w:lineRule="exact"/>
        <w:rPr>
          <w:rFonts w:ascii="Arial" w:cs="Arial" w:eastAsia="Arial" w:hAnsi="Arial"/>
          <w:sz w:val="18"/>
          <w:szCs w:val="18"/>
          <w:color w:val="auto"/>
        </w:rPr>
      </w:pPr>
    </w:p>
    <w:p>
      <w:pPr>
        <w:ind w:right="40" w:firstLine="233"/>
        <w:spacing w:after="0" w:line="312" w:lineRule="auto"/>
        <w:tabs>
          <w:tab w:leader="none" w:pos="495"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NO RECOURSE AGAINST OTHERS</w:t>
      </w:r>
      <w:r>
        <w:rPr>
          <w:rFonts w:ascii="Arial" w:cs="Arial" w:eastAsia="Arial" w:hAnsi="Arial"/>
          <w:sz w:val="16"/>
          <w:szCs w:val="16"/>
          <w:color w:val="auto"/>
        </w:rPr>
        <w:t>. A director, officer, employee or stockholder, as such, of the Company will not have any liability for any</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issue of the Notes.</w:t>
      </w:r>
    </w:p>
    <w:p>
      <w:pPr>
        <w:spacing w:after="0" w:line="38" w:lineRule="exact"/>
        <w:rPr>
          <w:rFonts w:ascii="Arial" w:cs="Arial" w:eastAsia="Arial" w:hAnsi="Arial"/>
          <w:sz w:val="16"/>
          <w:szCs w:val="16"/>
          <w:color w:val="auto"/>
        </w:rPr>
      </w:pPr>
    </w:p>
    <w:p>
      <w:pPr>
        <w:ind w:left="500" w:hanging="267"/>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 This Note will not be valid until authenticated by the manual signature of the Trustee or an authenticating agent.</w:t>
      </w:r>
    </w:p>
    <w:p>
      <w:pPr>
        <w:spacing w:after="0" w:line="117" w:lineRule="exact"/>
        <w:rPr>
          <w:rFonts w:ascii="Arial" w:cs="Arial" w:eastAsia="Arial" w:hAnsi="Arial"/>
          <w:sz w:val="18"/>
          <w:szCs w:val="18"/>
          <w:color w:val="auto"/>
        </w:rPr>
      </w:pPr>
    </w:p>
    <w:p>
      <w:pPr>
        <w:ind w:right="180" w:firstLine="233"/>
        <w:spacing w:after="0" w:line="264" w:lineRule="auto"/>
        <w:tabs>
          <w:tab w:leader="none" w:pos="49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 common), TEN</w:t>
      </w:r>
      <w:r>
        <w:rPr>
          <w:rFonts w:ascii="Arial" w:cs="Arial" w:eastAsia="Arial" w:hAnsi="Arial"/>
          <w:sz w:val="18"/>
          <w:szCs w:val="18"/>
          <w:i w:val="1"/>
          <w:iCs w:val="1"/>
          <w:color w:val="auto"/>
        </w:rPr>
        <w:t xml:space="preserve"> </w:t>
      </w:r>
      <w:r>
        <w:rPr>
          <w:rFonts w:ascii="Arial" w:cs="Arial" w:eastAsia="Arial" w:hAnsi="Arial"/>
          <w:sz w:val="18"/>
          <w:szCs w:val="18"/>
          <w:color w:val="auto"/>
        </w:rPr>
        <w:t>ENT (= tenants by the entireties), JT TEN (= joint tenants with right of survivorship and not as tenants in common), CUST (= Custodian), and U/G/M/A (= Uniform Gifts to Minors Act).</w:t>
      </w:r>
    </w:p>
    <w:p>
      <w:pPr>
        <w:spacing w:after="0" w:line="73" w:lineRule="exact"/>
        <w:rPr>
          <w:rFonts w:ascii="Arial" w:cs="Arial" w:eastAsia="Arial" w:hAnsi="Arial"/>
          <w:sz w:val="18"/>
          <w:szCs w:val="18"/>
          <w:color w:val="auto"/>
        </w:rPr>
      </w:pPr>
    </w:p>
    <w:p>
      <w:pPr>
        <w:ind w:left="500" w:hanging="267"/>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CUSIP NUMBERS</w:t>
      </w:r>
      <w:r>
        <w:rPr>
          <w:rFonts w:ascii="Arial" w:cs="Arial" w:eastAsia="Arial" w:hAnsi="Arial"/>
          <w:sz w:val="16"/>
          <w:szCs w:val="16"/>
          <w:color w:val="auto"/>
        </w:rPr>
        <w:t>. The Company has caused CUSIP numbers to be printed on the Notes and the Trustee shall use CUSIP numbers in notices of</w:t>
      </w:r>
    </w:p>
    <w:p>
      <w:pPr>
        <w:spacing w:after="0" w:line="46"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redemption as a convenience to Holders. No representation is made as to the correctness of such numbers either as printed on the Notes or as contained in any notice of redemption and reliance may be placed only on the other elements of identification printed on the Notes, and any such redemption shall not be affected by any defect in or omission of such numbers. The Company will furnish to any Holder upon written request and without charge a copy of the Base Indenture and the Supplemental Indenture. Requests may be made to:</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Norwood, Massachusetts 02062</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Attention: General Counsel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Note to:</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tcPr>
          <w:p>
            <w:pPr>
              <w:spacing w:after="0"/>
              <w:rPr>
                <w:sz w:val="21"/>
                <w:szCs w:val="21"/>
                <w:color w:val="auto"/>
              </w:rPr>
            </w:pPr>
          </w:p>
        </w:tc>
        <w:tc>
          <w:tcPr>
            <w:tcW w:w="6960" w:type="dxa"/>
            <w:vAlign w:val="bottom"/>
            <w:tcBorders>
              <w:top w:val="single" w:sz="8" w:color="auto"/>
            </w:tcBorders>
            <w:gridSpan w:val="4"/>
          </w:tcPr>
          <w:p>
            <w:pPr>
              <w:jc w:val="center"/>
              <w:ind w:right="4460"/>
              <w:spacing w:after="0"/>
              <w:rPr>
                <w:sz w:val="20"/>
                <w:szCs w:val="20"/>
                <w:color w:val="auto"/>
              </w:rPr>
            </w:pPr>
            <w:r>
              <w:rPr>
                <w:rFonts w:ascii="Arial" w:cs="Arial" w:eastAsia="Arial" w:hAnsi="Arial"/>
                <w:sz w:val="18"/>
                <w:szCs w:val="18"/>
                <w:color w:val="auto"/>
                <w:w w:val="89"/>
              </w:rPr>
              <w:t>(Insert assignee’s legal name)</w:t>
            </w:r>
          </w:p>
        </w:tc>
      </w:tr>
      <w:tr>
        <w:trPr>
          <w:trHeight w:val="323"/>
        </w:trPr>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24"/>
        </w:trPr>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60" w:type="dxa"/>
            <w:vAlign w:val="bottom"/>
            <w:gridSpan w:val="5"/>
          </w:tcPr>
          <w:p>
            <w:pPr>
              <w:jc w:val="center"/>
              <w:ind w:right="1760"/>
              <w:spacing w:after="0"/>
              <w:rPr>
                <w:sz w:val="20"/>
                <w:szCs w:val="20"/>
                <w:color w:val="auto"/>
              </w:rPr>
            </w:pPr>
            <w:r>
              <w:rPr>
                <w:rFonts w:ascii="Arial" w:cs="Arial" w:eastAsia="Arial" w:hAnsi="Arial"/>
                <w:sz w:val="18"/>
                <w:szCs w:val="18"/>
                <w:color w:val="auto"/>
                <w:w w:val="89"/>
              </w:rPr>
              <w:t>(Insert assignee’s soc. sec. or tax I.D. no.)</w:t>
            </w:r>
          </w:p>
        </w:tc>
      </w:tr>
      <w:tr>
        <w:trPr>
          <w:trHeight w:val="323"/>
        </w:trPr>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224"/>
        </w:trPr>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60" w:type="dxa"/>
            <w:vAlign w:val="bottom"/>
            <w:gridSpan w:val="5"/>
          </w:tcPr>
          <w:p>
            <w:pPr>
              <w:jc w:val="center"/>
              <w:ind w:right="176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269"/>
        </w:trPr>
        <w:tc>
          <w:tcPr>
            <w:tcW w:w="1760" w:type="dxa"/>
            <w:vAlign w:val="bottom"/>
            <w:gridSpan w:val="3"/>
          </w:tcPr>
          <w:p>
            <w:pPr>
              <w:spacing w:after="0"/>
              <w:rPr>
                <w:sz w:val="20"/>
                <w:szCs w:val="20"/>
                <w:color w:val="auto"/>
              </w:rPr>
            </w:pPr>
            <w:r>
              <w:rPr>
                <w:rFonts w:ascii="Arial" w:cs="Arial" w:eastAsia="Arial" w:hAnsi="Arial"/>
                <w:sz w:val="18"/>
                <w:szCs w:val="18"/>
                <w:color w:val="auto"/>
                <w:w w:val="93"/>
              </w:rPr>
              <w:t>and irrevocably appoint</w:t>
            </w:r>
          </w:p>
        </w:tc>
        <w:tc>
          <w:tcPr>
            <w:tcW w:w="2700" w:type="dxa"/>
            <w:vAlign w:val="bottom"/>
            <w:tcBorders>
              <w:bottom w:val="single" w:sz="8" w:color="auto"/>
            </w:tcBorders>
          </w:tcPr>
          <w:p>
            <w:pPr>
              <w:spacing w:after="0"/>
              <w:rPr>
                <w:sz w:val="23"/>
                <w:szCs w:val="23"/>
                <w:color w:val="auto"/>
              </w:rPr>
            </w:pPr>
          </w:p>
        </w:tc>
        <w:tc>
          <w:tcPr>
            <w:tcW w:w="6960" w:type="dxa"/>
            <w:vAlign w:val="bottom"/>
            <w:gridSpan w:val="4"/>
          </w:tcPr>
          <w:p>
            <w:pPr>
              <w:ind w:left="40"/>
              <w:spacing w:after="0"/>
              <w:rPr>
                <w:sz w:val="20"/>
                <w:szCs w:val="20"/>
                <w:color w:val="auto"/>
              </w:rPr>
            </w:pPr>
            <w:r>
              <w:rPr>
                <w:rFonts w:ascii="Arial" w:cs="Arial" w:eastAsia="Arial" w:hAnsi="Arial"/>
                <w:sz w:val="18"/>
                <w:szCs w:val="18"/>
                <w:color w:val="auto"/>
                <w:w w:val="91"/>
              </w:rPr>
              <w:t>to transfer this Note on the books of the Company. The agent may substitute another to act for</w:t>
            </w:r>
          </w:p>
        </w:tc>
      </w:tr>
      <w:tr>
        <w:trPr>
          <w:trHeight w:val="237"/>
        </w:trPr>
        <w:tc>
          <w:tcPr>
            <w:tcW w:w="1760" w:type="dxa"/>
            <w:vAlign w:val="bottom"/>
            <w:gridSpan w:val="3"/>
          </w:tcPr>
          <w:p>
            <w:pPr>
              <w:spacing w:after="0"/>
              <w:rPr>
                <w:sz w:val="20"/>
                <w:szCs w:val="20"/>
                <w:color w:val="auto"/>
              </w:rPr>
            </w:pPr>
            <w:r>
              <w:rPr>
                <w:rFonts w:ascii="Arial" w:cs="Arial" w:eastAsia="Arial" w:hAnsi="Arial"/>
                <w:sz w:val="18"/>
                <w:szCs w:val="18"/>
                <w:color w:val="auto"/>
              </w:rPr>
              <w:t>him.</w:t>
            </w:r>
          </w:p>
        </w:tc>
        <w:tc>
          <w:tcPr>
            <w:tcW w:w="27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92"/>
        </w:trPr>
        <w:tc>
          <w:tcPr>
            <w:tcW w:w="1760" w:type="dxa"/>
            <w:vAlign w:val="bottom"/>
            <w:gridSpan w:val="3"/>
          </w:tcPr>
          <w:p>
            <w:pPr>
              <w:spacing w:after="0"/>
              <w:rPr>
                <w:sz w:val="20"/>
                <w:szCs w:val="20"/>
                <w:color w:val="auto"/>
              </w:rPr>
            </w:pPr>
            <w:r>
              <w:rPr>
                <w:rFonts w:ascii="Arial" w:cs="Arial" w:eastAsia="Arial" w:hAnsi="Arial"/>
                <w:sz w:val="18"/>
                <w:szCs w:val="18"/>
                <w:color w:val="auto"/>
              </w:rPr>
              <w:t>Date:</w:t>
            </w:r>
          </w:p>
        </w:tc>
        <w:tc>
          <w:tcPr>
            <w:tcW w:w="2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2"/>
        </w:trPr>
        <w:tc>
          <w:tcPr>
            <w:tcW w:w="4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960" w:type="dxa"/>
            <w:vAlign w:val="bottom"/>
            <w:gridSpan w:val="4"/>
          </w:tcPr>
          <w:p>
            <w:pPr>
              <w:ind w:left="1260"/>
              <w:spacing w:after="0"/>
              <w:rPr>
                <w:sz w:val="20"/>
                <w:szCs w:val="20"/>
                <w:color w:val="auto"/>
              </w:rPr>
            </w:pPr>
            <w:r>
              <w:rPr>
                <w:rFonts w:ascii="Arial" w:cs="Arial" w:eastAsia="Arial" w:hAnsi="Arial"/>
                <w:sz w:val="18"/>
                <w:szCs w:val="18"/>
                <w:color w:val="auto"/>
              </w:rPr>
              <w:t>Your Signature:</w:t>
            </w:r>
          </w:p>
        </w:tc>
      </w:tr>
      <w:tr>
        <w:trPr>
          <w:trHeight w:val="230"/>
        </w:trPr>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0" w:type="dxa"/>
            <w:vAlign w:val="bottom"/>
          </w:tcPr>
          <w:p>
            <w:pPr>
              <w:ind w:left="1260"/>
              <w:spacing w:after="0"/>
              <w:rPr>
                <w:sz w:val="20"/>
                <w:szCs w:val="20"/>
                <w:color w:val="auto"/>
              </w:rPr>
            </w:pPr>
            <w:r>
              <w:rPr>
                <w:rFonts w:ascii="Arial" w:cs="Arial" w:eastAsia="Arial" w:hAnsi="Arial"/>
                <w:sz w:val="18"/>
                <w:szCs w:val="18"/>
                <w:color w:val="auto"/>
                <w:w w:val="90"/>
              </w:rPr>
              <w:t>(sign exactly as</w:t>
            </w:r>
          </w:p>
        </w:tc>
        <w:tc>
          <w:tcPr>
            <w:tcW w:w="40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your name appears on the face of this Note)</w:t>
            </w:r>
          </w:p>
        </w:tc>
        <w:tc>
          <w:tcPr>
            <w:tcW w:w="540" w:type="dxa"/>
            <w:vAlign w:val="bottom"/>
          </w:tcPr>
          <w:p>
            <w:pPr>
              <w:spacing w:after="0"/>
              <w:rPr>
                <w:sz w:val="20"/>
                <w:szCs w:val="20"/>
                <w:color w:val="auto"/>
              </w:rPr>
            </w:pPr>
          </w:p>
        </w:tc>
      </w:tr>
      <w:tr>
        <w:trPr>
          <w:trHeight w:val="425"/>
        </w:trPr>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80" w:type="dxa"/>
            <w:vAlign w:val="bottom"/>
            <w:gridSpan w:val="2"/>
          </w:tcPr>
          <w:p>
            <w:pPr>
              <w:ind w:left="1260"/>
              <w:spacing w:after="0"/>
              <w:rPr>
                <w:sz w:val="20"/>
                <w:szCs w:val="20"/>
                <w:color w:val="auto"/>
              </w:rPr>
            </w:pPr>
            <w:r>
              <w:rPr>
                <w:rFonts w:ascii="Arial" w:cs="Arial" w:eastAsia="Arial" w:hAnsi="Arial"/>
                <w:sz w:val="18"/>
                <w:szCs w:val="18"/>
                <w:color w:val="auto"/>
                <w:w w:val="94"/>
              </w:rPr>
              <w:t>Tax Identification No:</w:t>
            </w:r>
          </w:p>
        </w:tc>
        <w:tc>
          <w:tcPr>
            <w:tcW w:w="354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23495</wp:posOffset>
            </wp:positionV>
            <wp:extent cx="23152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2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7"/>
          <w:szCs w:val="17"/>
          <w:b w:val="1"/>
          <w:bCs w:val="1"/>
          <w:i w:val="1"/>
          <w:iCs w:val="1"/>
          <w:color w:val="auto"/>
        </w:rPr>
        <w:t>STAMP</w:t>
      </w:r>
      <w:r>
        <w:rPr>
          <w:rFonts w:ascii="Arial" w:cs="Arial" w:eastAsia="Arial" w:hAnsi="Arial"/>
          <w:sz w:val="17"/>
          <w:szCs w:val="17"/>
          <w:color w:val="auto"/>
        </w:rPr>
        <w:t>”) or such other “signature guarantee program” as may be determined by the Registrar in addition to, or in substitution for, STAMP, all in accordance with the Securities Exchange Act of 1934, as amended.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0" w:name="page51"/>
    <w:bookmarkEnd w:id="50"/>
    <w:p>
      <w:pPr>
        <w:ind w:left="3800"/>
        <w:spacing w:after="0"/>
        <w:rPr>
          <w:sz w:val="20"/>
          <w:szCs w:val="20"/>
          <w:color w:val="auto"/>
        </w:rPr>
      </w:pPr>
      <w:r>
        <w:rPr>
          <w:rFonts w:ascii="Arial" w:cs="Arial" w:eastAsia="Arial" w:hAnsi="Arial"/>
          <w:sz w:val="18"/>
          <w:szCs w:val="18"/>
          <w:b w:val="1"/>
          <w:bCs w:val="1"/>
          <w:color w:val="auto"/>
        </w:rPr>
        <w:t>OPTION OF HOLDER TO ELECT PURCHASE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you want to elect to have this Note purchased by the Company pursuant to Section 4.1 of the Supplemental Indenture, check the box below:</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Section 4.1</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4.1 of the Supplemental Indenture, state the amount you elect to have purchased: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-45085</wp:posOffset>
            </wp:positionV>
            <wp:extent cx="571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-10160</wp:posOffset>
            </wp:positionV>
            <wp:extent cx="8572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-130175</wp:posOffset>
            </wp:positionV>
            <wp:extent cx="25469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23495</wp:posOffset>
            </wp:positionV>
            <wp:extent cx="22466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23495</wp:posOffset>
            </wp:positionV>
            <wp:extent cx="23152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7"/>
          <w:szCs w:val="17"/>
          <w:b w:val="1"/>
          <w:bCs w:val="1"/>
          <w:i w:val="1"/>
          <w:iCs w:val="1"/>
          <w:color w:val="auto"/>
        </w:rPr>
        <w:t>STAMP”</w:t>
      </w:r>
      <w:r>
        <w:rPr>
          <w:rFonts w:ascii="Arial" w:cs="Arial" w:eastAsia="Arial" w:hAnsi="Arial"/>
          <w:sz w:val="17"/>
          <w:szCs w:val="17"/>
          <w:color w:val="auto"/>
        </w:rPr>
        <w:t>) or such other “signature guarantee program” as may be determined by the Registrar in addition to, or in substitution for, STAMP, all in accordance with the Securities Exchange Act of 1934, as amended.</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80"/>
          </w:cols>
          <w:pgMar w:left="240" w:top="959" w:right="3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6188075</wp:posOffset>
            </wp:positionH>
            <wp:positionV relativeFrom="paragraph">
              <wp:posOffset>154940</wp:posOffset>
            </wp:positionV>
            <wp:extent cx="106362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636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June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6548755</wp:posOffset>
            </wp:positionH>
            <wp:positionV relativeFrom="paragraph">
              <wp:posOffset>-121920</wp:posOffset>
            </wp:positionV>
            <wp:extent cx="702945" cy="300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2945" cy="3003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We have acted as counsel for Analog Devices, Inc., a Massachusetts corporation (the “Company”), in connection with the offer and sale of $375,000,000 aggregate principal amount of its 5.00% Notes due 2014 (the “Debt Securities”), pursuant to an underwriting agreement dated June 25, 2009 (the “Underwriting Agreement”), between the Company and Credit Suisse Securities, LLC, as representative of the several underwriters named in the Underwriting Agreement. The Debt Securities will be issued pursuant to an indenture to be dated as of June 30, 2009 between the Company and The Bank of New York Mellon Trust Company, N.A. (the “Trustee”), as supplemented by the supplemental indenture to be dated as of June 30, 2009 (the “Indenture”).</w:t>
      </w:r>
    </w:p>
    <w:p>
      <w:pPr>
        <w:spacing w:after="0" w:line="50" w:lineRule="exact"/>
        <w:rPr>
          <w:sz w:val="20"/>
          <w:szCs w:val="20"/>
          <w:color w:val="auto"/>
        </w:rPr>
      </w:pPr>
    </w:p>
    <w:p>
      <w:pPr>
        <w:ind w:right="20" w:firstLine="215"/>
        <w:spacing w:after="0" w:line="312" w:lineRule="auto"/>
        <w:rPr>
          <w:sz w:val="20"/>
          <w:szCs w:val="20"/>
          <w:color w:val="auto"/>
        </w:rPr>
      </w:pPr>
      <w:r>
        <w:rPr>
          <w:rFonts w:ascii="Arial" w:cs="Arial" w:eastAsia="Arial" w:hAnsi="Arial"/>
          <w:sz w:val="16"/>
          <w:szCs w:val="16"/>
          <w:color w:val="auto"/>
        </w:rPr>
        <w:t>As such counsel, we have assisted in the preparation and filing with the Securities and Exchange Commission (the “Commission”) of the Company’s prospectus supplement dated June 25, 2009 (the “Prospectus Supplement”) to the prospectus dated June 25, 2009 (the “Base Prospectus”), each relating to the registration statement on Form S-3 (File No. 333-160215) (the “Registration Statement”) filed by the Company with the Commission on June 25, 2009.</w:t>
      </w:r>
    </w:p>
    <w:p>
      <w:pPr>
        <w:spacing w:after="0" w:line="39"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We have examined and relied upon corporate or other proceedings of the Company regarding (i) the authorization of the execution and delivery of the Indenture, the Underwriting Agreement and the issuance of the Debt Securities, (ii) the Registration Statement, (iii) the Base Prospectus, (iv) the Prospectus Supplement, (v) the Underwriting Agreement and (vi) the Indenture. We have also examined and relied upon originals or copies, certified or otherwise identified to our satisfaction, of such other corporate records of the Company, such other agreements and instruments, certificates of public officials, officers of the Company and other persons, and such other documents, instruments and certificates as we have deemed necessary as a basis for the opinions hereinafter expressed.</w:t>
      </w:r>
    </w:p>
    <w:p>
      <w:pPr>
        <w:spacing w:after="0" w:line="85" w:lineRule="exact"/>
        <w:rPr>
          <w:sz w:val="20"/>
          <w:szCs w:val="20"/>
          <w:color w:val="auto"/>
        </w:rPr>
      </w:pPr>
    </w:p>
    <w:p>
      <w:pPr>
        <w:ind w:right="120" w:firstLine="225"/>
        <w:spacing w:after="0" w:line="312" w:lineRule="auto"/>
        <w:rPr>
          <w:sz w:val="20"/>
          <w:szCs w:val="20"/>
          <w:color w:val="auto"/>
        </w:rPr>
      </w:pPr>
      <w:r>
        <w:rPr>
          <w:rFonts w:ascii="Arial" w:cs="Arial" w:eastAsia="Arial" w:hAnsi="Arial"/>
          <w:sz w:val="16"/>
          <w:szCs w:val="16"/>
          <w:color w:val="auto"/>
        </w:rPr>
        <w:t>In our examination of the documents referred to above, we have assumed the genuineness of all signatures, the legal capacity of all individual signatories, the authenticity of all documents submitted to us as originals, the conformity to original documents of all documents submitted to us as copies, the authenticity of such original documents, and the completeness and accuracy of the corporate records of the Company provided to us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786130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170815</wp:posOffset>
            </wp:positionV>
            <wp:extent cx="5334000" cy="231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34000" cy="23177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6340475</wp:posOffset>
            </wp:positionH>
            <wp:positionV relativeFrom="page">
              <wp:posOffset>603250</wp:posOffset>
            </wp:positionV>
            <wp:extent cx="106362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063625" cy="146050"/>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rendering the opinions set forth below, we have assumed that (i) the Trustee has the power, corporate or other, to enter into and perform its obligations under the Indenture, (ii) the Indenture will be a valid and binding obligation of the Trustee, and (iii) the Trustee shall have been qualified under the Trust Indenture Act of 1939, as amended. We have also assumed the due authentication of the Debt Securities by the Trustee, that there will not have occurred, prior to the date of issuance of the Debt Securities, any change in law affecting the validity or enforceability of such Debt Securities and that at the time of the issuance and sale of the Debt Securities, the Board of Directors of the Company (or any committee thereof acting pursuant to authority properly delegated to such committee by the Board of Directors) has not taken any action to rescind or otherwise reduce its prior authorization of the issuance of the Debt Securities.</w:t>
      </w:r>
    </w:p>
    <w:p>
      <w:pPr>
        <w:spacing w:after="0" w:line="81"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We express no opinion herein as to the laws of any jurisdiction other than the state laws of the Commonwealth of Massachusetts, the state laws of the State of New York and the federal laws of the United States of America.</w:t>
      </w:r>
    </w:p>
    <w:p>
      <w:pPr>
        <w:spacing w:after="0" w:line="62"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have assumed for purposes of our opinions below that no authorization, approval or other action by, and no notice to or filing with, any governmental authority or regulatory body or (to the extent the same is required under any agreement or document binding on it of which an addressee has knowledge, has received notice or has reason to know) any other third party is required for the due execution, delivery or performance by the Company of the Indenture or the Debt Securities or, if any such authorization, approval, consent, action, notice or filing is required, it will have been duly obtained, taken, given or made and will be in full force and effect.</w:t>
      </w:r>
    </w:p>
    <w:p>
      <w:pPr>
        <w:spacing w:after="0" w:line="8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Our opinions below are qualified to the extent that they may be subject to or affected by (i) applicable bankruptcy, insolvency, reorganization, moratorium, usury, fraudulent conveyance or similar laws relating to or affecting the rights or remedies of creditors generally, (ii) duties and standards imposed on creditors and parties to contracts, including, without limitation, requirements of materiality, good faith, reasonableness and fair dealing, and (iii) general equitable principles. Furthermore, we express no opinion as to the availability of any equitable or specific remedy upon any breach of the Indenture or the Debt Securities, or to the successful assertion of any equitable defenses, inasmuch as the availability of such remedies or the success of any equitable defenses may be subject to the discretion of a court. We also express no opinion herein with respect to compliance by the Company with the securities or “blue sky” laws of any state or other jurisdiction of the United States or of any foreign jurisdiction. In addition, we express no opinion and make no statement herein with respect to the antifraud laws of any jurisdiction.</w:t>
      </w:r>
    </w:p>
    <w:p>
      <w:pPr>
        <w:spacing w:after="0" w:line="71"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On the basis of, and subject to, the foregoing, we are of the opinion that when the Debt Securities have been duly executed by the Company, and duly authenticated by the Trustee in accordance with the terms of the Indenture, and delivered to the purchasers thereof against payment of the consideration therefor duly approved by the Company, and subject to the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6340475</wp:posOffset>
            </wp:positionH>
            <wp:positionV relativeFrom="page">
              <wp:posOffset>603250</wp:posOffset>
            </wp:positionV>
            <wp:extent cx="106362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063625" cy="146050"/>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terms of the Debt Securities complying with then applicable law, not resulting in a default under or a breach of any agreement or instrument binding upon the Company and complying with any requirement or restriction imposed by any court or governmental entity having jurisdiction over the Company, the Debt Securities will constitute valid and binding obligations of the Company, enforceable against the Company in accordance with their terms.</w:t>
      </w:r>
    </w:p>
    <w:p>
      <w:pPr>
        <w:spacing w:after="0" w:line="3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is rendered as of the date hereof, and we disclaim any obligation to advise you of any change in any of the foregoing sources of law or subsequent developments in law or changes in facts or circumstances that might affect any matters or opinions set forth herein.</w:t>
      </w:r>
    </w:p>
    <w:p>
      <w:pPr>
        <w:spacing w:after="0" w:line="7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hereby consent to the filing of this opinion with the Commission as an exhibit to the Company’s Current Report on Form 8-K to be filed on or about June 30, 2009, which Form 8-K will be incorporated by reference into the Registration Statement and to the use of our name therein and in the related Base Prospectus, Preliminary Prospectus Supplement and Prospectus Supplement under the caption “Legal Matters.” In giving such consent, we do not hereby admit that we are in the category of persons whose consent is required under Section 7 of the Securities Act of 1933, as amended, or the rules and regulations of the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MARK G. BORDEN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Mark G. Borden, a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469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sectPr>
      <w:pgSz w:w="11900" w:h="16838" w:orient="portrait"/>
      <w:cols w:equalWidth="0" w:num="1">
        <w:col w:w="11340"/>
      </w:cols>
      <w:pgMar w:left="240" w:top="127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o"/>
      <w:numFmt w:val="bullet"/>
      <w:start w:val="1"/>
    </w:lvl>
  </w:abstractNum>
  <w:abstractNum w:abstractNumId="1">
    <w:nsid w:val="2901D82"/>
    <w:multiLevelType w:val="hybridMultilevel"/>
    <w:lvl w:ilvl="0">
      <w:lvlJc w:val="left"/>
      <w:lvlText w:val="(%1)"/>
      <w:numFmt w:val="lowerLetter"/>
      <w:start w:val="4"/>
    </w:lvl>
  </w:abstractNum>
  <w:abstractNum w:abstractNumId="2">
    <w:nsid w:val="3A95F874"/>
    <w:multiLevelType w:val="hybridMultilevel"/>
    <w:lvl w:ilvl="0">
      <w:lvlJc w:val="left"/>
      <w:lvlText w:val="%1."/>
      <w:numFmt w:val="decimal"/>
      <w:start w:val="1"/>
    </w:lvl>
    <w:lvl w:ilvl="1">
      <w:lvlJc w:val="left"/>
      <w:lvlText w:val="(%2)"/>
      <w:numFmt w:val="lowerLetter"/>
      <w:start w:val="1"/>
    </w:lvl>
  </w:abstractNum>
  <w:abstractNum w:abstractNumId="3">
    <w:nsid w:val="8138641"/>
    <w:multiLevelType w:val="hybridMultilevel"/>
    <w:lvl w:ilvl="0">
      <w:lvlJc w:val="left"/>
      <w:lvlText w:val="(%1)"/>
      <w:numFmt w:val="lowerLetter"/>
      <w:start w:val="2"/>
    </w:lvl>
  </w:abstractNum>
  <w:abstractNum w:abstractNumId="4">
    <w:nsid w:val="1E7FF521"/>
    <w:multiLevelType w:val="hybridMultilevel"/>
    <w:lvl w:ilvl="0">
      <w:lvlJc w:val="left"/>
      <w:lvlText w:val="(%1)"/>
      <w:numFmt w:val="lowerLetter"/>
      <w:start w:val="3"/>
    </w:lvl>
  </w:abstractNum>
  <w:abstractNum w:abstractNumId="5">
    <w:nsid w:val="7C3DBD3D"/>
    <w:multiLevelType w:val="hybridMultilevel"/>
    <w:lvl w:ilvl="0">
      <w:lvlJc w:val="left"/>
      <w:lvlText w:val="%1"/>
      <w:numFmt w:val="lowerLetter"/>
      <w:start w:val="1"/>
    </w:lvl>
    <w:lvl w:ilvl="1">
      <w:lvlJc w:val="left"/>
      <w:lvlText w:val="(%2)"/>
      <w:numFmt w:val="lowerRoman"/>
      <w:start w:val="2"/>
    </w:lvl>
  </w:abstractNum>
  <w:abstractNum w:abstractNumId="6">
    <w:nsid w:val="737B8DDC"/>
    <w:multiLevelType w:val="hybridMultilevel"/>
    <w:lvl w:ilvl="0">
      <w:lvlJc w:val="left"/>
      <w:lvlText w:val="(%1)"/>
      <w:numFmt w:val="lowerLetter"/>
      <w:start w:val="4"/>
    </w:lvl>
    <w:lvl w:ilvl="1">
      <w:lvlJc w:val="left"/>
      <w:lvlText w:val="%2"/>
      <w:numFmt w:val="lowerRoman"/>
      <w:start w:val="1"/>
    </w:lvl>
  </w:abstractNum>
  <w:abstractNum w:abstractNumId="7">
    <w:nsid w:val="6CEAF087"/>
    <w:multiLevelType w:val="hybridMultilevel"/>
    <w:lvl w:ilvl="0">
      <w:lvlJc w:val="left"/>
      <w:lvlText w:val="(%1)"/>
      <w:numFmt w:val="lowerLetter"/>
      <w:start w:val="6"/>
    </w:lvl>
  </w:abstractNum>
  <w:abstractNum w:abstractNumId="8">
    <w:nsid w:val="22221A70"/>
    <w:multiLevelType w:val="hybridMultilevel"/>
    <w:lvl w:ilvl="0">
      <w:lvlJc w:val="left"/>
      <w:lvlText w:val="(%1)"/>
      <w:numFmt w:val="lowerLetter"/>
      <w:start w:val="10"/>
    </w:lvl>
  </w:abstractNum>
  <w:abstractNum w:abstractNumId="9">
    <w:nsid w:val="4516DDE9"/>
    <w:multiLevelType w:val="hybridMultilevel"/>
    <w:lvl w:ilvl="0">
      <w:lvlJc w:val="left"/>
      <w:lvlText w:val="%1"/>
      <w:numFmt w:val="lowerLetter"/>
      <w:start w:val="1"/>
    </w:lvl>
    <w:lvl w:ilvl="1">
      <w:lvlJc w:val="left"/>
      <w:lvlText w:val="(%2)"/>
      <w:numFmt w:val="lowerLetter"/>
      <w:start w:val="16"/>
    </w:lvl>
  </w:abstractNum>
  <w:abstractNum w:abstractNumId="10">
    <w:nsid w:val="3006C83E"/>
    <w:multiLevelType w:val="hybridMultilevel"/>
    <w:lvl w:ilvl="0">
      <w:lvlJc w:val="left"/>
      <w:lvlText w:val="(%1)"/>
      <w:numFmt w:val="lowerLetter"/>
      <w:start w:val="22"/>
    </w:lvl>
    <w:lvl w:ilvl="1">
      <w:lvlJc w:val="left"/>
      <w:lvlText w:val="(%2)"/>
      <w:numFmt w:val="lowerLetter"/>
      <w:start w:val="18"/>
    </w:lvl>
  </w:abstractNum>
  <w:abstractNum w:abstractNumId="11">
    <w:nsid w:val="614FD4A1"/>
    <w:multiLevelType w:val="hybridMultilevel"/>
    <w:lvl w:ilvl="0">
      <w:lvlJc w:val="left"/>
      <w:lvlText w:val="(%1)"/>
      <w:numFmt w:val="lowerLetter"/>
      <w:start w:val="21"/>
    </w:lvl>
  </w:abstractNum>
  <w:abstractNum w:abstractNumId="12">
    <w:nsid w:val="419AC241"/>
    <w:multiLevelType w:val="hybridMultilevel"/>
    <w:lvl w:ilvl="0">
      <w:lvlJc w:val="left"/>
      <w:lvlText w:val="(%1)"/>
      <w:numFmt w:val="lowerLetter"/>
      <w:start w:val="25"/>
    </w:lvl>
  </w:abstractNum>
  <w:abstractNum w:abstractNumId="13">
    <w:nsid w:val="5577F8E1"/>
    <w:multiLevelType w:val="hybridMultilevel"/>
    <w:lvl w:ilvl="0">
      <w:lvlJc w:val="left"/>
      <w:lvlText w:val="%1"/>
      <w:numFmt w:val="decimal"/>
      <w:start w:val="1"/>
    </w:lvl>
    <w:lvl w:ilvl="1">
      <w:lvlJc w:val="left"/>
      <w:lvlText w:val="(%2)"/>
      <w:numFmt w:val="lowerLetter"/>
      <w:start w:val="27"/>
    </w:lvl>
  </w:abstractNum>
  <w:abstractNum w:abstractNumId="14">
    <w:nsid w:val="440BADFC"/>
    <w:multiLevelType w:val="hybridMultilevel"/>
    <w:lvl w:ilvl="0">
      <w:lvlJc w:val="left"/>
      <w:lvlText w:val="%1."/>
      <w:numFmt w:val="decimal"/>
      <w:start w:val="3"/>
    </w:lvl>
    <w:lvl w:ilvl="1">
      <w:lvlJc w:val="left"/>
      <w:lvlText w:val="%2"/>
      <w:numFmt w:val="lowerLetter"/>
      <w:start w:val="1"/>
    </w:lvl>
  </w:abstractNum>
  <w:abstractNum w:abstractNumId="15">
    <w:nsid w:val="5072367"/>
    <w:multiLevelType w:val="hybridMultilevel"/>
    <w:lvl w:ilvl="0">
      <w:lvlJc w:val="left"/>
      <w:lvlText w:val="%1."/>
      <w:numFmt w:val="decimal"/>
      <w:start w:val="4"/>
    </w:lvl>
    <w:lvl w:ilvl="1">
      <w:lvlJc w:val="left"/>
      <w:lvlText w:val="(%2)"/>
      <w:numFmt w:val="lowerLetter"/>
      <w:start w:val="1"/>
    </w:lvl>
  </w:abstractNum>
  <w:abstractNum w:abstractNumId="16">
    <w:nsid w:val="3804823E"/>
    <w:multiLevelType w:val="hybridMultilevel"/>
    <w:lvl w:ilvl="0">
      <w:lvlJc w:val="left"/>
      <w:lvlText w:val="(%1)"/>
      <w:numFmt w:val="lowerLetter"/>
      <w:start w:val="4"/>
    </w:lvl>
  </w:abstractNum>
  <w:abstractNum w:abstractNumId="17">
    <w:nsid w:val="77465F01"/>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18">
    <w:nsid w:val="7724C67E"/>
    <w:multiLevelType w:val="hybridMultilevel"/>
    <w:lvl w:ilvl="0">
      <w:lvlJc w:val="left"/>
      <w:lvlText w:val="%1."/>
      <w:numFmt w:val="decimal"/>
      <w:start w:val="6"/>
    </w:lvl>
    <w:lvl w:ilvl="1">
      <w:lvlJc w:val="left"/>
      <w:lvlText w:val="(%2)"/>
      <w:numFmt w:val="lowerLetter"/>
      <w:start w:val="2"/>
    </w:lvl>
    <w:lvl w:ilvl="2">
      <w:lvlJc w:val="left"/>
      <w:lvlText w:val="%3"/>
      <w:numFmt w:val="lowerLetter"/>
      <w:start w:val="1"/>
    </w:lvl>
  </w:abstractNum>
  <w:abstractNum w:abstractNumId="19">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0">
    <w:nsid w:val="2463B9EA"/>
    <w:multiLevelType w:val="hybridMultilevel"/>
    <w:lvl w:ilvl="0">
      <w:lvlJc w:val="left"/>
      <w:lvlText w:val="(%1)"/>
      <w:numFmt w:val="lowerLetter"/>
      <w:start w:val="3"/>
    </w:lvl>
  </w:abstractNum>
  <w:abstractNum w:abstractNumId="21">
    <w:nsid w:val="5E884ADC"/>
    <w:multiLevelType w:val="hybridMultilevel"/>
    <w:lvl w:ilvl="0">
      <w:lvlJc w:val="left"/>
      <w:lvlText w:val="%1."/>
      <w:numFmt w:val="decimal"/>
      <w:start w:val="8"/>
    </w:lvl>
  </w:abstractNum>
  <w:abstractNum w:abstractNumId="22">
    <w:nsid w:val="51EAD36B"/>
    <w:multiLevelType w:val="hybridMultilevel"/>
    <w:lvl w:ilvl="0">
      <w:lvlJc w:val="left"/>
      <w:lvlText w:val="(%1)"/>
      <w:numFmt w:val="lowerLetter"/>
      <w:start w:val="2"/>
    </w:lvl>
  </w:abstractNum>
  <w:abstractNum w:abstractNumId="23">
    <w:nsid w:val="2D517796"/>
    <w:multiLevelType w:val="hybridMultilevel"/>
    <w:lvl w:ilvl="0">
      <w:lvlJc w:val="left"/>
      <w:lvlText w:val="(%1)"/>
      <w:numFmt w:val="lowerLetter"/>
      <w:start w:val="3"/>
    </w:lvl>
  </w:abstractNum>
  <w:abstractNum w:abstractNumId="24">
    <w:nsid w:val="580BD78F"/>
    <w:multiLevelType w:val="hybridMultilevel"/>
    <w:lvl w:ilvl="0">
      <w:lvlJc w:val="left"/>
      <w:lvlText w:val="%1."/>
      <w:numFmt w:val="decimal"/>
      <w:start w:val="9"/>
    </w:lvl>
  </w:abstractNum>
  <w:abstractNum w:abstractNumId="25">
    <w:nsid w:val="153EA438"/>
    <w:multiLevelType w:val="hybridMultilevel"/>
    <w:lvl w:ilvl="0">
      <w:lvlJc w:val="left"/>
      <w:lvlText w:val="%1."/>
      <w:numFmt w:val="decimal"/>
      <w:start w:val="14"/>
    </w:lvl>
    <w:lvl w:ilvl="1">
      <w:lvlJc w:val="left"/>
      <w:lvlText w:val="(%2)"/>
      <w:numFmt w:val="lowerLetter"/>
      <w:start w:val="1"/>
    </w:lvl>
  </w:abstractNum>
  <w:abstractNum w:abstractNumId="26">
    <w:nsid w:val="3855585C"/>
    <w:multiLevelType w:val="hybridMultilevel"/>
    <w:lvl w:ilvl="0">
      <w:lvlJc w:val="left"/>
      <w:lvlText w:val="%1."/>
      <w:numFmt w:val="decimal"/>
      <w:start w:val="1"/>
    </w:lvl>
    <w:lvl w:ilvl="1">
      <w:lvlJc w:val="left"/>
      <w:lvlText w:val="%2."/>
      <w:numFmt w:val="decimal"/>
      <w:start w:val="1"/>
    </w:lvl>
  </w:abstractNum>
  <w:abstractNum w:abstractNumId="27">
    <w:nsid w:val="70A64E2A"/>
    <w:multiLevelType w:val="hybridMultilevel"/>
    <w:lvl w:ilvl="0">
      <w:lvlJc w:val="left"/>
      <w:lvlText w:val="(%1)"/>
      <w:numFmt w:val="lowerRoman"/>
      <w:start w:val="1"/>
    </w:lvl>
  </w:abstractNum>
  <w:abstractNum w:abstractNumId="28">
    <w:nsid w:val="6A2342EC"/>
    <w:multiLevelType w:val="hybridMultilevel"/>
    <w:lvl w:ilvl="0">
      <w:lvlJc w:val="left"/>
      <w:lvlText w:val="(%1)"/>
      <w:numFmt w:val="lowerRoman"/>
      <w:start w:val="4"/>
    </w:lvl>
  </w:abstractNum>
  <w:abstractNum w:abstractNumId="29">
    <w:nsid w:val="2A487CB0"/>
    <w:multiLevelType w:val="hybridMultilevel"/>
    <w:lvl w:ilvl="0">
      <w:lvlJc w:val="left"/>
      <w:lvlText w:val="(%1)"/>
      <w:numFmt w:val="lowerRoman"/>
      <w:start w:val="2"/>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2"/>
    </w:lvl>
  </w:abstractNum>
  <w:abstractNum w:abstractNumId="32">
    <w:nsid w:val="2CD89A32"/>
    <w:multiLevelType w:val="hybridMultilevel"/>
    <w:lvl w:ilvl="0">
      <w:lvlJc w:val="left"/>
      <w:lvlText w:val="(%1)"/>
      <w:numFmt w:val="lowerLetter"/>
      <w:start w:val="1"/>
    </w:lvl>
    <w:lvl w:ilvl="1">
      <w:lvlJc w:val="left"/>
      <w:lvlText w:val="(%2)"/>
      <w:numFmt w:val="decimal"/>
      <w:start w:val="1"/>
    </w:lvl>
  </w:abstractNum>
  <w:abstractNum w:abstractNumId="33">
    <w:nsid w:val="57E4CCAF"/>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4">
    <w:nsid w:val="7A6D8D3C"/>
    <w:multiLevelType w:val="hybridMultilevel"/>
    <w:lvl w:ilvl="0">
      <w:lvlJc w:val="left"/>
      <w:lvlText w:val="(%1)"/>
      <w:numFmt w:val="lowerLetter"/>
      <w:start w:val="3"/>
    </w:lvl>
  </w:abstractNum>
  <w:abstractNum w:abstractNumId="35">
    <w:nsid w:val="4B588F54"/>
    <w:multiLevelType w:val="hybridMultilevel"/>
    <w:lvl w:ilvl="0">
      <w:lvlJc w:val="left"/>
      <w:lvlText w:val="(%1)"/>
      <w:numFmt w:val="lowerLetter"/>
      <w:start w:val="4"/>
    </w:lvl>
  </w:abstractNum>
  <w:abstractNum w:abstractNumId="36">
    <w:nsid w:val="542289EC"/>
    <w:multiLevelType w:val="hybridMultilevel"/>
    <w:lvl w:ilvl="0">
      <w:lvlJc w:val="left"/>
      <w:lvlText w:val="(%1)"/>
      <w:numFmt w:val="lowerLetter"/>
      <w:start w:val="5"/>
    </w:lvl>
  </w:abstractNum>
  <w:abstractNum w:abstractNumId="37">
    <w:nsid w:val="6DE91B18"/>
    <w:multiLevelType w:val="hybridMultilevel"/>
    <w:lvl w:ilvl="0">
      <w:lvlJc w:val="left"/>
      <w:lvlText w:val="(%1)"/>
      <w:numFmt w:val="lowerLetter"/>
      <w:start w:val="6"/>
    </w:lvl>
    <w:lvl w:ilvl="1">
      <w:lvlJc w:val="left"/>
      <w:lvlText w:val="(%2)"/>
      <w:numFmt w:val="decimal"/>
      <w:start w:val="1"/>
    </w:lvl>
  </w:abstractNum>
  <w:abstractNum w:abstractNumId="38">
    <w:nsid w:val="38437FDB"/>
    <w:multiLevelType w:val="hybridMultilevel"/>
    <w:lvl w:ilvl="0">
      <w:lvlJc w:val="left"/>
      <w:lvlText w:val="(%1)"/>
      <w:numFmt w:val="decimal"/>
      <w:start w:val="3"/>
    </w:lvl>
    <w:lvl w:ilvl="1">
      <w:lvlJc w:val="left"/>
      <w:lvlText w:val="(%2)"/>
      <w:numFmt w:val="lowerRoman"/>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lowerRoman"/>
      <w:start w:val="1"/>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2"/>
    </w:lvl>
    <w:lvl w:ilvl="1">
      <w:lvlJc w:val="left"/>
      <w:lvlText w:val="(%2)"/>
      <w:numFmt w:val="decimal"/>
      <w:start w:val="1"/>
    </w:lvl>
  </w:abstractNum>
  <w:abstractNum w:abstractNumId="43">
    <w:nsid w:val="749ABB43"/>
    <w:multiLevelType w:val="hybridMultilevel"/>
    <w:lvl w:ilvl="0">
      <w:lvlJc w:val="left"/>
      <w:lvlText w:val="(%1)"/>
      <w:numFmt w:val="lowerLetter"/>
      <w:start w:val="5"/>
    </w:lvl>
  </w:abstractNum>
  <w:abstractNum w:abstractNumId="44">
    <w:nsid w:val="3DC240FB"/>
    <w:multiLevelType w:val="hybridMultilevel"/>
    <w:lvl w:ilvl="0">
      <w:lvlJc w:val="left"/>
      <w:lvlText w:val="(%1)"/>
      <w:numFmt w:val="lowerLetter"/>
      <w:start w:val="1"/>
    </w:lvl>
    <w:lvl w:ilvl="1">
      <w:lvlJc w:val="left"/>
      <w:lvlText w:val="(%2)"/>
      <w:numFmt w:val="decimal"/>
      <w:start w:val="1"/>
    </w:lvl>
  </w:abstractNum>
  <w:abstractNum w:abstractNumId="45">
    <w:nsid w:val="1BA026FA"/>
    <w:multiLevelType w:val="hybridMultilevel"/>
    <w:lvl w:ilvl="0">
      <w:lvlJc w:val="left"/>
      <w:lvlText w:val="%1"/>
      <w:numFmt w:val="lowerLetter"/>
      <w:start w:val="1"/>
    </w:lvl>
    <w:lvl w:ilvl="1">
      <w:lvlJc w:val="left"/>
      <w:lvlText w:val="(%2)"/>
      <w:numFmt w:val="decimal"/>
      <w:start w:val="7"/>
    </w:lvl>
  </w:abstractNum>
  <w:abstractNum w:abstractNumId="46">
    <w:nsid w:val="79A1DEAA"/>
    <w:multiLevelType w:val="hybridMultilevel"/>
    <w:lvl w:ilvl="0">
      <w:lvlJc w:val="left"/>
      <w:lvlText w:val="(%1)"/>
      <w:numFmt w:val="lowerLetter"/>
      <w:start w:val="2"/>
    </w:lvl>
    <w:lvl w:ilvl="1">
      <w:lvlJc w:val="left"/>
      <w:lvlText w:val="%2"/>
      <w:numFmt w:val="decimal"/>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3"/>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4"/>
    </w:lvl>
  </w:abstractNum>
  <w:abstractNum w:abstractNumId="51">
    <w:nsid w:val="374A3FE6"/>
    <w:multiLevelType w:val="hybridMultilevel"/>
    <w:lvl w:ilvl="0">
      <w:lvlJc w:val="left"/>
      <w:lvlText w:val="(%1)"/>
      <w:numFmt w:val="lowerRoman"/>
      <w:start w:val="1"/>
    </w:lvl>
  </w:abstractNum>
  <w:abstractNum w:abstractNumId="52">
    <w:nsid w:val="4F4EF005"/>
    <w:multiLevelType w:val="hybridMultilevel"/>
    <w:lvl w:ilvl="0">
      <w:lvlJc w:val="left"/>
      <w:lvlText w:val="%1."/>
      <w:numFmt w:val="decimal"/>
      <w:start w:val="6"/>
    </w:lvl>
  </w:abstractNum>
  <w:abstractNum w:abstractNumId="53">
    <w:nsid w:val="23F9C13C"/>
    <w:multiLevelType w:val="hybridMultilevel"/>
    <w:lvl w:ilvl="0">
      <w:lvlJc w:val="left"/>
      <w:lvlText w:val="%1"/>
      <w:numFmt w:val="lowerRoman"/>
      <w:start w:val="1"/>
    </w:lvl>
    <w:lvl w:ilvl="1">
      <w:lvlJc w:val="left"/>
      <w:lvlText w:val="%2."/>
      <w:numFmt w:val="decimal"/>
      <w:start w:val="8"/>
    </w:lvl>
  </w:abstractNum>
  <w:abstractNum w:abstractNumId="54">
    <w:nsid w:val="649BB77C"/>
    <w:multiLevelType w:val="hybridMultilevel"/>
    <w:lvl w:ilvl="0">
      <w:lvlJc w:val="left"/>
      <w:lvlText w:val="(%1)"/>
      <w:numFmt w:val="lowerRoman"/>
      <w:start w:val="1"/>
    </w:lvl>
    <w:lvl w:ilvl="1">
      <w:lvlJc w:val="left"/>
      <w:lvlText w:val="%2"/>
      <w:numFmt w:val="decimal"/>
      <w:start w:val="1"/>
    </w:lvl>
  </w:abstractNum>
  <w:abstractNum w:abstractNumId="55">
    <w:nsid w:val="275AC79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2019-12-09T20:07:55Z</dcterms:created>
  <dcterms:modified xsi:type="dcterms:W3CDTF">2019-12-09T20:07:55Z</dcterms:modified>
</cp:coreProperties>
</file>