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30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04" w:space="720"/>
            <w:col w:w="278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 July 13, 2020, Analog Devices, Inc. (the “Company”) updated its guidance for the third quarter of fiscal year 2020 as set forth in the press release attached hereto as Exhibit 99.1.</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contained in this Item 7.01 and in the accompanying Exhibit 99.1 shall not be incorporated by reference in such filing, unless expressly incorporated by specific reference to such filing. The information in this Item 7.01, including in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On July 13, 2020, the Company and Maxim Integrated Products, Inc. (“Maxim”) issued a joint press release announcing their entry into an Agreement and Plan of Merger, dated as of July 12, 2020, by and among the Company, Maxim and Magneto Corp., a wholly-owned subsidiary of the Company, providing for the acquisition of Maxim by the Company. A copy of the joint press release is attached hereto as Exhibit 99.2,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proposed transaction, the Company intends to file with the Securities and Exchange Act (the “SEC”) a registration statement on Form S-4 that will include a joint proxy statement of the Company and Maxim and that also constitutes a prospectus of the Company. Each of the Company and Maxim may also file other relevant documents with the SEC regarding the proposed transaction. This document is not a substitute for the joint proxy statement/prospectus or registration statement or any other document that the Company or Maxim may file with the SEC. The definitive joint proxy statement/prospectus (if and when available) will be mailed to stockholders of the Company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w:t>
      </w:r>
    </w:p>
    <w:p>
      <w:pPr>
        <w:sectPr>
          <w:pgSz w:w="11900" w:h="16838" w:orient="portrait"/>
          <w:cols w:equalWidth="0" w:num="1">
            <w:col w:w="11000"/>
          </w:cols>
          <w:pgMar w:left="440" w:top="297" w:right="459" w:bottom="1440" w:gutter="0" w:footer="0" w:header="0"/>
        </w:sectPr>
      </w:pPr>
    </w:p>
    <w:bookmarkStart w:id="2" w:name="page3"/>
    <w:bookmarkEnd w:id="2"/>
    <w:p>
      <w:pPr>
        <w:ind w:right="3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 xml:space="preserve">registration statement and joint proxy statement/prospectus (if and when available) and other documents containing important information about the Company, Maxim and the proposed transaction, once such documents are filed with the SEC through the website maintained by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Copies of the documents filed with the SEC by the Company will be available free of charge on the Company’s website at</w:t>
      </w:r>
      <w:r>
        <w:rPr>
          <w:rFonts w:ascii="Arial" w:cs="Arial" w:eastAsia="Arial" w:hAnsi="Arial"/>
          <w:sz w:val="16"/>
          <w:szCs w:val="16"/>
          <w:i w:val="1"/>
          <w:iCs w:val="1"/>
          <w:color w:val="auto"/>
        </w:rPr>
        <w:t xml:space="preserve"> http://www.analog.com </w:t>
      </w:r>
      <w:r>
        <w:rPr>
          <w:rFonts w:ascii="Arial" w:cs="Arial" w:eastAsia="Arial" w:hAnsi="Arial"/>
          <w:sz w:val="16"/>
          <w:szCs w:val="16"/>
          <w:color w:val="auto"/>
        </w:rPr>
        <w:t>or by contacting the Company’s Investor Relations Department by email at investor.relations@analog.com or by phone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781-461-3282. Copies of the documents filed with the SEC by Maxim will be available free of charge on Maxim’s website at </w:t>
      </w:r>
      <w:r>
        <w:rPr>
          <w:rFonts w:ascii="Arial" w:cs="Arial" w:eastAsia="Arial" w:hAnsi="Arial"/>
          <w:sz w:val="16"/>
          <w:szCs w:val="16"/>
          <w:i w:val="1"/>
          <w:iCs w:val="1"/>
          <w:color w:val="auto"/>
        </w:rPr>
        <w:t xml:space="preserve">investor.maximintegrated.com </w:t>
      </w:r>
      <w:r>
        <w:rPr>
          <w:rFonts w:ascii="Arial" w:cs="Arial" w:eastAsia="Arial" w:hAnsi="Arial"/>
          <w:sz w:val="16"/>
          <w:szCs w:val="16"/>
          <w:color w:val="auto"/>
        </w:rPr>
        <w:t>or by contacting Maxim’s Investor Relations department by phone at 408-601-5697.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Maxim and certain of their respective directors and executive officers may be deemed to be participants in the solicitation of proxies in respect of the proposed transaction. Information about the directors and executive officers of the Company, including a description of their direct or indirect interests, by security holdings or otherwise, is set forth in the Company’s proxy statement for its 2020 annual meeting of shareholders, which was filed with the SEC on January 24, 2020, and the Company’s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or Maxim using the sources indicated above.</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60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280" w:type="dxa"/>
            <w:vAlign w:val="bottom"/>
          </w:tcPr>
          <w:p>
            <w:pPr>
              <w:spacing w:after="0"/>
              <w:rPr>
                <w:sz w:val="14"/>
                <w:szCs w:val="14"/>
                <w:color w:val="auto"/>
              </w:rPr>
            </w:pP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99.1</w:t>
            </w:r>
          </w:p>
        </w:tc>
        <w:tc>
          <w:tcPr>
            <w:tcW w:w="6420" w:type="dxa"/>
            <w:vAlign w:val="bottom"/>
            <w:gridSpan w:val="3"/>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July 13, 2020.</w:t>
              </w:r>
            </w:hyperlink>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99.2</w:t>
            </w:r>
          </w:p>
        </w:tc>
        <w:tc>
          <w:tcPr>
            <w:tcW w:w="6420" w:type="dxa"/>
            <w:vAlign w:val="bottom"/>
            <w:gridSpan w:val="3"/>
          </w:tcPr>
          <w:p>
            <w:pPr>
              <w:ind w:left="6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Joint Press Release, dated July 13, 2020</w:t>
              </w:r>
            </w:hyperlink>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104</w:t>
            </w:r>
          </w:p>
        </w:tc>
        <w:tc>
          <w:tcPr>
            <w:tcW w:w="6420" w:type="dxa"/>
            <w:vAlign w:val="bottom"/>
            <w:gridSpan w:val="3"/>
          </w:tcPr>
          <w:p>
            <w:pPr>
              <w:ind w:left="60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13,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SVP of Communications</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Raises Third Quarter Fiscal 2020 Guidance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NORWOOD, Mass. – July 13, 2020 – Analog Devices, Inc. (Nasdaq: ADI), a leading global high-performance analog technology company, today provided updated financial guidance for the third quarter of fiscal 2020.</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ADI narrowed and raised its financial guidance for the third quarter of fiscal 2020. ADI currently anticipates revenue of approximately $1.45 billion, +/-$30 million. This compares to previous guidance of $1.32 billion, +/- $70 million, provided on May 20, 2020. At the midpoint of this revenue outlook, ADI expects reported EPS to be $0.91, +/- $0.07, and adjusted EPS to be $1.33, +/- $0.05. This compares to previous guidance for reported EPS of $0.72, +/- $0.11, and adjusted EPS of $1.08, +/- $0.11.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guidance increase is driven by better than expected demand across ADI’s end markets with particular strength in Communications and Industrial.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upside in demand has resulted in less cancellations and higher than anticipated backlog conversion.</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While ADI is encouraged by the continued resiliency of its business model, the shape of the economic recovery remains uncertain and near-term visibility is limited. ADI will provide financial guidance for its fourth quarter of fiscal 2020 on its third quarter earnings call on Wednesday, August 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ectPr>
          <w:pgSz w:w="11900" w:h="16838" w:orient="portrait"/>
          <w:cols w:equalWidth="0" w:num="1">
            <w:col w:w="11020"/>
          </w:cols>
          <w:pgMar w:left="440" w:top="121" w:right="4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non-GAAP financial measures referenced by ADI in this release include: adjusted income before income taxes, adjusted provision for income taxes, adjusted tax rate, and adjusted diluted earnings per share (EPS).</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Adjusted income before income taxes is defined as income before income taxes, determined in accordance with GAAP, excluding: </w:t>
      </w:r>
      <w:r>
        <w:rPr>
          <w:rFonts w:ascii="Arial" w:cs="Arial" w:eastAsia="Arial" w:hAnsi="Arial"/>
          <w:sz w:val="17"/>
          <w:szCs w:val="17"/>
          <w:i w:val="1"/>
          <w:iCs w:val="1"/>
          <w:color w:val="auto"/>
        </w:rPr>
        <w:t>acquisition-related</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w:t>
      </w:r>
      <w:r>
        <w:rPr>
          <w:rFonts w:ascii="Arial" w:cs="Arial" w:eastAsia="Arial" w:hAnsi="Arial"/>
          <w:sz w:val="14"/>
          <w:szCs w:val="14"/>
          <w:i w:val="1"/>
          <w:iCs w:val="1"/>
          <w:color w:val="auto"/>
        </w:rPr>
        <w:t>1</w:t>
      </w:r>
      <w:r>
        <w:rPr>
          <w:rFonts w:ascii="Arial" w:cs="Arial" w:eastAsia="Arial" w:hAnsi="Arial"/>
          <w:sz w:val="17"/>
          <w:szCs w:val="17"/>
          <w:color w:val="auto"/>
        </w:rPr>
        <w:t>;</w:t>
      </w:r>
      <w:r>
        <w:rPr>
          <w:rFonts w:ascii="Arial" w:cs="Arial" w:eastAsia="Arial" w:hAnsi="Arial"/>
          <w:sz w:val="17"/>
          <w:szCs w:val="17"/>
          <w:i w:val="1"/>
          <w:iCs w:val="1"/>
          <w:color w:val="auto"/>
        </w:rPr>
        <w:t xml:space="preserve"> restructuring related expense</w:t>
      </w:r>
      <w:r>
        <w:rPr>
          <w:rFonts w:ascii="Arial" w:cs="Arial" w:eastAsia="Arial" w:hAnsi="Arial"/>
          <w:sz w:val="14"/>
          <w:szCs w:val="14"/>
          <w:i w:val="1"/>
          <w:iCs w:val="1"/>
          <w:color w:val="auto"/>
        </w:rPr>
        <w:t>2</w:t>
      </w:r>
      <w:r>
        <w:rPr>
          <w:rFonts w:ascii="Arial" w:cs="Arial" w:eastAsia="Arial" w:hAnsi="Arial"/>
          <w:sz w:val="17"/>
          <w:szCs w:val="17"/>
          <w:color w:val="auto"/>
        </w:rPr>
        <w:t>; and</w:t>
      </w:r>
      <w:r>
        <w:rPr>
          <w:rFonts w:ascii="Arial" w:cs="Arial" w:eastAsia="Arial" w:hAnsi="Arial"/>
          <w:sz w:val="17"/>
          <w:szCs w:val="17"/>
          <w:i w:val="1"/>
          <w:iCs w:val="1"/>
          <w:color w:val="auto"/>
        </w:rPr>
        <w:t xml:space="preserve"> acquisition-related transaction costs</w:t>
      </w:r>
      <w:r>
        <w:rPr>
          <w:rFonts w:ascii="Arial" w:cs="Arial" w:eastAsia="Arial" w:hAnsi="Arial"/>
          <w:sz w:val="14"/>
          <w:szCs w:val="14"/>
          <w:i w:val="1"/>
          <w:iCs w:val="1"/>
          <w:color w:val="auto"/>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described further below.</w:t>
      </w:r>
    </w:p>
    <w:p>
      <w:pPr>
        <w:spacing w:after="0" w:line="14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Adjusted provision for income taxes is defined as provision for income taxes, determined in accordance with GAAP, excluding </w:t>
      </w:r>
      <w:r>
        <w:rPr>
          <w:rFonts w:ascii="Arial" w:cs="Arial" w:eastAsia="Arial" w:hAnsi="Arial"/>
          <w:sz w:val="16"/>
          <w:szCs w:val="16"/>
          <w:i w:val="1"/>
          <w:iCs w:val="1"/>
          <w:color w:val="auto"/>
        </w:rPr>
        <w:t>tax related items</w:t>
      </w:r>
      <w:r>
        <w:rPr>
          <w:rFonts w:ascii="Arial" w:cs="Arial" w:eastAsia="Arial" w:hAnsi="Arial"/>
          <w:sz w:val="13"/>
          <w:szCs w:val="13"/>
          <w:i w:val="1"/>
          <w:iCs w:val="1"/>
          <w:color w:val="auto"/>
        </w:rPr>
        <w:t>4</w:t>
      </w:r>
      <w:r>
        <w:rPr>
          <w:rFonts w:ascii="Arial" w:cs="Arial" w:eastAsia="Arial" w:hAnsi="Arial"/>
          <w:sz w:val="16"/>
          <w:szCs w:val="16"/>
          <w:color w:val="auto"/>
        </w:rPr>
        <w:t xml:space="preserve"> which are described further below. Adjusted tax rate represents adjusted provision for income taxes divided by adjusted income before income taxes.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Adjusted diluted EPS is defined as diluted EPS, determined in accordance with GAAP, excluding: </w:t>
      </w:r>
      <w:r>
        <w:rPr>
          <w:rFonts w:ascii="Arial" w:cs="Arial" w:eastAsia="Arial" w:hAnsi="Arial"/>
          <w:sz w:val="18"/>
          <w:szCs w:val="18"/>
          <w:i w:val="1"/>
          <w:iCs w:val="1"/>
          <w:color w:val="auto"/>
        </w:rPr>
        <w:t>acquisition-related expenses</w:t>
      </w:r>
      <w:r>
        <w:rPr>
          <w:rFonts w:ascii="Arial" w:cs="Arial" w:eastAsia="Arial" w:hAnsi="Arial"/>
          <w:sz w:val="15"/>
          <w:szCs w:val="15"/>
          <w:i w:val="1"/>
          <w:iCs w:val="1"/>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5"/>
          <w:szCs w:val="15"/>
          <w:i w:val="1"/>
          <w:iCs w:val="1"/>
          <w:color w:val="auto"/>
        </w:rPr>
        <w:t>2</w:t>
      </w:r>
      <w:r>
        <w:rPr>
          <w:rFonts w:ascii="Arial" w:cs="Arial" w:eastAsia="Arial" w:hAnsi="Arial"/>
          <w:sz w:val="18"/>
          <w:szCs w:val="18"/>
          <w:color w:val="auto"/>
        </w:rPr>
        <w:t>;</w:t>
      </w:r>
      <w:r>
        <w:rPr>
          <w:rFonts w:ascii="Arial" w:cs="Arial" w:eastAsia="Arial" w:hAnsi="Arial"/>
          <w:sz w:val="18"/>
          <w:szCs w:val="18"/>
          <w:i w:val="1"/>
          <w:iCs w:val="1"/>
          <w:color w:val="auto"/>
        </w:rPr>
        <w:t xml:space="preserve"> acquisition-related transaction costs</w:t>
      </w:r>
      <w:r>
        <w:rPr>
          <w:rFonts w:ascii="Arial" w:cs="Arial" w:eastAsia="Arial" w:hAnsi="Arial"/>
          <w:sz w:val="15"/>
          <w:szCs w:val="15"/>
          <w:i w:val="1"/>
          <w:iCs w:val="1"/>
          <w:color w:val="auto"/>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tax related items</w:t>
      </w:r>
      <w:r>
        <w:rPr>
          <w:rFonts w:ascii="Arial" w:cs="Arial" w:eastAsia="Arial" w:hAnsi="Arial"/>
          <w:sz w:val="15"/>
          <w:szCs w:val="15"/>
          <w:i w:val="1"/>
          <w:iCs w:val="1"/>
          <w:color w:val="auto"/>
        </w:rPr>
        <w:t>4</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described further below.</w:t>
      </w:r>
    </w:p>
    <w:p>
      <w:pPr>
        <w:spacing w:after="0" w:line="62" w:lineRule="exact"/>
        <w:rPr>
          <w:sz w:val="20"/>
          <w:szCs w:val="20"/>
          <w:color w:val="auto"/>
        </w:rPr>
      </w:pPr>
    </w:p>
    <w:p>
      <w:pPr>
        <w:ind w:left="440" w:right="100"/>
        <w:spacing w:after="0" w:line="273" w:lineRule="auto"/>
        <w:rPr>
          <w:sz w:val="20"/>
          <w:szCs w:val="20"/>
          <w:color w:val="auto"/>
        </w:rPr>
      </w:pPr>
      <w:r>
        <w:rPr>
          <w:rFonts w:ascii="Arial" w:cs="Arial" w:eastAsia="Arial" w:hAnsi="Arial"/>
          <w:sz w:val="15"/>
          <w:szCs w:val="15"/>
          <w:i w:val="1"/>
          <w:iCs w:val="1"/>
          <w:color w:val="auto"/>
        </w:rPr>
        <w:t>1</w:t>
      </w:r>
      <w:r>
        <w:rPr>
          <w:rFonts w:ascii="Arial" w:cs="Arial" w:eastAsia="Arial" w:hAnsi="Arial"/>
          <w:sz w:val="17"/>
          <w:szCs w:val="17"/>
          <w:i w:val="1"/>
          <w:iCs w:val="1"/>
          <w:color w:val="auto"/>
        </w:rPr>
        <w:t>Acquisition-Related Expenses</w:t>
      </w:r>
      <w:r>
        <w:rPr>
          <w:rFonts w:ascii="Arial" w:cs="Arial" w:eastAsia="Arial" w:hAnsi="Arial"/>
          <w:sz w:val="17"/>
          <w:szCs w:val="17"/>
          <w:color w:val="auto"/>
        </w:rPr>
        <w:t>: Expenses incurred as a result of current and prior period acquisitions and primarily include expenses associated</w:t>
      </w:r>
      <w:r>
        <w:rPr>
          <w:rFonts w:ascii="Arial" w:cs="Arial" w:eastAsia="Arial" w:hAnsi="Arial"/>
          <w:sz w:val="15"/>
          <w:szCs w:val="15"/>
          <w:i w:val="1"/>
          <w:iCs w:val="1"/>
          <w:color w:val="auto"/>
        </w:rPr>
        <w:t xml:space="preserve"> </w:t>
      </w:r>
      <w:r>
        <w:rPr>
          <w:rFonts w:ascii="Arial" w:cs="Arial" w:eastAsia="Arial" w:hAnsi="Arial"/>
          <w:sz w:val="17"/>
          <w:szCs w:val="17"/>
          <w:color w:val="auto"/>
        </w:rPr>
        <w:t>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70" w:lineRule="exact"/>
        <w:rPr>
          <w:sz w:val="20"/>
          <w:szCs w:val="20"/>
          <w:color w:val="auto"/>
        </w:rPr>
      </w:pPr>
    </w:p>
    <w:p>
      <w:pPr>
        <w:ind w:left="440" w:right="40"/>
        <w:spacing w:after="0" w:line="279" w:lineRule="auto"/>
        <w:rPr>
          <w:sz w:val="20"/>
          <w:szCs w:val="20"/>
          <w:color w:val="auto"/>
        </w:rPr>
      </w:pPr>
      <w:r>
        <w:rPr>
          <w:rFonts w:ascii="Arial" w:cs="Arial" w:eastAsia="Arial" w:hAnsi="Arial"/>
          <w:sz w:val="15"/>
          <w:szCs w:val="15"/>
          <w:i w:val="1"/>
          <w:iCs w:val="1"/>
          <w:color w:val="auto"/>
        </w:rPr>
        <w:t>2</w:t>
      </w:r>
      <w:r>
        <w:rPr>
          <w:rFonts w:ascii="Arial" w:cs="Arial" w:eastAsia="Arial" w:hAnsi="Arial"/>
          <w:sz w:val="17"/>
          <w:szCs w:val="17"/>
          <w:i w:val="1"/>
          <w:iCs w:val="1"/>
          <w:color w:val="auto"/>
        </w:rPr>
        <w:t>Restructuring-Related Expense</w:t>
      </w:r>
      <w:r>
        <w:rPr>
          <w:rFonts w:ascii="Arial" w:cs="Arial" w:eastAsia="Arial" w:hAnsi="Arial"/>
          <w:sz w:val="17"/>
          <w:szCs w:val="17"/>
          <w:color w:val="auto"/>
        </w:rPr>
        <w:t>: Expenses incurred in connection with facility closures, consolidation of manufacturing facilities, severance,</w:t>
      </w:r>
      <w:r>
        <w:rPr>
          <w:rFonts w:ascii="Arial" w:cs="Arial" w:eastAsia="Arial" w:hAnsi="Arial"/>
          <w:sz w:val="15"/>
          <w:szCs w:val="15"/>
          <w:i w:val="1"/>
          <w:iCs w:val="1"/>
          <w:color w:val="auto"/>
        </w:rPr>
        <w:t xml:space="preserve"> </w:t>
      </w:r>
      <w:r>
        <w:rPr>
          <w:rFonts w:ascii="Arial" w:cs="Arial" w:eastAsia="Arial" w:hAnsi="Arial"/>
          <w:sz w:val="17"/>
          <w:szCs w:val="17"/>
          <w:color w:val="auto"/>
        </w:rPr>
        <w:t>other accelerated stock-based compensation expense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63"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5"/>
          <w:szCs w:val="15"/>
          <w:i w:val="1"/>
          <w:iCs w:val="1"/>
          <w:color w:val="auto"/>
        </w:rPr>
        <w:t>3</w:t>
      </w:r>
      <w:r>
        <w:rPr>
          <w:rFonts w:ascii="Arial" w:cs="Arial" w:eastAsia="Arial" w:hAnsi="Arial"/>
          <w:sz w:val="17"/>
          <w:szCs w:val="17"/>
          <w:i w:val="1"/>
          <w:iCs w:val="1"/>
          <w:color w:val="auto"/>
        </w:rPr>
        <w:t>Acquisition-Related Transaction Costs</w:t>
      </w:r>
      <w:r>
        <w:rPr>
          <w:rFonts w:ascii="Arial" w:cs="Arial" w:eastAsia="Arial" w:hAnsi="Arial"/>
          <w:sz w:val="17"/>
          <w:szCs w:val="17"/>
          <w:color w:val="auto"/>
        </w:rPr>
        <w:t>: Costs directly related to certain acquisitions, including legal, accounting and other professional fees, as</w:t>
      </w:r>
      <w:r>
        <w:rPr>
          <w:rFonts w:ascii="Arial" w:cs="Arial" w:eastAsia="Arial" w:hAnsi="Arial"/>
          <w:sz w:val="15"/>
          <w:szCs w:val="15"/>
          <w:i w:val="1"/>
          <w:iCs w:val="1"/>
          <w:color w:val="auto"/>
        </w:rPr>
        <w:t xml:space="preserve"> </w:t>
      </w:r>
      <w:r>
        <w:rPr>
          <w:rFonts w:ascii="Arial" w:cs="Arial" w:eastAsia="Arial" w:hAnsi="Arial"/>
          <w:sz w:val="17"/>
          <w:szCs w:val="17"/>
          <w:color w:val="auto"/>
        </w:rPr>
        <w:t>well as integration-related costs. We excluded these costs from our non-GAAP measures because they relate to a specific transaction and are not reflective of our ongoing financial performance.</w:t>
      </w:r>
    </w:p>
    <w:p>
      <w:pPr>
        <w:spacing w:after="0" w:line="57" w:lineRule="exact"/>
        <w:rPr>
          <w:sz w:val="20"/>
          <w:szCs w:val="20"/>
          <w:color w:val="auto"/>
        </w:rPr>
      </w:pPr>
    </w:p>
    <w:p>
      <w:pPr>
        <w:ind w:left="440" w:right="60"/>
        <w:spacing w:after="0" w:line="342" w:lineRule="auto"/>
        <w:rPr>
          <w:sz w:val="20"/>
          <w:szCs w:val="20"/>
          <w:color w:val="auto"/>
        </w:rPr>
      </w:pPr>
      <w:r>
        <w:rPr>
          <w:rFonts w:ascii="Arial" w:cs="Arial" w:eastAsia="Arial" w:hAnsi="Arial"/>
          <w:sz w:val="14"/>
          <w:szCs w:val="14"/>
          <w:i w:val="1"/>
          <w:iCs w:val="1"/>
          <w:color w:val="auto"/>
        </w:rPr>
        <w:t>4</w:t>
      </w:r>
      <w:r>
        <w:rPr>
          <w:rFonts w:ascii="Arial" w:cs="Arial" w:eastAsia="Arial" w:hAnsi="Arial"/>
          <w:sz w:val="16"/>
          <w:szCs w:val="16"/>
          <w:i w:val="1"/>
          <w:iCs w:val="1"/>
          <w:color w:val="auto"/>
        </w:rPr>
        <w:t>Tax-Related Items</w:t>
      </w:r>
      <w:r>
        <w:rPr>
          <w:rFonts w:ascii="Arial" w:cs="Arial" w:eastAsia="Arial" w:hAnsi="Arial"/>
          <w:sz w:val="16"/>
          <w:szCs w:val="16"/>
          <w:color w:val="auto"/>
        </w:rPr>
        <w:t>: Income tax effect of the non-GAAP items discussed above and income tax from certain discrete tax items. We excluded these</w:t>
      </w:r>
      <w:r>
        <w:rPr>
          <w:rFonts w:ascii="Arial" w:cs="Arial" w:eastAsia="Arial" w:hAnsi="Arial"/>
          <w:sz w:val="14"/>
          <w:szCs w:val="14"/>
          <w:i w:val="1"/>
          <w:iCs w:val="1"/>
          <w:color w:val="auto"/>
        </w:rPr>
        <w:t xml:space="preserve"> </w:t>
      </w:r>
      <w:r>
        <w:rPr>
          <w:rFonts w:ascii="Arial" w:cs="Arial" w:eastAsia="Arial" w:hAnsi="Arial"/>
          <w:sz w:val="16"/>
          <w:szCs w:val="16"/>
          <w:color w:val="auto"/>
        </w:rPr>
        <w:t>tax-related items from our non-GAAP measures because they are not associated with the tax expense on our current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which address a variety of subjects including, for example, our statements regarding expected revenue, operating margin, tax rate, earnings per share, and other financial results, expected market trends, market share gains, operating leverage, production and inventory levels, and expected customer demand and order rates for our products,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estimates of our expected tax rate based on current tax law; our ability to successfully integrate acquired businesses and technologies; the risk that expected benefits, synergies and growth prospects of acquisitions may not be fully achieved in a timely manner, or at all; adverse results in litigation matters; and the risk that we will be unable to retain and hire key personnel.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9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Ending August 1, 2020</w:t>
            </w:r>
          </w:p>
        </w:tc>
      </w:tr>
      <w:tr>
        <w:trPr>
          <w:trHeight w:val="142"/>
        </w:trPr>
        <w:tc>
          <w:tcPr>
            <w:tcW w:w="5380" w:type="dxa"/>
            <w:vAlign w:val="bottom"/>
          </w:tcPr>
          <w:p>
            <w:pPr>
              <w:spacing w:after="0"/>
              <w:rPr>
                <w:sz w:val="12"/>
                <w:szCs w:val="12"/>
                <w:color w:val="auto"/>
              </w:rPr>
            </w:pPr>
          </w:p>
        </w:tc>
        <w:tc>
          <w:tcPr>
            <w:tcW w:w="17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Reported</w:t>
            </w: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Adjusted</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$1.45 Billion</w:t>
            </w:r>
          </w:p>
        </w:tc>
        <w:tc>
          <w:tcPr>
            <w:tcW w:w="5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$1.45 Billion</w:t>
            </w:r>
          </w:p>
        </w:tc>
      </w:tr>
      <w:tr>
        <w:trPr>
          <w:trHeight w:val="230"/>
        </w:trPr>
        <w:tc>
          <w:tcPr>
            <w:tcW w:w="53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 $30 Million)</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 $30 Million)</w:t>
            </w:r>
          </w:p>
        </w:tc>
      </w:tr>
      <w:tr>
        <w:trPr>
          <w:trHeight w:val="94"/>
        </w:trPr>
        <w:tc>
          <w:tcPr>
            <w:tcW w:w="5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rate</w:t>
            </w:r>
          </w:p>
        </w:tc>
        <w:tc>
          <w:tcPr>
            <w:tcW w:w="17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0"/>
              </w:rPr>
              <w:t>6% to 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to 12% (1)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Earnings per share</w:t>
            </w:r>
          </w:p>
        </w:tc>
        <w:tc>
          <w:tcPr>
            <w:tcW w:w="1240" w:type="dxa"/>
            <w:vAlign w:val="bottom"/>
          </w:tcPr>
          <w:p>
            <w:pPr>
              <w:jc w:val="right"/>
              <w:ind w:right="335"/>
              <w:spacing w:after="0"/>
              <w:rPr>
                <w:sz w:val="20"/>
                <w:szCs w:val="20"/>
                <w:color w:val="auto"/>
              </w:rPr>
            </w:pPr>
            <w:r>
              <w:rPr>
                <w:rFonts w:ascii="Arial" w:cs="Arial" w:eastAsia="Arial" w:hAnsi="Arial"/>
                <w:sz w:val="18"/>
                <w:szCs w:val="18"/>
                <w:color w:val="auto"/>
              </w:rPr>
              <w:t>$0.91</w:t>
            </w:r>
          </w:p>
        </w:tc>
        <w:tc>
          <w:tcPr>
            <w:tcW w:w="50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$1.33 (2)</w:t>
            </w:r>
          </w:p>
        </w:tc>
      </w:tr>
      <w:tr>
        <w:trPr>
          <w:trHeight w:val="216"/>
        </w:trPr>
        <w:tc>
          <w:tcPr>
            <w:tcW w:w="5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$0.07)</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$0.05)</w:t>
            </w:r>
          </w:p>
        </w:tc>
      </w:tr>
    </w:tbl>
    <w:p>
      <w:pPr>
        <w:sectPr>
          <w:pgSz w:w="11900" w:h="16838" w:orient="portrait"/>
          <w:cols w:equalWidth="0" w:num="1">
            <w:col w:w="11000"/>
          </w:cols>
          <w:pgMar w:left="440" w:top="270" w:right="459" w:bottom="1440" w:gutter="0" w:footer="0" w:header="0"/>
        </w:sectPr>
      </w:pPr>
    </w:p>
    <w:bookmarkStart w:id="7" w:name="page8"/>
    <w:bookmarkEnd w:id="7"/>
    <w:p>
      <w:pPr>
        <w:ind w:left="9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midpoint, includes $26 million of tax provision associated with the adjustments for acquisition related expenses, restructuring related expenses, and acquisition related transaction costs excluded from our Adjusted income before tax and approximately $10 million of income tax benefit from certain discrete tax items.</w:t>
      </w:r>
    </w:p>
    <w:p>
      <w:pPr>
        <w:spacing w:after="0" w:line="89" w:lineRule="exact"/>
        <w:rPr>
          <w:rFonts w:ascii="Arial" w:cs="Arial" w:eastAsia="Arial" w:hAnsi="Arial"/>
          <w:sz w:val="18"/>
          <w:szCs w:val="18"/>
          <w:color w:val="auto"/>
        </w:rPr>
      </w:pPr>
    </w:p>
    <w:p>
      <w:pPr>
        <w:ind w:left="960" w:right="18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midpoint, includes $0.42 of adjustments related to the net impact of $0.42 of acquisition related expenses, $0.10 of restructuring related expenses and acquisition related transaction costs, $0.07 of tax effects on those items as well as $0.03 of income tax benefit from certain discrete tax items.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Andrea Calise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917-826-3804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andrea.calise@teneo.com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Ms. Andrea Duffy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646-984-0240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andrea.duffy@teneo.com</w:t>
      </w:r>
    </w:p>
    <w:p>
      <w:pPr>
        <w:sectPr>
          <w:pgSz w:w="11900" w:h="16838" w:orient="portrait"/>
          <w:cols w:equalWidth="0" w:num="1">
            <w:col w:w="10980"/>
          </w:cols>
          <w:pgMar w:left="440" w:top="274"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Analog Devices Announces Combination with Maxim Integrated, Strengthening Analog Semiconductor Leadership</w:t>
      </w:r>
    </w:p>
    <w:p>
      <w:pPr>
        <w:spacing w:after="0" w:line="135" w:lineRule="exact"/>
        <w:rPr>
          <w:sz w:val="20"/>
          <w:szCs w:val="20"/>
          <w:color w:val="auto"/>
        </w:rPr>
      </w:pPr>
    </w:p>
    <w:p>
      <w:pPr>
        <w:ind w:left="964" w:hanging="424"/>
        <w:spacing w:after="0"/>
        <w:tabs>
          <w:tab w:leader="none" w:pos="96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scale and diversification from $8.2 billion</w:t>
      </w:r>
      <w:r>
        <w:rPr>
          <w:rFonts w:ascii="Arial" w:cs="Arial" w:eastAsia="Arial" w:hAnsi="Arial"/>
          <w:sz w:val="14"/>
          <w:szCs w:val="14"/>
          <w:color w:val="auto"/>
        </w:rPr>
        <w:t>1</w:t>
      </w:r>
      <w:r>
        <w:rPr>
          <w:rFonts w:ascii="Arial" w:cs="Arial" w:eastAsia="Arial" w:hAnsi="Arial"/>
          <w:sz w:val="17"/>
          <w:szCs w:val="17"/>
          <w:color w:val="auto"/>
        </w:rPr>
        <w:t xml:space="preserve"> revenue portfolio that is positioned to capitalize on key secular growth trends</w:t>
      </w:r>
    </w:p>
    <w:p>
      <w:pPr>
        <w:spacing w:after="0" w:line="142" w:lineRule="exact"/>
        <w:rPr>
          <w:rFonts w:ascii="Arial" w:cs="Arial" w:eastAsia="Arial" w:hAnsi="Arial"/>
          <w:sz w:val="17"/>
          <w:szCs w:val="17"/>
          <w:color w:val="auto"/>
        </w:rPr>
      </w:pPr>
    </w:p>
    <w:p>
      <w:pPr>
        <w:ind w:left="964" w:right="12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domain expertise and breadth of engineering capabilities to develop more complete solutions to solve customers’ most complex problems</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to be accretive to free cash flow at closing and adjusted EPS in 18 months post-close with $275 million of cost synergies by the end of year two</w:t>
      </w:r>
    </w:p>
    <w:p>
      <w:pPr>
        <w:spacing w:after="0" w:line="170"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NORWOOD, Mass. and SAN JOSE, Calif. – July 13, 2020 – Analog Devices, Inc. (Nasdaq: ADI) and Maxim Integrated Products, Inc. (Nasdaq: MXIM) today announced that they have entered into a definitive agreement under which ADI will acquire Maxim in an all stock transaction that values the combined enterprise at over $68 billion</w:t>
      </w:r>
      <w:r>
        <w:rPr>
          <w:rFonts w:ascii="Arial" w:cs="Arial" w:eastAsia="Arial" w:hAnsi="Arial"/>
          <w:sz w:val="14"/>
          <w:szCs w:val="14"/>
          <w:color w:val="auto"/>
        </w:rPr>
        <w:t>2</w:t>
      </w:r>
      <w:r>
        <w:rPr>
          <w:rFonts w:ascii="Arial" w:cs="Arial" w:eastAsia="Arial" w:hAnsi="Arial"/>
          <w:sz w:val="17"/>
          <w:szCs w:val="17"/>
          <w:color w:val="auto"/>
        </w:rPr>
        <w:t>. The transaction, which was unanimously approved by the Boards of Directors of both companies, will strengthen ADI as an analog semiconductor leader with increased breadth and scale across multiple attractive end markets.</w:t>
      </w:r>
    </w:p>
    <w:p>
      <w:pPr>
        <w:spacing w:after="0" w:line="17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Under the terms of the agreement, Maxim stockholders will receive 0.630 of a share of ADI common stock for each share of Maxim common stock they hold at the closing of the transaction. Upon closing, current ADI stockholders will own approximately 69 percent of the combined company, while Maxim stockholders will own approximately 31 percent. The transaction is intended to qualify as a tax-free reorganization for U.S. federal income tax purposes.</w:t>
      </w:r>
    </w:p>
    <w:p>
      <w:pPr>
        <w:spacing w:after="0" w:line="187"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“Today’s exciting announcement with Maxim is the next step in ADI’s vision to bridge the physical and digital worlds. ADI and Maxim share a passion for solving our customers’ most complex problems, and with the increased breadth and depth of our combined technology and talent, we will be able to develop more complete, cutting-edge solutions,” said Vincent Roche, President and CEO of ADI. “Maxim is a respected signal processing and power management franchise with a proven technology portfolio and impressive history of empowering design innovation. Together, we are well-positioned to deliver the next wave of semiconductor growth, while engineering a healthier, safer and more sustainable future for all.”</w:t>
      </w:r>
    </w:p>
    <w:p>
      <w:pPr>
        <w:spacing w:after="0" w:line="161"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“For over three decades, we have based Maxim on one simple premise – to continually innovate and develop high-performance semiconductor products that empower our customers to invent. I am excited for this next chapter as we continue to push the boundaries of what’s possible, together with ADI. Both companies have strong engineering and technology know-how and innovative cultures. Working together, we will create a stronger leader, delivering outstanding benefits to our customers, employees and shareholders,” said Tunç Doluca, President and CEO of Maxim Integrated.</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Upon closing, two Maxim directors will join ADI’s Board of Directors, including Maxim President and CEO, Tunç Doluca.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Compelling Strategic and Financial Rationale</w:t>
      </w:r>
    </w:p>
    <w:p>
      <w:pPr>
        <w:spacing w:after="0" w:line="131" w:lineRule="exact"/>
        <w:rPr>
          <w:sz w:val="20"/>
          <w:szCs w:val="20"/>
          <w:color w:val="auto"/>
        </w:rPr>
      </w:pPr>
    </w:p>
    <w:p>
      <w:pPr>
        <w:ind w:left="424" w:right="400" w:hanging="316"/>
        <w:spacing w:after="0" w:line="266"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Industry Leader with Increased Global 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combination strengthens ADI’s analog semiconductor leadership position with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 $8.2 billion</w:t>
      </w:r>
      <w:r>
        <w:rPr>
          <w:rFonts w:ascii="Arial" w:cs="Arial" w:eastAsia="Arial" w:hAnsi="Arial"/>
          <w:sz w:val="15"/>
          <w:szCs w:val="15"/>
          <w:color w:val="auto"/>
        </w:rPr>
        <w:t>1</w:t>
      </w:r>
      <w:r>
        <w:rPr>
          <w:rFonts w:ascii="Arial" w:cs="Arial" w:eastAsia="Arial" w:hAnsi="Arial"/>
          <w:sz w:val="18"/>
          <w:szCs w:val="18"/>
          <w:color w:val="auto"/>
        </w:rPr>
        <w:t xml:space="preserve"> and free cash flow of $2.7 billion</w:t>
      </w:r>
      <w:r>
        <w:rPr>
          <w:rFonts w:ascii="Arial" w:cs="Arial" w:eastAsia="Arial" w:hAnsi="Arial"/>
          <w:sz w:val="15"/>
          <w:szCs w:val="15"/>
          <w:color w:val="auto"/>
        </w:rPr>
        <w:t>1</w:t>
      </w:r>
      <w:r>
        <w:rPr>
          <w:rFonts w:ascii="Arial" w:cs="Arial" w:eastAsia="Arial" w:hAnsi="Arial"/>
          <w:sz w:val="18"/>
          <w:szCs w:val="18"/>
          <w:color w:val="auto"/>
        </w:rPr>
        <w:t xml:space="preserve"> on a pro forma basis. Maxim’s strength in the automotive and data center markets, combined with ADI’s strength across the broad industrial, communications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FY19 reported financials for ADI and trailing twelve months ending September 28, 2019 for Maxim.</w:t>
      </w:r>
    </w:p>
    <w:p>
      <w:pPr>
        <w:spacing w:after="0" w:line="2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Based on share price as of July 10, 2020 fully diluted shares and latest reported net debt.</w:t>
      </w:r>
    </w:p>
    <w:p>
      <w:pPr>
        <w:sectPr>
          <w:pgSz w:w="11900" w:h="16838" w:orient="portrait"/>
          <w:cols w:equalWidth="0" w:num="1">
            <w:col w:w="11024"/>
          </w:cols>
          <w:pgMar w:left="436" w:top="121" w:right="439" w:bottom="1440" w:gutter="0" w:footer="0" w:header="0"/>
        </w:sectPr>
      </w:pPr>
    </w:p>
    <w:bookmarkStart w:id="9" w:name="page10"/>
    <w:bookmarkEnd w:id="9"/>
    <w:p>
      <w:pPr>
        <w:ind w:left="42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digital healthcare markets are highly complementary and aligned with key secular growth trends. With respect to power management, Maxim’s applications-focused product offerings complement ADI’s catalog of broad market products.</w:t>
      </w:r>
    </w:p>
    <w:p>
      <w:pPr>
        <w:spacing w:after="0" w:line="76" w:lineRule="exact"/>
        <w:rPr>
          <w:sz w:val="20"/>
          <w:szCs w:val="20"/>
          <w:color w:val="auto"/>
        </w:rPr>
      </w:pPr>
    </w:p>
    <w:p>
      <w:pPr>
        <w:ind w:left="424" w:right="100" w:hanging="316"/>
        <w:spacing w:after="0" w:line="259"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Enhanced Domain Expertise &amp; Capabilities: </w:t>
      </w:r>
      <w:r>
        <w:rPr>
          <w:rFonts w:ascii="Arial" w:cs="Arial" w:eastAsia="Arial" w:hAnsi="Arial"/>
          <w:sz w:val="18"/>
          <w:szCs w:val="18"/>
          <w:color w:val="auto"/>
        </w:rPr>
        <w:t>Combining best-in-class technologies will enhance ADI’s depth of domain expertise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capabilities from DC to 100 gigahertz, nanowatts to kilowatts and sensor to cloud, with more than 50,000 products. This will enable the combined company to offer more complete solutions, serve more than 125,000 customers and capture a larger share of a $60 billion total addressable market</w:t>
      </w:r>
      <w:r>
        <w:rPr>
          <w:rFonts w:ascii="Arial" w:cs="Arial" w:eastAsia="Arial" w:hAnsi="Arial"/>
          <w:sz w:val="15"/>
          <w:szCs w:val="15"/>
          <w:color w:val="auto"/>
        </w:rPr>
        <w:t>3</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jc w:val="both"/>
        <w:ind w:left="424" w:right="380" w:hanging="316"/>
        <w:spacing w:after="0" w:line="289"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Shared Passion for Innovation-led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combination brings together similar cultures focused on talent, innovation and engineering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excellence with more than 10,000 engineers and approximately $1.5 billion</w:t>
      </w:r>
      <w:r>
        <w:rPr>
          <w:rFonts w:ascii="Arial" w:cs="Arial" w:eastAsia="Arial" w:hAnsi="Arial"/>
          <w:sz w:val="14"/>
          <w:szCs w:val="14"/>
          <w:color w:val="auto"/>
        </w:rPr>
        <w:t>1</w:t>
      </w:r>
      <w:r>
        <w:rPr>
          <w:rFonts w:ascii="Arial" w:cs="Arial" w:eastAsia="Arial" w:hAnsi="Arial"/>
          <w:sz w:val="17"/>
          <w:szCs w:val="17"/>
          <w:color w:val="auto"/>
        </w:rPr>
        <w:t xml:space="preserve"> in annual research and development investment. The combined company will continue to be a destination for the most talented engineers in multiple domains.</w:t>
      </w:r>
    </w:p>
    <w:p>
      <w:pPr>
        <w:spacing w:after="0" w:line="67" w:lineRule="exact"/>
        <w:rPr>
          <w:rFonts w:ascii="Arial" w:cs="Arial" w:eastAsia="Arial" w:hAnsi="Arial"/>
          <w:sz w:val="17"/>
          <w:szCs w:val="17"/>
          <w:color w:val="auto"/>
        </w:rPr>
      </w:pPr>
    </w:p>
    <w:p>
      <w:pPr>
        <w:ind w:left="424" w:right="440" w:hanging="316"/>
        <w:spacing w:after="0" w:line="31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Earnings Accretion &amp; Cost Savings: </w:t>
      </w:r>
      <w:r>
        <w:rPr>
          <w:rFonts w:ascii="Arial" w:cs="Arial" w:eastAsia="Arial" w:hAnsi="Arial"/>
          <w:sz w:val="16"/>
          <w:szCs w:val="16"/>
          <w:color w:val="auto"/>
        </w:rPr>
        <w:t>This transaction is expected to be accretive to adjusted EPS in 18 months subsequent to closing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$275 million of cost synergies by the end of year two, driven primarily by lower operating expenses and cost of goods sold. Additional cost synergies from manufacturing optimization are expected to be realized by the end of year three subsequent to closing.</w:t>
      </w:r>
    </w:p>
    <w:p>
      <w:pPr>
        <w:spacing w:after="0" w:line="54" w:lineRule="exact"/>
        <w:rPr>
          <w:rFonts w:ascii="Arial" w:cs="Arial" w:eastAsia="Arial" w:hAnsi="Arial"/>
          <w:sz w:val="16"/>
          <w:szCs w:val="16"/>
          <w:color w:val="auto"/>
        </w:rPr>
      </w:pPr>
    </w:p>
    <w:p>
      <w:pPr>
        <w:ind w:left="424" w:hanging="316"/>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Financial Position &amp; Cash Flow Generation: </w:t>
      </w:r>
      <w:r>
        <w:rPr>
          <w:rFonts w:ascii="Arial" w:cs="Arial" w:eastAsia="Arial" w:hAnsi="Arial"/>
          <w:sz w:val="18"/>
          <w:szCs w:val="18"/>
          <w:color w:val="auto"/>
        </w:rPr>
        <w:t>ADI expects the combined company to yield a stronger balance sheet, with a pro forma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of approximately 1.2x</w:t>
      </w:r>
      <w:r>
        <w:rPr>
          <w:rFonts w:ascii="Arial" w:cs="Arial" w:eastAsia="Arial" w:hAnsi="Arial"/>
          <w:sz w:val="15"/>
          <w:szCs w:val="15"/>
          <w:color w:val="auto"/>
        </w:rPr>
        <w:t>4</w:t>
      </w:r>
      <w:r>
        <w:rPr>
          <w:rFonts w:ascii="Arial" w:cs="Arial" w:eastAsia="Arial" w:hAnsi="Arial"/>
          <w:sz w:val="18"/>
          <w:szCs w:val="18"/>
          <w:color w:val="auto"/>
        </w:rPr>
        <w:t>. This transaction is also expected to be accretive to free cash flow at close, enabling additional returns to shareholders.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Timing and Approvals</w:t>
      </w:r>
    </w:p>
    <w:p>
      <w:pPr>
        <w:spacing w:after="0" w:line="12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transaction is expected to close in the summer of 2021, subject to the satisfaction of customary closing conditions, including receipt of U.S. and certain non-U.S. regulatory approvals, and approval by stockholders of both companies.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Morgan Stanley served as lead financial advisor to ADI. BofA Securities also served as a financial advisor. Wachtell, Lipton, Rosen &amp; Katz served as legal counsel.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J.P. Morgan served as exclusive financial advisor to Maxim, and Weil, Gotshal &amp; Manges LLP served as legal counsel.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 and Webcast Information</w:t>
      </w:r>
    </w:p>
    <w:p>
      <w:pPr>
        <w:spacing w:after="0" w:line="121"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ADI will host a conference call to discuss the transaction today, beginning at 8:30 am ET. Investors may join via webcast, accessible on the investor relations sections of ADI’s website at investor.analog.com. Investors may also join by telephone (call (800) 859-9560, or (706) 634-7193 for international calls, ten minutes before the call begins and provide the password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Source: WSTS Semiconductor Forecast for Analog in 2023.</w:t>
      </w:r>
    </w:p>
    <w:p>
      <w:pPr>
        <w:spacing w:after="0" w:line="2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reported from most recent quarter end; ADI, May 2, 2020; Maxim, March 28, 2020.</w:t>
      </w:r>
    </w:p>
    <w:p>
      <w:pPr>
        <w:sectPr>
          <w:pgSz w:w="11900" w:h="16838" w:orient="portrait"/>
          <w:cols w:equalWidth="0" w:num="1">
            <w:col w:w="10924"/>
          </w:cols>
          <w:pgMar w:left="436" w:top="274" w:right="53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replay of the conference call will be available approximately two hours after the call concludes and may be accessed for up to two weeks, by dialing 855-859-2056 and entering the conference ID: 3573127.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Maxim Integrated</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Maxim Integrated develops innovative analog and mixed-signal products and technologies to make systems smaller and smarter, with enhanced security and increased energy efficiency. We are empowering design innovation for our automotive, industrial, healthcare, mobile consumer, and cloud data center customers to deliver industry-leading solutions that help change the world. Learn more at http://www.maximintegrated.com.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relates to a proposed business combination transaction between Analog Devices, Inc. (“ADI”) and Maxim Integrated Products, Inc.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or Maxim’s estimates of their expected tax rate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w:t>
      </w:r>
    </w:p>
    <w:p>
      <w:pPr>
        <w:sectPr>
          <w:pgSz w:w="11900" w:h="16838" w:orient="portrait"/>
          <w:cols w:equalWidth="0" w:num="1">
            <w:col w:w="10980"/>
          </w:cols>
          <w:pgMar w:left="440" w:top="274" w:right="479" w:bottom="1440" w:gutter="0" w:footer="0" w:header="0"/>
        </w:sectPr>
      </w:pPr>
    </w:p>
    <w:bookmarkStart w:id="11" w:name="page12"/>
    <w:bookmarkEnd w:id="1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These risks, as well as other risks related to the proposed transaction, will be included in the registration statement on Form S-4 and joint proxy statement/prospectus that will be filed with the Securities and Exchange Commission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ADI’s and Maxim’s respective periodic reports and other filings with the SEC,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connection with the proposed transaction, ADI intends to file with the SEC a registration statement on Form S-4 that will include a joint proxy statement of ADI and Maxim and that also constitutes a prospectus of ADI. Each of ADI and Maxim may also file other relevant documents with the SEC regarding the proposed transaction. This document is not a substitute for the joint proxy statement/prospectus or registration statement or any other document that ADI or Maxim may file with the SEC. The definitive joint proxy statement/prospectus (if and when available) will be mailed to stockholders of ADI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ADI, Maxim and the proposed transaction, once such documents are filed with the SEC through the website maintained by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Copies of the documents filed with the SEC by ADI will be available free of charge on ADI’s website at </w:t>
      </w:r>
      <w:r>
        <w:rPr>
          <w:rFonts w:ascii="Arial" w:cs="Arial" w:eastAsia="Arial" w:hAnsi="Arial"/>
          <w:sz w:val="16"/>
          <w:szCs w:val="16"/>
          <w:i w:val="1"/>
          <w:iCs w:val="1"/>
          <w:color w:val="auto"/>
        </w:rPr>
        <w:t>http://www.analog.com</w:t>
      </w:r>
      <w:r>
        <w:rPr>
          <w:rFonts w:ascii="Arial" w:cs="Arial" w:eastAsia="Arial" w:hAnsi="Arial"/>
          <w:sz w:val="16"/>
          <w:szCs w:val="16"/>
          <w:color w:val="auto"/>
        </w:rPr>
        <w:t xml:space="preserve"> or by contacting ADI’s Investor Relations Department by email at </w:t>
      </w:r>
      <w:r>
        <w:rPr>
          <w:rFonts w:ascii="Arial" w:cs="Arial" w:eastAsia="Arial" w:hAnsi="Arial"/>
          <w:sz w:val="16"/>
          <w:szCs w:val="16"/>
          <w:i w:val="1"/>
          <w:iCs w:val="1"/>
          <w:color w:val="auto"/>
        </w:rPr>
        <w:t xml:space="preserve">investor.relations@analog.com </w:t>
      </w:r>
      <w:r>
        <w:rPr>
          <w:rFonts w:ascii="Arial" w:cs="Arial" w:eastAsia="Arial" w:hAnsi="Arial"/>
          <w:sz w:val="16"/>
          <w:szCs w:val="16"/>
          <w:color w:val="auto"/>
        </w:rPr>
        <w:t>or by phone at 781-461-3282. Copies of the documents filed with the SEC by Maxim will be available free of charge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Maxim’s website at </w:t>
      </w:r>
      <w:r>
        <w:rPr>
          <w:rFonts w:ascii="Arial" w:cs="Arial" w:eastAsia="Arial" w:hAnsi="Arial"/>
          <w:sz w:val="16"/>
          <w:szCs w:val="16"/>
          <w:i w:val="1"/>
          <w:iCs w:val="1"/>
          <w:color w:val="auto"/>
        </w:rPr>
        <w:t>investor.maximintegrated.com</w:t>
      </w:r>
      <w:r>
        <w:rPr>
          <w:rFonts w:ascii="Arial" w:cs="Arial" w:eastAsia="Arial" w:hAnsi="Arial"/>
          <w:sz w:val="16"/>
          <w:szCs w:val="16"/>
          <w:color w:val="auto"/>
        </w:rPr>
        <w:t xml:space="preserve"> or by contacting Maxim’s Investor Relations department by phone at 408-601-5697.</w:t>
      </w:r>
    </w:p>
    <w:p>
      <w:pPr>
        <w:sectPr>
          <w:pgSz w:w="11900" w:h="16838" w:orient="portrait"/>
          <w:cols w:equalWidth="0" w:num="1">
            <w:col w:w="10980"/>
          </w:cols>
          <w:pgMar w:left="44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ADI or Maxim using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Andrea Calise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917-826-3804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andrea.calise@teneo.com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Teneo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Andrea Duffy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646-984-0240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andrea.duffy@teneo.com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 for Maxim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Maxim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Kathy 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408-601-5697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kathy.ta@maximintegrated.com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2020-07-13T05:22:45Z</dcterms:created>
  <dcterms:modified xsi:type="dcterms:W3CDTF">2020-07-13T05:22:45Z</dcterms:modified>
</cp:coreProperties>
</file>