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568960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59055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40005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680" w:right="40" w:hanging="654"/>
        <w:spacing w:after="0" w:line="231" w:lineRule="auto"/>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For the quarterly period ended July 29, 2023</w:t>
      </w:r>
    </w:p>
    <w:p>
      <w:pPr>
        <w:spacing w:after="0" w:line="2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680" w:hanging="641"/>
        <w:spacing w:after="0" w:line="231" w:lineRule="auto"/>
        <w:tabs>
          <w:tab w:leader="none" w:pos="68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7"/>
        </w:trPr>
        <w:tc>
          <w:tcPr>
            <w:tcW w:w="2920" w:type="dxa"/>
            <w:vAlign w:val="bottom"/>
            <w:gridSpan w:val="2"/>
          </w:tcPr>
          <w:p>
            <w:pPr>
              <w:ind w:left="740"/>
              <w:spacing w:after="0"/>
              <w:rPr>
                <w:sz w:val="20"/>
                <w:szCs w:val="20"/>
                <w:color w:val="auto"/>
              </w:rPr>
            </w:pPr>
            <w:r>
              <w:rPr>
                <w:rFonts w:ascii="Arial" w:cs="Arial" w:eastAsia="Arial" w:hAnsi="Arial"/>
                <w:sz w:val="18"/>
                <w:szCs w:val="18"/>
                <w:b w:val="1"/>
                <w:bCs w:val="1"/>
                <w:color w:val="auto"/>
                <w:w w:val="89"/>
              </w:rPr>
              <w:t>Commission File No. 1-7819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00"/>
          </w:cols>
          <w:pgMar w:left="320" w:top="1025" w:right="379" w:bottom="1440" w:gutter="0" w:footer="0" w:header="0"/>
        </w:sectPr>
      </w:pPr>
    </w:p>
    <w:p>
      <w:pPr>
        <w:spacing w:after="0" w:line="205"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50" w:lineRule="exact"/>
        <w:rPr>
          <w:sz w:val="24"/>
          <w:szCs w:val="24"/>
          <w:color w:val="auto"/>
        </w:rPr>
      </w:pPr>
    </w:p>
    <w:p>
      <w:pPr>
        <w:sectPr>
          <w:pgSz w:w="11900" w:h="16838" w:orient="portrait"/>
          <w:cols w:equalWidth="0" w:num="2">
            <w:col w:w="7360" w:space="720"/>
            <w:col w:w="3120"/>
          </w:cols>
          <w:pgMar w:left="320" w:top="1025" w:right="379" w:bottom="1440" w:gutter="0" w:footer="0" w:header="0"/>
          <w:type w:val="continuous"/>
        </w:sectPr>
      </w:pPr>
    </w:p>
    <w:p>
      <w:pPr>
        <w:ind w:left="1080"/>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143" w:lineRule="exact"/>
        <w:rPr>
          <w:sz w:val="24"/>
          <w:szCs w:val="24"/>
          <w:color w:val="auto"/>
        </w:rPr>
      </w:pPr>
    </w:p>
    <w:p>
      <w:pPr>
        <w:sectPr>
          <w:pgSz w:w="11900" w:h="16838" w:orient="portrait"/>
          <w:cols w:equalWidth="0" w:num="2">
            <w:col w:w="6760" w:space="720"/>
            <w:col w:w="3720"/>
          </w:cols>
          <w:pgMar w:left="320" w:top="1025" w:right="379" w:bottom="1440" w:gutter="0" w:footer="0" w:header="0"/>
          <w:type w:val="continuous"/>
        </w:sectPr>
      </w:pPr>
    </w:p>
    <w:p>
      <w:pPr>
        <w:jc w:val="center"/>
        <w:ind w:left="820"/>
        <w:spacing w:after="0"/>
        <w:rPr>
          <w:sz w:val="20"/>
          <w:szCs w:val="20"/>
          <w:color w:val="auto"/>
        </w:rPr>
      </w:pPr>
      <w:r>
        <w:rPr>
          <w:rFonts w:ascii="Arial" w:cs="Arial" w:eastAsia="Arial" w:hAnsi="Arial"/>
          <w:sz w:val="16"/>
          <w:szCs w:val="16"/>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01887</w:t>
      </w:r>
    </w:p>
    <w:p>
      <w:pPr>
        <w:spacing w:after="0" w:line="49" w:lineRule="exact"/>
        <w:rPr>
          <w:sz w:val="24"/>
          <w:szCs w:val="24"/>
          <w:color w:val="auto"/>
        </w:rPr>
      </w:pPr>
    </w:p>
    <w:p>
      <w:pPr>
        <w:sectPr>
          <w:pgSz w:w="11900" w:h="16838" w:orient="portrait"/>
          <w:cols w:equalWidth="0" w:num="4">
            <w:col w:w="2760" w:space="720"/>
            <w:col w:w="980" w:space="300"/>
            <w:col w:w="2800" w:space="720"/>
            <w:col w:w="2920"/>
          </w:cols>
          <w:pgMar w:left="320" w:top="1025" w:right="379" w:bottom="1440" w:gutter="0" w:footer="0" w:header="0"/>
          <w:type w:val="continuous"/>
        </w:sectPr>
      </w:pPr>
    </w:p>
    <w:p>
      <w:pPr>
        <w:ind w:left="170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116" w:lineRule="exact"/>
        <w:rPr>
          <w:sz w:val="24"/>
          <w:szCs w:val="24"/>
          <w:color w:val="auto"/>
        </w:rPr>
      </w:pPr>
    </w:p>
    <w:p>
      <w:pPr>
        <w:sectPr>
          <w:pgSz w:w="11900" w:h="16838" w:orient="portrait"/>
          <w:cols w:equalWidth="0" w:num="2">
            <w:col w:w="7480" w:space="720"/>
            <w:col w:w="3000"/>
          </w:cols>
          <w:pgMar w:left="320" w:top="1025"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(781) 935-5565</w:t>
      </w:r>
    </w:p>
    <w:p>
      <w:pPr>
        <w:sectPr>
          <w:pgSz w:w="11900" w:h="16838" w:orient="portrait"/>
          <w:cols w:equalWidth="0" w:num="1">
            <w:col w:w="11200"/>
          </w:cols>
          <w:pgMar w:left="320" w:top="1025" w:right="379" w:bottom="1440" w:gutter="0" w:footer="0" w:header="0"/>
          <w:type w:val="continuous"/>
        </w:sectPr>
      </w:pP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75565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00"/>
          </w:cols>
          <w:pgMar w:left="320" w:top="1025" w:right="37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1" w:lineRule="exact"/>
        <w:rPr>
          <w:sz w:val="24"/>
          <w:szCs w:val="24"/>
          <w:color w:val="auto"/>
        </w:rPr>
      </w:pPr>
    </w:p>
    <w:p>
      <w:pPr>
        <w:sectPr>
          <w:pgSz w:w="11900" w:h="16838" w:orient="portrait"/>
          <w:cols w:equalWidth="0" w:num="3">
            <w:col w:w="4180" w:space="720"/>
            <w:col w:w="1760" w:space="720"/>
            <w:col w:w="3820"/>
          </w:cols>
          <w:pgMar w:left="320" w:top="1025" w:right="37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222" w:lineRule="exact"/>
        <w:rPr>
          <w:sz w:val="24"/>
          <w:szCs w:val="24"/>
          <w:color w:val="auto"/>
        </w:rPr>
      </w:pPr>
    </w:p>
    <w:p>
      <w:pPr>
        <w:sectPr>
          <w:pgSz w:w="11900" w:h="16838" w:orient="portrait"/>
          <w:cols w:equalWidth="0" w:num="3">
            <w:col w:w="4740" w:space="720"/>
            <w:col w:w="1800" w:space="720"/>
            <w:col w:w="3220"/>
          </w:cols>
          <w:pgMar w:left="320" w:top="1025" w:right="379" w:bottom="1440" w:gutter="0" w:footer="0" w:header="0"/>
          <w:type w:val="continuous"/>
        </w:sectPr>
      </w:pPr>
    </w:p>
    <w:p>
      <w:pPr>
        <w:spacing w:after="0" w:line="11" w:lineRule="exact"/>
        <w:rPr>
          <w:sz w:val="24"/>
          <w:szCs w:val="24"/>
          <w:color w:val="auto"/>
        </w:rPr>
      </w:pPr>
    </w:p>
    <w:p>
      <w:pPr>
        <w:ind w:right="20" w:firstLine="445"/>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1" w:lineRule="exact"/>
        <w:rPr>
          <w:sz w:val="24"/>
          <w:szCs w:val="24"/>
          <w:color w:val="auto"/>
        </w:rPr>
      </w:pPr>
    </w:p>
    <w:p>
      <w:pPr>
        <w:ind w:right="60" w:firstLine="445"/>
        <w:spacing w:after="0" w:line="24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1" w:lineRule="exact"/>
        <w:rPr>
          <w:sz w:val="24"/>
          <w:szCs w:val="24"/>
          <w:color w:val="auto"/>
        </w:rPr>
      </w:pPr>
    </w:p>
    <w:p>
      <w:pPr>
        <w:ind w:right="40" w:firstLine="44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50" w:lineRule="exact"/>
        <w:rPr>
          <w:sz w:val="24"/>
          <w:szCs w:val="24"/>
          <w:color w:val="auto"/>
        </w:rPr>
      </w:pPr>
    </w:p>
    <w:p>
      <w:pPr>
        <w:ind w:right="20" w:firstLine="445"/>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 w:lineRule="exact"/>
        <w:rPr>
          <w:sz w:val="24"/>
          <w:szCs w:val="24"/>
          <w:color w:val="auto"/>
        </w:rPr>
      </w:pPr>
    </w:p>
    <w:p>
      <w:pPr>
        <w:ind w:left="460" w:right="1240"/>
        <w:spacing w:after="0" w:line="32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July 29, 2023 there were 498,313,956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1025" w:right="379" w:bottom="1440" w:gutter="0" w:footer="0" w:header="0"/>
          <w:type w:val="continuous"/>
        </w:sectPr>
      </w:pPr>
    </w:p>
    <w:bookmarkStart w:id="1" w:name="page2"/>
    <w:bookmarkEnd w:id="1"/>
    <w:p>
      <w:pPr>
        <w:ind w:left="3980"/>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390"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6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9"/>
        </w:trPr>
        <w:tc>
          <w:tcPr>
            <w:tcW w:w="45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29, 2023</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9"/>
              </w:rPr>
              <w:t>July 30, 2022</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29, 2023</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9"/>
              </w:rPr>
              <w:t>July 30, 2022</w:t>
            </w:r>
          </w:p>
        </w:tc>
      </w:tr>
      <w:tr>
        <w:trPr>
          <w:trHeight w:val="22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3,076,495</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3,109,880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9,589,055</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8,766,237</w:t>
            </w: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1,114,880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1,066,738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3,358,553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3,376,578</w:t>
            </w:r>
          </w:p>
        </w:tc>
      </w:tr>
      <w:tr>
        <w:trPr>
          <w:trHeight w:val="223"/>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1,961,615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2,043,142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6,230,502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5,389,659</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423,751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431,829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1,279,510</w:t>
            </w:r>
          </w:p>
        </w:tc>
      </w:tr>
      <w:tr>
        <w:trPr>
          <w:trHeight w:val="230"/>
        </w:trPr>
        <w:tc>
          <w:tcPr>
            <w:tcW w:w="4500" w:type="dxa"/>
            <w:vAlign w:val="bottom"/>
          </w:tcPr>
          <w:p>
            <w:pPr>
              <w:ind w:left="560"/>
              <w:spacing w:after="0"/>
              <w:rPr>
                <w:sz w:val="20"/>
                <w:szCs w:val="20"/>
                <w:color w:val="auto"/>
              </w:rPr>
            </w:pPr>
            <w:r>
              <w:rPr>
                <w:rFonts w:ascii="Arial" w:cs="Arial" w:eastAsia="Arial" w:hAnsi="Arial"/>
                <w:sz w:val="18"/>
                <w:szCs w:val="18"/>
                <w:color w:val="auto"/>
              </w:rPr>
              <w:t>Selling, marketing, general and administrative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334,113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326,942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984,648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929,615</w:t>
            </w:r>
          </w:p>
        </w:tc>
      </w:tr>
      <w:tr>
        <w:trPr>
          <w:trHeight w:val="229"/>
        </w:trPr>
        <w:tc>
          <w:tcPr>
            <w:tcW w:w="4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252,864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756,882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759,707</w:t>
            </w:r>
          </w:p>
        </w:tc>
      </w:tr>
      <w:tr>
        <w:trPr>
          <w:trHeight w:val="229"/>
        </w:trPr>
        <w:tc>
          <w:tcPr>
            <w:tcW w:w="45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Special charges, net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138,201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244,603</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1,032,122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1,149,836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3,041,805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3,213,435</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929,493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893,306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3,188,697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2,176,224</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500" w:type="dxa"/>
            <w:vAlign w:val="bottom"/>
          </w:tcPr>
          <w:p>
            <w:pPr>
              <w:ind w:left="5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51,189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193,051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152,701</w:t>
            </w:r>
          </w:p>
        </w:tc>
      </w:tr>
      <w:tr>
        <w:trPr>
          <w:trHeight w:val="230"/>
        </w:trPr>
        <w:tc>
          <w:tcPr>
            <w:tcW w:w="4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r>
      <w:tr>
        <w:trPr>
          <w:trHeight w:val="230"/>
        </w:trPr>
        <w:tc>
          <w:tcPr>
            <w:tcW w:w="45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(24,636)</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nonoperating expense (income)</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45,369</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152,480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125,487</w:t>
            </w: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874,821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847,937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3,036,217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2,050,737</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98,952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220,068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238,402</w:t>
            </w: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877,019</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748,985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2,816,149</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1,812,335</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w w:val="91"/>
              </w:rPr>
              <w:t>Shares used to compute earnings per common share – basic</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517,011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503,951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521,557</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Shares used to compute earnings per common share – diluted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503,503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520,550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507,804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525,652</w:t>
            </w:r>
          </w:p>
        </w:tc>
      </w:tr>
      <w:tr>
        <w:trPr>
          <w:trHeight w:val="270"/>
        </w:trPr>
        <w:tc>
          <w:tcPr>
            <w:tcW w:w="4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5.55</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40" w:top="1012" w:right="1319" w:bottom="1440" w:gutter="0" w:footer="0" w:header="0"/>
        </w:sectPr>
      </w:pPr>
    </w:p>
    <w:bookmarkStart w:id="2" w:name="page3"/>
    <w:bookmarkEnd w:id="2"/>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86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July 29, 2023</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July 30, 2022</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July 29, 2023</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July 30, 2022</w:t>
            </w: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877,019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748,985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2,816,149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1,812,335</w:t>
            </w: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(9,028)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(31,500)</w:t>
            </w:r>
          </w:p>
        </w:tc>
      </w:tr>
      <w:tr>
        <w:trPr>
          <w:trHeight w:val="176"/>
        </w:trPr>
        <w:tc>
          <w:tcPr>
            <w:tcW w:w="4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Change in fair value of derivative instruments designated as cash</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flow hedges, net</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176"/>
        </w:trPr>
        <w:tc>
          <w:tcPr>
            <w:tcW w:w="4980" w:type="dxa"/>
            <w:vAlign w:val="bottom"/>
          </w:tcPr>
          <w:p>
            <w:pPr>
              <w:ind w:left="140"/>
              <w:spacing w:after="0" w:line="176" w:lineRule="exact"/>
              <w:rPr>
                <w:sz w:val="20"/>
                <w:szCs w:val="20"/>
                <w:color w:val="auto"/>
              </w:rPr>
            </w:pPr>
            <w:r>
              <w:rPr>
                <w:rFonts w:ascii="Arial" w:cs="Arial" w:eastAsia="Arial" w:hAnsi="Arial"/>
                <w:sz w:val="18"/>
                <w:szCs w:val="18"/>
                <w:color w:val="auto"/>
                <w:w w:val="99"/>
              </w:rPr>
              <w:t>Changes in pension plans, net actuarial gain/loss and foreign</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translation adjustments, net</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5,902</w:t>
            </w:r>
          </w:p>
        </w:tc>
      </w:tr>
      <w:tr>
        <w:trPr>
          <w:trHeight w:val="223"/>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(26,069)</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878,528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743,966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2,843,447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1,786,266</w:t>
            </w: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29, 2023</w:t>
            </w:r>
          </w:p>
        </w:tc>
        <w:tc>
          <w:tcPr>
            <w:tcW w:w="220" w:type="dxa"/>
            <w:vAlign w:val="bottom"/>
          </w:tcPr>
          <w:p>
            <w:pPr>
              <w:spacing w:after="0"/>
              <w:rPr>
                <w:sz w:val="16"/>
                <w:szCs w:val="16"/>
                <w:color w:val="auto"/>
              </w:rPr>
            </w:pPr>
          </w:p>
        </w:tc>
        <w:tc>
          <w:tcPr>
            <w:tcW w:w="1520" w:type="dxa"/>
            <w:vAlign w:val="bottom"/>
          </w:tcPr>
          <w:p>
            <w:pPr>
              <w:jc w:val="right"/>
              <w:ind w:right="259"/>
              <w:spacing w:after="0"/>
              <w:rPr>
                <w:sz w:val="20"/>
                <w:szCs w:val="20"/>
                <w:color w:val="auto"/>
              </w:rPr>
            </w:pPr>
            <w:r>
              <w:rPr>
                <w:rFonts w:ascii="Arial" w:cs="Arial" w:eastAsia="Arial" w:hAnsi="Arial"/>
                <w:sz w:val="14"/>
                <w:szCs w:val="14"/>
                <w:b w:val="1"/>
                <w:bCs w:val="1"/>
                <w:color w:val="auto"/>
              </w:rPr>
              <w:t>October 29, 2022</w:t>
            </w:r>
          </w:p>
        </w:tc>
        <w:tc>
          <w:tcPr>
            <w:tcW w:w="0" w:type="dxa"/>
            <w:vAlign w:val="bottom"/>
          </w:tcPr>
          <w:p>
            <w:pPr>
              <w:spacing w:after="0"/>
              <w:rPr>
                <w:sz w:val="1"/>
                <w:szCs w:val="1"/>
                <w:color w:val="auto"/>
              </w:rPr>
            </w:pPr>
          </w:p>
        </w:tc>
      </w:tr>
      <w:tr>
        <w:trPr>
          <w:trHeight w:val="26"/>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1,149,246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1,470,572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1,616,243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1,800,462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1,709,313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1,399,914</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360,383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267,044</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4,835,185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4,937,992</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property, plant and equipment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2,922,781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2,401,304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26,913,134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26,913,134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11,762,655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13,265,406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2,224,880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2,264,888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688,104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519,626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assets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44,511,554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45,364,358</w:t>
            </w:r>
          </w:p>
        </w:tc>
        <w:tc>
          <w:tcPr>
            <w:tcW w:w="0" w:type="dxa"/>
            <w:vAlign w:val="bottom"/>
          </w:tcPr>
          <w:p>
            <w:pPr>
              <w:spacing w:after="0"/>
              <w:rPr>
                <w:sz w:val="1"/>
                <w:szCs w:val="1"/>
                <w:color w:val="auto"/>
              </w:rPr>
            </w:pPr>
          </w:p>
        </w:tc>
      </w:tr>
      <w:tr>
        <w:trPr>
          <w:trHeight w:val="23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49,346,739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50,302,350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585,570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582,160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265,845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Commercial paper notes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544,710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1,277,300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1,594,650</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2,831,018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2,442,655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6,437,650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6,548,625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3,150,748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3,622,538</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441,361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707,846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582,216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515,363</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liabilities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10,611,975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11,394,372</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Preferred stock, $1.00 par value, 471,934 shares authorized, none outstanding</w:t>
            </w:r>
          </w:p>
        </w:tc>
        <w:tc>
          <w:tcPr>
            <w:tcW w:w="3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5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Common stock, $0.16 2/3 par value, 1,200,000,000 shares authorized, 498,313,956 shares outstanding</w:t>
            </w:r>
          </w:p>
        </w:tc>
        <w:tc>
          <w:tcPr>
            <w:tcW w:w="3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83,054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84,880</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(509,295,941 on October 29, 2022)</w:t>
            </w:r>
          </w:p>
        </w:tc>
        <w:tc>
          <w:tcPr>
            <w:tcW w:w="30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Capital in excess of par value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25,705,193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27,857,270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10,286,353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8,721,325</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(170,854)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(198,152)</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35,903,746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36,465,323</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49,346,739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50,302,350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00"/>
          </w:cols>
          <w:pgMar w:left="340" w:top="1012"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Three Months Ended July 29, 2023</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APRIL 29,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26,262,226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9,839,790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(172,363)</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877,019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$0.86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6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BALANCE, JULY 29, 2023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25,705,193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10,286,353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(170,854)</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Nine Months Ended July 29, 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OCTOBER 29,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27,857,270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8,721,325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(198,152)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2,816,149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$2.48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6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112,508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27,298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(2,491,698)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BALANCE, JULY 29, 2023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25,705,193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10,286,353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(170,854)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Three Months Ended July 30, 2022</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APRIL 30,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519,806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29,400,284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7,820,477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(207,615)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748,985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$0.76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BALANCE, JULY 30, 2022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28,590,056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8,175,444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(212,634)</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4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Nine Months Ended July 30, 2022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OCTOBER 30,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525,331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30,574,237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7,517,316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(186,565)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1,812,335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$2.21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2,396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(26,069)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(2,256,603)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BALANCE, JULY 30, 2022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28,590,056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8,175,444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(212,634)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gridSpan w:val="4"/>
          </w:tcPr>
          <w:p>
            <w:pPr>
              <w:jc w:val="right"/>
              <w:ind w:right="1119"/>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7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9"/>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29, 2023</w:t>
            </w:r>
          </w:p>
        </w:tc>
        <w:tc>
          <w:tcPr>
            <w:tcW w:w="280" w:type="dxa"/>
            <w:vAlign w:val="bottom"/>
          </w:tcPr>
          <w:p>
            <w:pPr>
              <w:spacing w:after="0"/>
              <w:rPr>
                <w:sz w:val="16"/>
                <w:szCs w:val="16"/>
                <w:color w:val="auto"/>
              </w:rPr>
            </w:pPr>
          </w:p>
        </w:tc>
        <w:tc>
          <w:tcPr>
            <w:tcW w:w="1480" w:type="dxa"/>
            <w:vAlign w:val="bottom"/>
          </w:tcPr>
          <w:p>
            <w:pPr>
              <w:jc w:val="right"/>
              <w:ind w:right="399"/>
              <w:spacing w:after="0"/>
              <w:rPr>
                <w:sz w:val="20"/>
                <w:szCs w:val="20"/>
                <w:color w:val="auto"/>
              </w:rPr>
            </w:pPr>
            <w:r>
              <w:rPr>
                <w:rFonts w:ascii="Arial" w:cs="Arial" w:eastAsia="Arial" w:hAnsi="Arial"/>
                <w:sz w:val="14"/>
                <w:szCs w:val="14"/>
                <w:b w:val="1"/>
                <w:bCs w:val="1"/>
                <w:color w:val="auto"/>
              </w:rPr>
              <w:t>July 30, 2022</w:t>
            </w:r>
          </w:p>
        </w:tc>
      </w:tr>
      <w:tr>
        <w:trPr>
          <w:trHeight w:val="20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2,816,149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1,812,335</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251,785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212,635</w:t>
            </w:r>
          </w:p>
        </w:tc>
      </w:tr>
      <w:tr>
        <w:trPr>
          <w:trHeight w:val="219"/>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intangibles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1,505,201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1,512,250</w:t>
            </w: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Cost of goods sold for inventory acquired</w:t>
            </w: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271,396</w:t>
            </w:r>
          </w:p>
        </w:tc>
      </w:tr>
      <w:tr>
        <w:trPr>
          <w:trHeight w:val="219"/>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242,809</w:t>
            </w: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Non-cash impairment charge</w:t>
            </w: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91,953</w:t>
            </w:r>
          </w:p>
        </w:tc>
      </w:tr>
      <w:tr>
        <w:trPr>
          <w:trHeight w:val="219"/>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sale of property, plant and equipment</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(4,352)</w:t>
            </w: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(431,393)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(205,128)</w:t>
            </w:r>
          </w:p>
        </w:tc>
      </w:tr>
      <w:tr>
        <w:trPr>
          <w:trHeight w:val="219"/>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assets and liabilities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(17,958)</w:t>
            </w: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14,185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(7,061)</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(757,645)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(582,813)</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adjustments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814,191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1,513,731</w:t>
            </w:r>
          </w:p>
        </w:tc>
      </w:tr>
      <w:tr>
        <w:trPr>
          <w:trHeight w:val="212"/>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3,630,340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3,326,066</w:t>
            </w: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(785,070)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(394,796)</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43,761</w:t>
            </w:r>
          </w:p>
        </w:tc>
      </w:tr>
      <w:tr>
        <w:trPr>
          <w:trHeight w:val="212"/>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(787,324)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(351,035)</w:t>
            </w: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revolver</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Payments on revolver</w:t>
            </w: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(400,000)</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Early termination of debt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(519,116)</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Proceeds from commercial paper notes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2,646,509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of commercial paper notes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(2,101,799)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(2,494,018)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(1,758,832)</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payments to shareholders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(1,251,121)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(1,154,207)</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Proceeds from employee stock plans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113,002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30,013</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for financing activities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(3,164,342)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(3,403,860)</w:t>
            </w: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(24,175)</w:t>
            </w:r>
          </w:p>
        </w:tc>
      </w:tr>
      <w:tr>
        <w:trPr>
          <w:trHeight w:val="20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(321,326)</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(453,004)</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1,470,572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1,977,964</w:t>
            </w: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1,149,246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1,524,960</w:t>
            </w:r>
          </w:p>
        </w:tc>
      </w:tr>
      <w:tr>
        <w:trPr>
          <w:trHeight w:val="24"/>
        </w:trPr>
        <w:tc>
          <w:tcPr>
            <w:tcW w:w="7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JULY 29, 2023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in thousands except per share amounts and percentages)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5"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29, 2022 (fiscal 2022) and related notes. The results of operations for the interim periods shown in this report are not necessarily indicative of the results that may be expected for the fiscal year ending October 28, 2023 (fiscal 2023) or any future period.</w:t>
      </w:r>
    </w:p>
    <w:p>
      <w:pPr>
        <w:spacing w:after="0" w:line="134"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Certain amounts reported in previous periods have been reclassified to conform to the fiscal 2023 presentation.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Shareholders' Equity</w:t>
      </w:r>
    </w:p>
    <w:p>
      <w:pPr>
        <w:spacing w:after="0" w:line="121"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As of July 29, 2023, the Company had repurchased a total of approximately 202.9 million shares of its common stock for approximately $14.1 billion under the Company's share repurchase program. As of July 29, 2023, an additional $2.6 billion remains available for repurchase of shares under the current authorized program. The Company also repurchases shares in settlement of employee tax withholding obligations due upon the vesting of restricted stock units/awards or the exercise of stock options as well as for the Company's employee stock purchase plan. Future repurchases of common stock will be dependent upon the Company's financial position, results of operations, outlook, liquidity and other factors deemed relevant by the Company.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4" w:lineRule="auto"/>
        <w:rPr>
          <w:sz w:val="20"/>
          <w:szCs w:val="20"/>
          <w:color w:val="auto"/>
        </w:rPr>
      </w:pPr>
      <w:r>
        <w:rPr>
          <w:rFonts w:ascii="Arial" w:cs="Arial" w:eastAsia="Arial" w:hAnsi="Arial"/>
          <w:sz w:val="18"/>
          <w:szCs w:val="18"/>
          <w:color w:val="auto"/>
        </w:rPr>
        <w:t>The following table provides the changes in accumulated other comprehensive (loss) income (AOCI) by component and the related tax effects during the first nine months of fiscal 2023.</w:t>
      </w:r>
    </w:p>
    <w:tbl>
      <w:tblPr>
        <w:tblLayout w:type="fixed"/>
        <w:tblInd w:w="0" w:type="dxa"/>
        <w:tblCellMar>
          <w:top w:w="0" w:type="dxa"/>
          <w:left w:w="0" w:type="dxa"/>
          <w:bottom w:w="0" w:type="dxa"/>
          <w:right w:w="0" w:type="dxa"/>
        </w:tblCellMar>
      </w:tblPr>
      <w:tr>
        <w:trPr>
          <w:trHeight w:val="163"/>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3" w:lineRule="exact"/>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3" w:lineRule="exact"/>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8"/>
              </w:rPr>
              <w:t>holding gains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2"/>
              </w:rPr>
              <w:t>(losses)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adjustment</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29,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(72,136)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(198,152)</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19,176</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reclassified out of other comprehensive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12,591</w:t>
            </w:r>
          </w:p>
        </w:tc>
        <w:tc>
          <w:tcPr>
            <w:tcW w:w="0" w:type="dxa"/>
            <w:vAlign w:val="bottom"/>
          </w:tcPr>
          <w:p>
            <w:pPr>
              <w:spacing w:after="0"/>
              <w:rPr>
                <w:sz w:val="1"/>
                <w:szCs w:val="1"/>
                <w:color w:val="auto"/>
              </w:rPr>
            </w:pPr>
          </w:p>
        </w:tc>
      </w:tr>
      <w:tr>
        <w:trPr>
          <w:trHeight w:val="229"/>
        </w:trPr>
        <w:tc>
          <w:tcPr>
            <w:tcW w:w="6000" w:type="dxa"/>
            <w:vAlign w:val="bottom"/>
          </w:tcPr>
          <w:p>
            <w:pPr>
              <w:ind w:left="240"/>
              <w:spacing w:after="0"/>
              <w:rPr>
                <w:sz w:val="20"/>
                <w:szCs w:val="20"/>
                <w:color w:val="auto"/>
              </w:rPr>
            </w:pPr>
            <w:r>
              <w:rPr>
                <w:rFonts w:ascii="Arial" w:cs="Arial" w:eastAsia="Arial" w:hAnsi="Arial"/>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27,298</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July 29,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(170,854)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reclassified out of AOCI into the Condensed Consolidated Statements of Income and the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with presentation location during each period were as follows: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40" w:type="dxa"/>
            <w:vAlign w:val="bottom"/>
            <w:vMerge w:val="restart"/>
          </w:tcPr>
          <w:p>
            <w:pPr>
              <w:ind w:left="20"/>
              <w:spacing w:after="0" w:line="201" w:lineRule="exact"/>
              <w:rPr>
                <w:sz w:val="20"/>
                <w:szCs w:val="20"/>
                <w:color w:val="auto"/>
              </w:rPr>
            </w:pPr>
            <w:r>
              <w:rPr>
                <w:rFonts w:ascii="Arial" w:cs="Arial" w:eastAsia="Arial" w:hAnsi="Arial"/>
                <w:sz w:val="18"/>
                <w:szCs w:val="18"/>
                <w:b w:val="1"/>
                <w:bCs w:val="1"/>
                <w:color w:val="auto"/>
              </w:rPr>
              <w:t>Comprehensive (Loss) Income</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Component</w:t>
            </w:r>
          </w:p>
        </w:tc>
        <w:tc>
          <w:tcPr>
            <w:tcW w:w="180" w:type="dxa"/>
            <w:vAlign w:val="bottom"/>
          </w:tcPr>
          <w:p>
            <w:pPr>
              <w:spacing w:after="0"/>
              <w:rPr>
                <w:sz w:val="21"/>
                <w:szCs w:val="21"/>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29, 2023</w:t>
            </w: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30, 2022</w:t>
            </w:r>
          </w:p>
        </w:tc>
        <w:tc>
          <w:tcPr>
            <w:tcW w:w="18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29, 2023</w:t>
            </w:r>
          </w:p>
        </w:tc>
        <w:tc>
          <w:tcPr>
            <w:tcW w:w="18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July 30, 2022</w:t>
            </w:r>
          </w:p>
        </w:tc>
        <w:tc>
          <w:tcPr>
            <w:tcW w:w="100" w:type="dxa"/>
            <w:vAlign w:val="bottom"/>
          </w:tcPr>
          <w:p>
            <w:pPr>
              <w:spacing w:after="0"/>
              <w:rPr>
                <w:sz w:val="21"/>
                <w:szCs w:val="21"/>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Unrealized holding (gains) losses on derivatives:</w:t>
            </w: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240"/>
              <w:spacing w:after="0"/>
              <w:rPr>
                <w:sz w:val="20"/>
                <w:szCs w:val="20"/>
                <w:color w:val="auto"/>
              </w:rPr>
            </w:pPr>
            <w:r>
              <w:rPr>
                <w:rFonts w:ascii="Arial" w:cs="Arial" w:eastAsia="Arial" w:hAnsi="Arial"/>
                <w:sz w:val="18"/>
                <w:szCs w:val="18"/>
                <w:color w:val="auto"/>
              </w:rPr>
              <w:t>Currency forwards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ind w:left="20"/>
              <w:spacing w:after="0" w:line="176" w:lineRule="exact"/>
              <w:rPr>
                <w:sz w:val="20"/>
                <w:szCs w:val="20"/>
                <w:color w:val="auto"/>
              </w:rPr>
            </w:pPr>
            <w:r>
              <w:rPr>
                <w:rFonts w:ascii="Arial" w:cs="Arial" w:eastAsia="Arial" w:hAnsi="Arial"/>
                <w:sz w:val="18"/>
                <w:szCs w:val="18"/>
                <w:color w:val="auto"/>
              </w:rPr>
              <w:t>Selling, marketing, general and</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6,623</w:t>
            </w:r>
          </w:p>
        </w:tc>
        <w:tc>
          <w:tcPr>
            <w:tcW w:w="100" w:type="dxa"/>
            <w:vAlign w:val="bottom"/>
          </w:tcPr>
          <w:p>
            <w:pPr>
              <w:spacing w:after="0"/>
              <w:rPr>
                <w:sz w:val="21"/>
                <w:szCs w:val="21"/>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derivatives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28,103</w:t>
            </w:r>
          </w:p>
        </w:tc>
        <w:tc>
          <w:tcPr>
            <w:tcW w:w="10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24,894</w:t>
            </w:r>
          </w:p>
        </w:tc>
        <w:tc>
          <w:tcPr>
            <w:tcW w:w="10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gridSpan w:val="10"/>
          </w:tcPr>
          <w:p>
            <w:pPr>
              <w:ind w:left="20"/>
              <w:spacing w:after="0"/>
              <w:rPr>
                <w:sz w:val="20"/>
                <w:szCs w:val="20"/>
                <w:color w:val="auto"/>
              </w:rPr>
            </w:pPr>
            <w:r>
              <w:rPr>
                <w:rFonts w:ascii="Arial" w:cs="Arial" w:eastAsia="Arial" w:hAnsi="Arial"/>
                <w:sz w:val="18"/>
                <w:szCs w:val="18"/>
                <w:color w:val="auto"/>
                <w:w w:val="92"/>
              </w:rPr>
              <w:t>Amortization of pension components included in the computation of net periodic pension cost:</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Actuarial losses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Total amounts reclassified out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10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AOCI, net of tax</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29, 2023</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July 30, 2022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29, 2023</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July 30, 2022</w:t>
            </w:r>
          </w:p>
        </w:tc>
        <w:tc>
          <w:tcPr>
            <w:tcW w:w="0" w:type="dxa"/>
            <w:vAlign w:val="bottom"/>
          </w:tcPr>
          <w:p>
            <w:pPr>
              <w:spacing w:after="0"/>
              <w:rPr>
                <w:sz w:val="1"/>
                <w:szCs w:val="1"/>
                <w:color w:val="auto"/>
              </w:rPr>
            </w:pPr>
          </w:p>
        </w:tc>
      </w:tr>
      <w:tr>
        <w:trPr>
          <w:trHeight w:val="230"/>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877,019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748,985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2,816,149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1,812,335</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521,557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Earnings per common share basic:</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shares: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517,011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503,951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521,557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Assumed exercise of common stock equivalents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23"/>
        </w:trPr>
        <w:tc>
          <w:tcPr>
            <w:tcW w:w="5600" w:type="dxa"/>
            <w:vAlign w:val="bottom"/>
          </w:tcPr>
          <w:p>
            <w:pPr>
              <w:ind w:left="360"/>
              <w:spacing w:after="0"/>
              <w:rPr>
                <w:sz w:val="20"/>
                <w:szCs w:val="20"/>
                <w:color w:val="auto"/>
              </w:rPr>
            </w:pPr>
            <w:r>
              <w:rPr>
                <w:rFonts w:ascii="Arial" w:cs="Arial" w:eastAsia="Arial" w:hAnsi="Arial"/>
                <w:sz w:val="18"/>
                <w:szCs w:val="18"/>
                <w:color w:val="auto"/>
              </w:rPr>
              <w:t>Weighted-average common and common equivalent shares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503,503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520,550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507,804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525,652</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Earnings per common share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shares related to:</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stock-based awards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 Special Charges, Net</w:t>
      </w:r>
    </w:p>
    <w:p>
      <w:pPr>
        <w:spacing w:after="0" w:line="175" w:lineRule="exact"/>
        <w:rPr>
          <w:sz w:val="20"/>
          <w:szCs w:val="20"/>
          <w:color w:val="auto"/>
        </w:rPr>
      </w:pPr>
    </w:p>
    <w:p>
      <w:pPr>
        <w:ind w:right="140" w:firstLine="445"/>
        <w:spacing w:after="0" w:line="271" w:lineRule="auto"/>
        <w:rPr>
          <w:sz w:val="20"/>
          <w:szCs w:val="20"/>
          <w:color w:val="auto"/>
        </w:rPr>
      </w:pPr>
      <w:r>
        <w:rPr>
          <w:rFonts w:ascii="Arial" w:cs="Arial" w:eastAsia="Arial" w:hAnsi="Arial"/>
          <w:sz w:val="18"/>
          <w:szCs w:val="18"/>
          <w:color w:val="auto"/>
        </w:rPr>
        <w:t>Liabilities related to special charges, net are included in Accrued liabilities and Other non-current liabilities in the Condensed Consolidated Balance Sheets. The activity is detailed below:</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26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Accrued Special Charges</w:t>
            </w:r>
          </w:p>
        </w:tc>
        <w:tc>
          <w:tcPr>
            <w:tcW w:w="196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Global Repositioning Actions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October 29, 2022</w:t>
            </w:r>
          </w:p>
        </w:tc>
        <w:tc>
          <w:tcPr>
            <w:tcW w:w="720" w:type="dxa"/>
            <w:vAlign w:val="bottom"/>
            <w:shd w:val="clear" w:color="auto" w:fill="CCEEFF"/>
          </w:tcPr>
          <w:p>
            <w:pPr>
              <w:jc w:val="right"/>
              <w:ind w:right="513"/>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87"/>
              </w:rPr>
              <w:t>52,070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Severance and benefit payments</w:t>
            </w: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(16,298)</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9260" w:type="dxa"/>
            <w:vAlign w:val="bottom"/>
            <w:tcBorders>
              <w:bottom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January 28, 2023</w:t>
            </w:r>
          </w:p>
        </w:tc>
        <w:tc>
          <w:tcPr>
            <w:tcW w:w="720" w:type="dxa"/>
            <w:vAlign w:val="bottom"/>
            <w:tcBorders>
              <w:bottom w:val="single" w:sz="8" w:color="auto"/>
            </w:tcBorders>
            <w:shd w:val="clear" w:color="auto" w:fill="CCEEFF"/>
          </w:tcPr>
          <w:p>
            <w:pPr>
              <w:jc w:val="right"/>
              <w:ind w:right="513"/>
              <w:spacing w:after="0" w:line="196"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center"/>
              <w:ind w:left="510"/>
              <w:spacing w:after="0" w:line="196" w:lineRule="exact"/>
              <w:rPr>
                <w:sz w:val="20"/>
                <w:szCs w:val="20"/>
                <w:color w:val="auto"/>
              </w:rPr>
            </w:pPr>
            <w:r>
              <w:rPr>
                <w:rFonts w:ascii="Arial" w:cs="Arial" w:eastAsia="Arial" w:hAnsi="Arial"/>
                <w:sz w:val="18"/>
                <w:szCs w:val="18"/>
                <w:b w:val="1"/>
                <w:bCs w:val="1"/>
                <w:color w:val="auto"/>
                <w:w w:val="87"/>
              </w:rPr>
              <w:t>35,772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92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Severance and benefit payments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60" w:type="dxa"/>
            <w:vAlign w:val="bottom"/>
            <w:gridSpan w:val="3"/>
            <w:vMerge w:val="continue"/>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jc w:val="center"/>
              <w:ind w:left="490"/>
              <w:spacing w:after="0" w:line="203" w:lineRule="exact"/>
              <w:rPr>
                <w:sz w:val="20"/>
                <w:szCs w:val="20"/>
                <w:color w:val="auto"/>
              </w:rPr>
            </w:pPr>
            <w:r>
              <w:rPr>
                <w:rFonts w:ascii="Arial" w:cs="Arial" w:eastAsia="Arial" w:hAnsi="Arial"/>
                <w:sz w:val="18"/>
                <w:szCs w:val="18"/>
                <w:color w:val="auto"/>
                <w:w w:val="92"/>
              </w:rPr>
              <w:t>(22,820)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Employee severance and benefit costs</w:t>
            </w: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7"/>
              </w:rPr>
              <w:t>23,136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Balance at April 29, 2023</w:t>
            </w:r>
          </w:p>
        </w:tc>
        <w:tc>
          <w:tcPr>
            <w:tcW w:w="72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87"/>
              </w:rPr>
              <w:t>36,088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 and benefit payments</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(12,530)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Employee severance and benefit costs</w:t>
            </w:r>
          </w:p>
        </w:tc>
        <w:tc>
          <w:tcPr>
            <w:tcW w:w="720" w:type="dxa"/>
            <w:vAlign w:val="bottom"/>
          </w:tcPr>
          <w:p>
            <w:pPr>
              <w:spacing w:after="0"/>
              <w:rPr>
                <w:sz w:val="19"/>
                <w:szCs w:val="19"/>
                <w:color w:val="auto"/>
              </w:rPr>
            </w:pPr>
          </w:p>
        </w:tc>
        <w:tc>
          <w:tcPr>
            <w:tcW w:w="1240" w:type="dxa"/>
            <w:vAlign w:val="bottom"/>
          </w:tcPr>
          <w:p>
            <w:pPr>
              <w:jc w:val="center"/>
              <w:ind w:left="510"/>
              <w:spacing w:after="0"/>
              <w:rPr>
                <w:sz w:val="20"/>
                <w:szCs w:val="20"/>
                <w:color w:val="auto"/>
              </w:rPr>
            </w:pPr>
            <w:r>
              <w:rPr>
                <w:rFonts w:ascii="Arial" w:cs="Arial" w:eastAsia="Arial" w:hAnsi="Arial"/>
                <w:sz w:val="18"/>
                <w:szCs w:val="18"/>
                <w:color w:val="auto"/>
                <w:w w:val="87"/>
              </w:rPr>
              <w:t>21,928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July 29, 2023</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87"/>
              </w:rPr>
              <w:t>45,486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9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Accrued 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13"/>
              <w:spacing w:after="0" w:line="203"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center"/>
              <w:ind w:left="510"/>
              <w:spacing w:after="0" w:line="203" w:lineRule="exact"/>
              <w:rPr>
                <w:sz w:val="20"/>
                <w:szCs w:val="20"/>
                <w:color w:val="auto"/>
              </w:rPr>
            </w:pPr>
            <w:r>
              <w:rPr>
                <w:rFonts w:ascii="Arial" w:cs="Arial" w:eastAsia="Arial" w:hAnsi="Arial"/>
                <w:sz w:val="18"/>
                <w:szCs w:val="18"/>
                <w:b w:val="1"/>
                <w:bCs w:val="1"/>
                <w:color w:val="auto"/>
                <w:w w:val="87"/>
              </w:rPr>
              <w:t>22,350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9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7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87"/>
              </w:rPr>
              <w:t>23,136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w:t>
      </w:r>
    </w:p>
    <w:p>
      <w:pPr>
        <w:spacing w:after="0" w:line="94"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During fiscal 2023, the Company ceased usage of its office facility located in Cary, North Carolina as well as its campus facility located in Milpitas, California and determined that both facilities met the held for sale criteria specified in Accounting Standards Codification (ASC) 360. No write-downs to fair value were required upon these determinations as the fair values of the asset groups, less costs to sell, were greater than their carrying values. As of July 29, 2023, prepaid expenses and other current assets includes the following assets held for sale: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and buildings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7"/>
              </w:rPr>
              <w:t>66,308</w:t>
            </w:r>
          </w:p>
        </w:tc>
      </w:tr>
      <w:tr>
        <w:trPr>
          <w:trHeight w:val="230"/>
        </w:trPr>
        <w:tc>
          <w:tcPr>
            <w:tcW w:w="9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2"/>
              </w:rPr>
              <w:t>(21,577)</w:t>
            </w:r>
          </w:p>
        </w:tc>
      </w:tr>
      <w:tr>
        <w:trPr>
          <w:trHeight w:val="248"/>
        </w:trPr>
        <w:tc>
          <w:tcPr>
            <w:tcW w:w="9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property, plant and equipment reclassified to Prepaid expenses and other current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87"/>
              </w:rPr>
              <w:t>44,731</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March 17, 2022, Walter E. Ryan and Ryan Asset Management, LLC, purported stockholders of Maxim Integrated Products, Inc. (Maxim), filed a putative class action in the Court of Chancery of the State of Delaware (C.A. No. 2022—0255) against the Company and the former directors of Maxim. The complaint alleges breaches of fiduciary duties by the individual defendants in connection with Maxim’s agreement, as part of the merger negotiations with the Company, to suspend Maxim dividends for up to four quarters prior to the closing of the Company's acquisition of Maxim. The complaint further alleges that the Company aided and abetted those alleged breaches of fiduciary duties. The plaintiffs seek damages in an amount to be determined at trial, plaintiffs’ costs and disbursements, including reasonable attorneys’ and experts’ fees, costs and other expenses. On May 2, 2023, the Court of Chancery entered an order dismissing the action in its entirety and with prejudice. On May 9, 2023, the plaintiffs filed a Motion for Reargument, which the Court denied on May 30, 2023. On June 21, 2023, the plaintiffs filed a Notice of Appeal to the Delaware Supreme Court and on August 8, 2023, the plaintiffs filed their Opening Brief in support of their appeal. The appeal remains pending. The Company believes that it and the other defendants have meritorious arguments in response to the appeal and defenses to the underlying allegations; however, the Company is currently unable to determine the ultimate outcome of this matter or determine an estimate, or a range of estimates, of potential losses, if 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71"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color w:val="auto"/>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revenue within, each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end market.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July 29, 2023</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July 30, 2022</w:t>
            </w:r>
          </w:p>
        </w:tc>
        <w:tc>
          <w:tcPr>
            <w:tcW w:w="200" w:type="dxa"/>
            <w:vAlign w:val="bottom"/>
            <w:tcBorders>
              <w:bottom w:val="single" w:sz="8" w:color="auto"/>
            </w:tcBorders>
          </w:tcPr>
          <w:p>
            <w:pPr>
              <w:spacing w:after="0"/>
              <w:rPr>
                <w:sz w:val="16"/>
                <w:szCs w:val="16"/>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119"/>
              <w:spacing w:after="0"/>
              <w:rPr>
                <w:sz w:val="20"/>
                <w:szCs w:val="20"/>
                <w:color w:val="auto"/>
              </w:rPr>
            </w:pPr>
            <w:r>
              <w:rPr>
                <w:rFonts w:ascii="Arial" w:cs="Arial" w:eastAsia="Arial" w:hAnsi="Arial"/>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1,629,201</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1,566,885</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747,554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648,153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380,504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491,515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319,236</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403,327</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3,076,495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3,109,880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gridSpan w:val="4"/>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502"/>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9"/>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July 29, 2023</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July 30, 2022</w:t>
            </w:r>
          </w:p>
        </w:tc>
        <w:tc>
          <w:tcPr>
            <w:tcW w:w="200" w:type="dxa"/>
            <w:vAlign w:val="bottom"/>
            <w:tcBorders>
              <w:bottom w:val="single" w:sz="8" w:color="auto"/>
            </w:tcBorders>
          </w:tcPr>
          <w:p>
            <w:pPr>
              <w:spacing w:after="0"/>
              <w:rPr>
                <w:sz w:val="16"/>
                <w:szCs w:val="16"/>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119"/>
              <w:spacing w:after="0"/>
              <w:rPr>
                <w:sz w:val="20"/>
                <w:szCs w:val="20"/>
                <w:color w:val="auto"/>
              </w:rPr>
            </w:pPr>
            <w:r>
              <w:rPr>
                <w:rFonts w:ascii="Arial" w:cs="Arial" w:eastAsia="Arial" w:hAnsi="Arial"/>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5,092,879</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4,439,232</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2,226,277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1,810,803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1,319,931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1,378,352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949,968</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1,137,850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9,589,055</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8,766,237</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r>
    </w:tbl>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-121920</wp:posOffset>
            </wp:positionV>
            <wp:extent cx="4380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by Sales Channel</w:t>
      </w:r>
    </w:p>
    <w:p>
      <w:pPr>
        <w:spacing w:after="0" w:line="9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following tables summarize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56"/>
              <w:spacing w:after="0"/>
              <w:rPr>
                <w:sz w:val="20"/>
                <w:szCs w:val="20"/>
                <w:color w:val="auto"/>
              </w:rPr>
            </w:pPr>
            <w:r>
              <w:rPr>
                <w:rFonts w:ascii="Arial" w:cs="Arial" w:eastAsia="Arial" w:hAnsi="Arial"/>
                <w:sz w:val="14"/>
                <w:szCs w:val="14"/>
                <w:b w:val="1"/>
                <w:bCs w:val="1"/>
                <w:color w:val="auto"/>
              </w:rPr>
              <w:t>July 29, 2023</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July 30, 2022</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Arial" w:cs="Arial" w:eastAsia="Arial" w:hAnsi="Arial"/>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76"/>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1,904,496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1,922,982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1,126,796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1,146,538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40,360</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3,076,495</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3,109,880</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56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56"/>
              <w:spacing w:after="0"/>
              <w:rPr>
                <w:sz w:val="20"/>
                <w:szCs w:val="20"/>
                <w:color w:val="auto"/>
              </w:rPr>
            </w:pPr>
            <w:r>
              <w:rPr>
                <w:rFonts w:ascii="Arial" w:cs="Arial" w:eastAsia="Arial" w:hAnsi="Arial"/>
                <w:sz w:val="14"/>
                <w:szCs w:val="14"/>
                <w:b w:val="1"/>
                <w:bCs w:val="1"/>
                <w:color w:val="auto"/>
              </w:rPr>
              <w:t>July 29, 2023</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July 30, 2022</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Arial" w:cs="Arial" w:eastAsia="Arial" w:hAnsi="Arial"/>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76"/>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5,912,229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5,426,024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20" w:type="dxa"/>
            <w:vAlign w:val="bottom"/>
          </w:tcPr>
          <w:p>
            <w:pPr>
              <w:spacing w:after="0"/>
              <w:rPr>
                <w:sz w:val="19"/>
                <w:szCs w:val="19"/>
                <w:color w:val="auto"/>
              </w:rPr>
            </w:pP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3,547,116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3,241,429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129,710</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98,784</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9,589,055</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8,766,237</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-121920</wp:posOffset>
            </wp:positionV>
            <wp:extent cx="42691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w:t>
      </w:r>
    </w:p>
    <w:p>
      <w:pPr>
        <w:spacing w:after="0" w:line="175"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tables below, set forth by level, present the Company’s financial assets and liabilities, excluding accrued interest components that were accounted for at fair value on a recurring basis as of July 29, 2023 and October 29, 2022. The tables exclude cash on hand and assets and liabilities that are measured at historical cost or any basis other than fair value. As of July 29, 2023 and October 29, 2022, the Company held $691.2 million and $1,016.0 million, respectively, of cash that is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excluded from the tables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July 29, 2023</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3"/>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Fair Value measurement at</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9"/>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173"/>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Observable Inputs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0"/>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7"/>
                <w:szCs w:val="17"/>
                <w:color w:val="auto"/>
              </w:rPr>
            </w:pPr>
          </w:p>
        </w:tc>
        <w:tc>
          <w:tcPr>
            <w:tcW w:w="1340" w:type="dxa"/>
            <w:vAlign w:val="bottom"/>
          </w:tcPr>
          <w:p>
            <w:pPr>
              <w:jc w:val="right"/>
              <w:ind w:right="633"/>
              <w:spacing w:after="0"/>
              <w:rPr>
                <w:sz w:val="20"/>
                <w:szCs w:val="20"/>
                <w:color w:val="auto"/>
              </w:rPr>
            </w:pPr>
            <w:r>
              <w:rPr>
                <w:rFonts w:ascii="Arial" w:cs="Arial" w:eastAsia="Arial" w:hAnsi="Arial"/>
                <w:sz w:val="14"/>
                <w:szCs w:val="14"/>
                <w:b w:val="1"/>
                <w:bCs w:val="1"/>
                <w:color w:val="auto"/>
              </w:rPr>
              <w:t>Total</w:t>
            </w:r>
          </w:p>
        </w:tc>
      </w:tr>
      <w:tr>
        <w:trPr>
          <w:trHeight w:val="26"/>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740" w:type="dxa"/>
            <w:vAlign w:val="bottom"/>
          </w:tcPr>
          <w:p>
            <w:pPr>
              <w:ind w:left="680"/>
              <w:spacing w:after="0"/>
              <w:rPr>
                <w:sz w:val="20"/>
                <w:szCs w:val="20"/>
                <w:color w:val="auto"/>
              </w:rPr>
            </w:pPr>
            <w:r>
              <w:rPr>
                <w:rFonts w:ascii="Arial" w:cs="Arial" w:eastAsia="Arial" w:hAnsi="Arial"/>
                <w:sz w:val="18"/>
                <w:szCs w:val="18"/>
                <w:color w:val="auto"/>
              </w:rPr>
              <w:t>Government and institutional 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457,997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457,997</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740" w:type="dxa"/>
            <w:vAlign w:val="bottom"/>
          </w:tcPr>
          <w:p>
            <w:pPr>
              <w:ind w:left="360"/>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80,844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80,844</w:t>
            </w: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 foreign currency exchange contracts</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538,841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547,751</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5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5740" w:type="dxa"/>
            <w:vAlign w:val="bottom"/>
          </w:tcPr>
          <w:p>
            <w:pPr>
              <w:ind w:left="360"/>
              <w:spacing w:after="0"/>
              <w:rPr>
                <w:sz w:val="20"/>
                <w:szCs w:val="20"/>
                <w:color w:val="auto"/>
              </w:rPr>
            </w:pPr>
            <w:r>
              <w:rPr>
                <w:rFonts w:ascii="Arial" w:cs="Arial" w:eastAsia="Arial" w:hAnsi="Arial"/>
                <w:sz w:val="18"/>
                <w:szCs w:val="18"/>
                <w:color w:val="auto"/>
              </w:rPr>
              <w:t>Interest rate derivatives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45,620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45,620</w:t>
            </w: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60" w:right="40" w:hanging="328"/>
        <w:spacing w:after="0" w:line="263"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10,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in these Notes to Condensed Consolidated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29, 2022</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gridSpan w:val="5"/>
          </w:tcPr>
          <w:p>
            <w:pPr>
              <w:jc w:val="center"/>
              <w:ind w:right="240"/>
              <w:spacing w:after="0" w:line="160" w:lineRule="exact"/>
              <w:rPr>
                <w:sz w:val="20"/>
                <w:szCs w:val="20"/>
                <w:color w:val="auto"/>
              </w:rPr>
            </w:pPr>
            <w:r>
              <w:rPr>
                <w:rFonts w:ascii="Arial" w:cs="Arial" w:eastAsia="Arial" w:hAnsi="Arial"/>
                <w:sz w:val="14"/>
                <w:szCs w:val="14"/>
                <w:b w:val="1"/>
                <w:bCs w:val="1"/>
                <w:color w:val="auto"/>
                <w:w w:val="94"/>
              </w:rPr>
              <w:t>Fair Value measurement at</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7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Observable Inputs</w:t>
            </w:r>
          </w:p>
        </w:tc>
        <w:tc>
          <w:tcPr>
            <w:tcW w:w="420" w:type="dxa"/>
            <w:vAlign w:val="bottom"/>
          </w:tcPr>
          <w:p>
            <w:pPr>
              <w:spacing w:after="0"/>
              <w:rPr>
                <w:sz w:val="14"/>
                <w:szCs w:val="14"/>
                <w:color w:val="auto"/>
              </w:rPr>
            </w:pPr>
          </w:p>
        </w:tc>
        <w:tc>
          <w:tcPr>
            <w:tcW w:w="134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680"/>
              <w:spacing w:after="0"/>
              <w:rPr>
                <w:sz w:val="20"/>
                <w:szCs w:val="20"/>
                <w:color w:val="auto"/>
              </w:rPr>
            </w:pPr>
            <w:r>
              <w:rPr>
                <w:rFonts w:ascii="Arial" w:cs="Arial" w:eastAsia="Arial" w:hAnsi="Arial"/>
                <w:sz w:val="18"/>
                <w:szCs w:val="18"/>
                <w:color w:val="auto"/>
              </w:rPr>
              <w:t>Government and institutional 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454,545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454,545</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63,211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63,211</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517,756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 foreign currency exchange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16,984</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16,984</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 xml:space="preserve">In addition to the methods and assumptions used by the Company in estimating its fair value disclosure for financial instruments disclosed in Note 2j,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in the Company's Annual Report on Form 10-K for fiscal 2022, which was filed with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 on November 22, 2022, the following methods and assumptions were used by the Company in estimating its fair value disclosure for financial instruments:</w:t>
      </w:r>
    </w:p>
    <w:p>
      <w:pPr>
        <w:spacing w:after="0" w:line="92"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b w:val="1"/>
          <w:bCs w:val="1"/>
          <w:i w:val="1"/>
          <w:iCs w:val="1"/>
          <w:color w:val="auto"/>
        </w:rPr>
        <w:t xml:space="preserve">Interest rate derivative — </w:t>
      </w:r>
      <w:r>
        <w:rPr>
          <w:rFonts w:ascii="Arial" w:cs="Arial" w:eastAsia="Arial" w:hAnsi="Arial"/>
          <w:sz w:val="18"/>
          <w:szCs w:val="18"/>
          <w:color w:val="auto"/>
        </w:rPr>
        <w:t>The fair value of interest rate derivatives is estimated using a discounted cash flow analysis based on the contractual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derivatives.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Not Recorded at Fair Value on a Recurring Basis</w:t>
      </w:r>
    </w:p>
    <w:p>
      <w:pPr>
        <w:spacing w:after="0" w:line="144" w:lineRule="exact"/>
        <w:rPr>
          <w:sz w:val="20"/>
          <w:szCs w:val="20"/>
          <w:color w:val="auto"/>
        </w:rPr>
      </w:pPr>
    </w:p>
    <w:p>
      <w:pPr>
        <w:ind w:right="180" w:firstLine="445"/>
        <w:spacing w:after="0" w:line="342" w:lineRule="auto"/>
        <w:rPr>
          <w:sz w:val="20"/>
          <w:szCs w:val="20"/>
          <w:color w:val="auto"/>
        </w:rPr>
      </w:pPr>
      <w:r>
        <w:rPr>
          <w:rFonts w:ascii="Arial" w:cs="Arial" w:eastAsia="Arial" w:hAnsi="Arial"/>
          <w:sz w:val="16"/>
          <w:szCs w:val="16"/>
          <w:b w:val="1"/>
          <w:bCs w:val="1"/>
          <w:i w:val="1"/>
          <w:iCs w:val="1"/>
          <w:color w:val="auto"/>
        </w:rPr>
        <w:t xml:space="preserve">Held for sale assets — </w:t>
      </w:r>
      <w:r>
        <w:rPr>
          <w:rFonts w:ascii="Arial" w:cs="Arial" w:eastAsia="Arial" w:hAnsi="Arial"/>
          <w:sz w:val="16"/>
          <w:szCs w:val="16"/>
          <w:color w:val="auto"/>
        </w:rPr>
        <w:t>The Company has classified the assets held for sale at carrying value. However, if they were to be carried at fair value, they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would be considered a Level 3 fair value measurement and would be determined based on the use of appraisals and input from market participants.</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Commercial paper — </w:t>
      </w:r>
      <w:r>
        <w:rPr>
          <w:rFonts w:ascii="Arial" w:cs="Arial" w:eastAsia="Arial" w:hAnsi="Arial"/>
          <w:sz w:val="18"/>
          <w:szCs w:val="18"/>
          <w:color w:val="auto"/>
        </w:rPr>
        <w:t>The fair values of commercial paper are obtained from indicative market prices and are classified</w:t>
      </w:r>
    </w:p>
    <w:p>
      <w:pPr>
        <w:sectPr>
          <w:pgSz w:w="11900" w:h="16838" w:orient="portrait"/>
          <w:cols w:equalWidth="0" w:num="1">
            <w:col w:w="11220"/>
          </w:cols>
          <w:pgMar w:left="320" w:top="117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color w:val="auto"/>
        </w:rPr>
        <w:t>as Level 2 measurements according to the fair value hierarchy. As of July 29, 2023, the fair value of the commercial paper notes was $545.4 million.</w:t>
      </w:r>
    </w:p>
    <w:p>
      <w:pPr>
        <w:spacing w:after="0" w:line="156"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b w:val="1"/>
          <w:bCs w:val="1"/>
          <w:i w:val="1"/>
          <w:iCs w:val="1"/>
          <w:color w:val="auto"/>
        </w:rPr>
        <w:t xml:space="preserve">Debt — </w:t>
      </w:r>
      <w:r>
        <w:rPr>
          <w:rFonts w:ascii="Arial" w:cs="Arial" w:eastAsia="Arial" w:hAnsi="Arial"/>
          <w:sz w:val="16"/>
          <w:szCs w:val="16"/>
          <w:color w:val="auto"/>
        </w:rPr>
        <w:t>The table below presents the estimated fair values of certain financial instruments not recorded at fair value on a recurring basis. The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values of the senior unsecured notes are obtained from broker prices and are classified as Level 1 measurements according to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29, 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4"/>
          </w:tcPr>
          <w:p>
            <w:pPr>
              <w:jc w:val="right"/>
              <w:ind w:right="991"/>
              <w:spacing w:after="0"/>
              <w:rPr>
                <w:sz w:val="20"/>
                <w:szCs w:val="20"/>
                <w:color w:val="auto"/>
              </w:rPr>
            </w:pPr>
            <w:r>
              <w:rPr>
                <w:rFonts w:ascii="Arial" w:cs="Arial" w:eastAsia="Arial" w:hAnsi="Arial"/>
                <w:sz w:val="14"/>
                <w:szCs w:val="14"/>
                <w:b w:val="1"/>
                <w:bCs w:val="1"/>
                <w:color w:val="auto"/>
              </w:rPr>
              <w:t>October 29, 2022</w:t>
            </w: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Principal Amount</w:t>
            </w:r>
          </w:p>
        </w:tc>
        <w:tc>
          <w:tcPr>
            <w:tcW w:w="40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6"/>
              </w:rPr>
              <w:t>Principal Amount</w:t>
            </w:r>
          </w:p>
        </w:tc>
        <w:tc>
          <w:tcPr>
            <w:tcW w:w="280" w:type="dxa"/>
            <w:vAlign w:val="bottom"/>
          </w:tcPr>
          <w:p>
            <w:pPr>
              <w:spacing w:after="0"/>
              <w:rPr>
                <w:sz w:val="11"/>
                <w:szCs w:val="11"/>
                <w:color w:val="auto"/>
              </w:rPr>
            </w:pPr>
          </w:p>
        </w:tc>
        <w:tc>
          <w:tcPr>
            <w:tcW w:w="12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4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2024</w:t>
            </w:r>
          </w:p>
        </w:tc>
        <w:tc>
          <w:tcPr>
            <w:tcW w:w="4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October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499,598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491,982</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2025</w:t>
            </w:r>
          </w:p>
        </w:tc>
        <w:tc>
          <w:tcPr>
            <w:tcW w:w="4340" w:type="dxa"/>
            <w:vAlign w:val="bottom"/>
          </w:tcPr>
          <w:p>
            <w:pPr>
              <w:ind w:left="40"/>
              <w:spacing w:after="0"/>
              <w:rPr>
                <w:sz w:val="20"/>
                <w:szCs w:val="20"/>
                <w:color w:val="auto"/>
              </w:rPr>
            </w:pPr>
            <w:r>
              <w:rPr>
                <w:rFonts w:ascii="Arial" w:cs="Arial" w:eastAsia="Arial" w:hAnsi="Arial"/>
                <w:sz w:val="18"/>
                <w:szCs w:val="18"/>
                <w:color w:val="auto"/>
              </w:rPr>
              <w:t>Notes, due April 2025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385,529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383,378</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December 2026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851,479</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Maxim 2027 Notes, due June 2027</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59,788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54,771</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2027</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June 2027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410,091</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2028</w:t>
            </w:r>
          </w:p>
        </w:tc>
        <w:tc>
          <w:tcPr>
            <w:tcW w:w="4340" w:type="dxa"/>
            <w:vAlign w:val="bottom"/>
          </w:tcPr>
          <w:p>
            <w:pPr>
              <w:ind w:left="40"/>
              <w:spacing w:after="0"/>
              <w:rPr>
                <w:sz w:val="20"/>
                <w:szCs w:val="20"/>
                <w:color w:val="auto"/>
              </w:rPr>
            </w:pPr>
            <w:r>
              <w:rPr>
                <w:rFonts w:ascii="Arial" w:cs="Arial" w:eastAsia="Arial" w:hAnsi="Arial"/>
                <w:sz w:val="18"/>
                <w:szCs w:val="18"/>
                <w:color w:val="auto"/>
              </w:rPr>
              <w:t>Notes, due October 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621,093</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2031</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2031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786,772</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2032</w:t>
            </w:r>
          </w:p>
        </w:tc>
        <w:tc>
          <w:tcPr>
            <w:tcW w:w="4340" w:type="dxa"/>
            <w:vAlign w:val="bottom"/>
          </w:tcPr>
          <w:p>
            <w:pPr>
              <w:ind w:left="40"/>
              <w:spacing w:after="0"/>
              <w:rPr>
                <w:sz w:val="20"/>
                <w:szCs w:val="20"/>
                <w:color w:val="auto"/>
              </w:rPr>
            </w:pPr>
            <w:r>
              <w:rPr>
                <w:rFonts w:ascii="Arial" w:cs="Arial" w:eastAsia="Arial" w:hAnsi="Arial"/>
                <w:sz w:val="18"/>
                <w:szCs w:val="18"/>
                <w:color w:val="auto"/>
              </w:rPr>
              <w:t>Notes, due October 2032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278,359</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2036</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December 2036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126,274</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2041</w:t>
            </w:r>
          </w:p>
        </w:tc>
        <w:tc>
          <w:tcPr>
            <w:tcW w:w="4340" w:type="dxa"/>
            <w:vAlign w:val="bottom"/>
          </w:tcPr>
          <w:p>
            <w:pPr>
              <w:ind w:left="40"/>
              <w:spacing w:after="0"/>
              <w:rPr>
                <w:sz w:val="20"/>
                <w:szCs w:val="20"/>
                <w:color w:val="auto"/>
              </w:rPr>
            </w:pPr>
            <w:r>
              <w:rPr>
                <w:rFonts w:ascii="Arial" w:cs="Arial" w:eastAsia="Arial" w:hAnsi="Arial"/>
                <w:sz w:val="18"/>
                <w:szCs w:val="18"/>
                <w:color w:val="auto"/>
              </w:rPr>
              <w:t>Notes, due October 2041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541,855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513,709</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2045</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December 2045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313,931</w:t>
            </w:r>
          </w:p>
        </w:tc>
        <w:tc>
          <w:tcPr>
            <w:tcW w:w="0" w:type="dxa"/>
            <w:vAlign w:val="bottom"/>
          </w:tcPr>
          <w:p>
            <w:pPr>
              <w:spacing w:after="0"/>
              <w:rPr>
                <w:sz w:val="1"/>
                <w:szCs w:val="1"/>
                <w:color w:val="auto"/>
              </w:rPr>
            </w:pPr>
          </w:p>
        </w:tc>
      </w:tr>
      <w:tr>
        <w:trPr>
          <w:trHeight w:val="229"/>
        </w:trPr>
        <w:tc>
          <w:tcPr>
            <w:tcW w:w="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9"/>
              </w:rPr>
              <w:t>2051</w:t>
            </w:r>
          </w:p>
        </w:tc>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Notes, due October 2051</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640,766</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6,517,077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6,576,865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5,472,605</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Derivatives</w:t>
      </w:r>
    </w:p>
    <w:p>
      <w:pPr>
        <w:spacing w:after="0" w:line="175" w:lineRule="exact"/>
        <w:rPr>
          <w:sz w:val="20"/>
          <w:szCs w:val="20"/>
          <w:color w:val="auto"/>
        </w:rPr>
      </w:pPr>
    </w:p>
    <w:p>
      <w:pPr>
        <w:ind w:right="220" w:firstLine="445"/>
        <w:spacing w:after="0" w:line="292"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total notional amounts of forward foreign currency derivative instruments designated as hedging</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of cash flow hedges denominated in Euros, British Pounds, Philippine Pesos, Thai Baht, South Korean Won and Japanese Yen as of July 29, 2023 and October 29, 2022 were $296.8 million and $307.1 million, respectively. The fair values of forward foreign currency derivative instruments designated as hedging instruments in the Company’s Condensed Consolidated Balance Sheets as of July 29, 2023 and October 29, 2022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4"/>
          </w:tcPr>
          <w:p>
            <w:pPr>
              <w:jc w:val="right"/>
              <w:ind w:right="1136"/>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386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29, 2023</w:t>
            </w:r>
          </w:p>
        </w:tc>
        <w:tc>
          <w:tcPr>
            <w:tcW w:w="200" w:type="dxa"/>
            <w:vAlign w:val="bottom"/>
          </w:tcPr>
          <w:p>
            <w:pPr>
              <w:spacing w:after="0"/>
              <w:rPr>
                <w:sz w:val="16"/>
                <w:szCs w:val="16"/>
                <w:color w:val="auto"/>
              </w:rPr>
            </w:pPr>
          </w:p>
        </w:tc>
        <w:tc>
          <w:tcPr>
            <w:tcW w:w="138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October 29, 2022</w:t>
            </w:r>
          </w:p>
        </w:tc>
        <w:tc>
          <w:tcPr>
            <w:tcW w:w="0" w:type="dxa"/>
            <w:vAlign w:val="bottom"/>
          </w:tcPr>
          <w:p>
            <w:pPr>
              <w:spacing w:after="0"/>
              <w:rPr>
                <w:sz w:val="1"/>
                <w:szCs w:val="1"/>
                <w:color w:val="auto"/>
              </w:rPr>
            </w:pPr>
          </w:p>
        </w:tc>
      </w:tr>
      <w:tr>
        <w:trPr>
          <w:trHeight w:val="23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Forward foreign currency exchange contracts</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18,050</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80" w:firstLine="445"/>
        <w:spacing w:after="0" w:line="277" w:lineRule="auto"/>
        <w:rPr>
          <w:sz w:val="20"/>
          <w:szCs w:val="20"/>
          <w:color w:val="auto"/>
        </w:rPr>
      </w:pPr>
      <w:r>
        <w:rPr>
          <w:rFonts w:ascii="Arial" w:cs="Arial" w:eastAsia="Arial" w:hAnsi="Arial"/>
          <w:sz w:val="18"/>
          <w:szCs w:val="18"/>
          <w:color w:val="auto"/>
        </w:rPr>
        <w:t>As of July 29, 2023 and October 29, 2022, the total notional amounts of undesignated hedges related to forward foreign currency exchange contracts were $412.6 million and $246.4 million, respectively.</w:t>
      </w:r>
    </w:p>
    <w:p>
      <w:pPr>
        <w:spacing w:after="0" w:line="116"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following table presents the gross amounts of the Company's forward foreign currency exchange contract derivative assets and liabilities and the net amounts recorded in the Company's Condensed Consolidated Balance Sheets:</w:t>
      </w: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29, 2023</w:t>
            </w:r>
          </w:p>
        </w:tc>
        <w:tc>
          <w:tcPr>
            <w:tcW w:w="180" w:type="dxa"/>
            <w:vAlign w:val="bottom"/>
          </w:tcPr>
          <w:p>
            <w:pPr>
              <w:spacing w:after="0"/>
              <w:rPr>
                <w:sz w:val="16"/>
                <w:szCs w:val="16"/>
                <w:color w:val="auto"/>
              </w:rPr>
            </w:pPr>
          </w:p>
        </w:tc>
        <w:tc>
          <w:tcPr>
            <w:tcW w:w="13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October 29, 2022</w:t>
            </w:r>
          </w:p>
        </w:tc>
      </w:tr>
      <w:tr>
        <w:trPr>
          <w:trHeight w:val="25"/>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amounts of recognized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amount of recognized assets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(liabilities) presented in the Condensed Consolidated Balance Sheets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i w:val="1"/>
          <w:iCs w:val="1"/>
          <w:color w:val="auto"/>
        </w:rPr>
        <w:t xml:space="preserve">Interest Rate Exposure Management </w:t>
      </w:r>
      <w:r>
        <w:rPr>
          <w:rFonts w:ascii="Arial" w:cs="Arial" w:eastAsia="Arial" w:hAnsi="Arial"/>
          <w:sz w:val="17"/>
          <w:szCs w:val="17"/>
          <w:color w:val="auto"/>
        </w:rPr>
        <w:t>— The Company's current and future debt may be subject to interest rate risk. The Company utilizes interest rate</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to alter interest rate exposure in an attempt to reduce the effects of changes in interest rates. During fiscal 2023, the Company entered into interest rate swap transactions related to its outstanding $1,000.0 million aggregate principal amount of 2.1% senior unsecured notes (the 2031 Notes) where the Company swapped the notional amount of its $1,000.0 million of fixed rate debt at 2.1% into floating interest rate debt through April 1, 2031.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interest rate swaps were designated and qualified as fair value hedges. The Company does not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3" w:name="page14"/>
    <w:bookmarkEnd w:id="13"/>
    <w:p>
      <w:pPr>
        <w:ind w:right="240"/>
        <w:spacing w:after="0" w:line="277" w:lineRule="auto"/>
        <w:rPr>
          <w:sz w:val="20"/>
          <w:szCs w:val="20"/>
          <w:color w:val="auto"/>
        </w:rPr>
      </w:pPr>
      <w:r>
        <w:rPr>
          <w:rFonts w:ascii="Arial" w:cs="Arial" w:eastAsia="Arial" w:hAnsi="Arial"/>
          <w:sz w:val="18"/>
          <w:szCs w:val="18"/>
          <w:color w:val="auto"/>
        </w:rPr>
        <w:t>consider the risk of counterparty default to be significant. The gain or loss on the hedged item attributable to the hedged benchmark interest rate risk and the offsetting gain or loss on the related interest rate swaps were recorded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29, 2023</w:t>
            </w:r>
          </w:p>
        </w:tc>
        <w:tc>
          <w:tcPr>
            <w:tcW w:w="1220" w:type="dxa"/>
            <w:vAlign w:val="bottom"/>
          </w:tcPr>
          <w:p>
            <w:pPr>
              <w:spacing w:after="0"/>
              <w:rPr>
                <w:sz w:val="16"/>
                <w:szCs w:val="16"/>
                <w:color w:val="auto"/>
              </w:rPr>
            </w:pPr>
          </w:p>
        </w:tc>
      </w:tr>
      <w:tr>
        <w:trPr>
          <w:trHeight w:val="26"/>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Loss on Swaps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4"/>
                <w:szCs w:val="14"/>
                <w:b w:val="1"/>
                <w:bCs w:val="1"/>
                <w:color w:val="auto"/>
                <w:w w:val="94"/>
              </w:rPr>
              <w:t>Gain on Note</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45,620</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debt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45,620</w:t>
            </w:r>
          </w:p>
        </w:tc>
      </w:tr>
    </w:tbl>
    <w:p>
      <w:pPr>
        <w:spacing w:after="0" w:line="229"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in these Notes to Condensed Consolidated Financial Statements for further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at July 29, 2023 and October 29, 2022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29, 2023</w:t>
            </w:r>
          </w:p>
        </w:tc>
        <w:tc>
          <w:tcPr>
            <w:tcW w:w="260" w:type="dxa"/>
            <w:vAlign w:val="bottom"/>
          </w:tcPr>
          <w:p>
            <w:pPr>
              <w:spacing w:after="0"/>
              <w:rPr>
                <w:sz w:val="16"/>
                <w:szCs w:val="16"/>
                <w:color w:val="auto"/>
              </w:rPr>
            </w:pPr>
          </w:p>
        </w:tc>
        <w:tc>
          <w:tcPr>
            <w:tcW w:w="1600" w:type="dxa"/>
            <w:vAlign w:val="bottom"/>
          </w:tcPr>
          <w:p>
            <w:pPr>
              <w:jc w:val="right"/>
              <w:ind w:right="334"/>
              <w:spacing w:after="0"/>
              <w:rPr>
                <w:sz w:val="20"/>
                <w:szCs w:val="20"/>
                <w:color w:val="auto"/>
              </w:rPr>
            </w:pPr>
            <w:r>
              <w:rPr>
                <w:rFonts w:ascii="Arial" w:cs="Arial" w:eastAsia="Arial" w:hAnsi="Arial"/>
                <w:sz w:val="14"/>
                <w:szCs w:val="14"/>
                <w:b w:val="1"/>
                <w:bCs w:val="1"/>
                <w:color w:val="auto"/>
              </w:rPr>
              <w:t>October 29, 2022</w:t>
            </w:r>
          </w:p>
        </w:tc>
      </w:tr>
      <w:tr>
        <w:trPr>
          <w:trHeight w:val="26"/>
        </w:trPr>
        <w:tc>
          <w:tcPr>
            <w:tcW w:w="7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110,908</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1,123,823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904,648</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384,358</w:t>
            </w:r>
          </w:p>
        </w:tc>
      </w:tr>
      <w:tr>
        <w:trPr>
          <w:trHeight w:val="223"/>
        </w:trPr>
        <w:tc>
          <w:tcPr>
            <w:tcW w:w="736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1,709,313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1,399,914</w:t>
            </w:r>
          </w:p>
        </w:tc>
      </w:tr>
      <w:tr>
        <w:trPr>
          <w:trHeight w:val="20"/>
        </w:trPr>
        <w:tc>
          <w:tcPr>
            <w:tcW w:w="7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Debt</w:t>
      </w:r>
    </w:p>
    <w:p>
      <w:pPr>
        <w:spacing w:after="0" w:line="121" w:lineRule="exact"/>
        <w:rPr>
          <w:sz w:val="20"/>
          <w:szCs w:val="20"/>
          <w:color w:val="auto"/>
        </w:rPr>
      </w:pPr>
    </w:p>
    <w:p>
      <w:pPr>
        <w:ind w:right="580" w:firstLine="405"/>
        <w:spacing w:after="0" w:line="259"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On June 23, 2021, the Company entered into a Third Amended and Restated Credit Agreement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Bank of America, N.A. as administrative agent and the other banks identified therein as lenders. The Revolving Credit Agreement provides for a five year unsecured revolving credit facility in an aggregate principal amount not to exceed $2.5 billion (subject to certain terms and conditions).</w:t>
      </w:r>
    </w:p>
    <w:p>
      <w:pPr>
        <w:spacing w:after="0" w:line="7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the first quarter of fiscal 2023, the Company amended the Revolving Credit Agreement, replacing the LIBOR interest rate provisions with interest rate provisions based on a forward-looking term rate based on the secured overnight financing rate (SOFR) plus a 10 basis point credit spread adjustment. After the amendment, revolving loans under the Revolving Credit Agreement can be Term SOFR Loans or Base Rate Loans (each as defined in the Revolving Credit Agreement, as amended) at the Company's option. Each Term SOFR Loan will bear interest at a rate per annum equal to the applicable adjusted term SOFR plus a margin based on the Company's Debt Ratings (as defined in the Revolving Credit Agreement, as amended) from time to time of between 0.690% and 1.175%. As of July 29, 2023, the Company had no outstanding borrowings under this revolving credit facility but may borrow in the future and use the proceeds for repayment of existing indebtedness, stock repurchases, acquisitions, capital expenditures, working capital and other lawful corporate purposes.</w:t>
      </w:r>
    </w:p>
    <w:p>
      <w:pPr>
        <w:spacing w:after="0" w:line="84" w:lineRule="exact"/>
        <w:rPr>
          <w:sz w:val="20"/>
          <w:szCs w:val="20"/>
          <w:color w:val="auto"/>
        </w:rPr>
      </w:pPr>
    </w:p>
    <w:p>
      <w:pPr>
        <w:ind w:right="360" w:firstLine="405"/>
        <w:spacing w:after="0" w:line="311" w:lineRule="auto"/>
        <w:rPr>
          <w:sz w:val="20"/>
          <w:szCs w:val="20"/>
          <w:color w:val="auto"/>
        </w:rPr>
      </w:pPr>
      <w:r>
        <w:rPr>
          <w:rFonts w:ascii="Arial" w:cs="Arial" w:eastAsia="Arial" w:hAnsi="Arial"/>
          <w:sz w:val="16"/>
          <w:szCs w:val="16"/>
          <w:b w:val="1"/>
          <w:bCs w:val="1"/>
          <w:i w:val="1"/>
          <w:iCs w:val="1"/>
          <w:color w:val="auto"/>
        </w:rPr>
        <w:t xml:space="preserve">Outstanding Debt. </w:t>
      </w:r>
      <w:r>
        <w:rPr>
          <w:rFonts w:ascii="Arial" w:cs="Arial" w:eastAsia="Arial" w:hAnsi="Arial"/>
          <w:sz w:val="16"/>
          <w:szCs w:val="16"/>
          <w:color w:val="auto"/>
        </w:rPr>
        <w:t>On April 26, 2023, the Company redeemed for cash $59.8 million representing all of the outstanding 3.450% senior notes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15, 2027 issued by Maxim (Maxim Notes) in accordance with the terms of the indenture governing the Maxim Notes. The Maxim Notes were redeemed for cash at a redemption price equal to $1,012.55 for each $1,000 principal of the Maxim Notes and included accrued interest.</w:t>
      </w:r>
    </w:p>
    <w:p>
      <w:pPr>
        <w:spacing w:after="0" w:line="95"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 xml:space="preserve">On August 18, 2023, the Company commenced an offer to exchange up to $440.2 million of newly registered 3.450% Senior Notes due 2027 (new notes) for up to $440.2 million of existing unregistered 3.450% Senior Notes due 2027 (old notes). See Note 15,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in these Notes to Consolidated Financial Statements for further information.</w:t>
      </w:r>
    </w:p>
    <w:p>
      <w:pPr>
        <w:spacing w:after="0" w:line="76"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b w:val="1"/>
          <w:bCs w:val="1"/>
          <w:i w:val="1"/>
          <w:iCs w:val="1"/>
          <w:color w:val="auto"/>
        </w:rPr>
        <w:t xml:space="preserve">Commercial Paper Program. </w:t>
      </w:r>
      <w:r>
        <w:rPr>
          <w:rFonts w:ascii="Arial" w:cs="Arial" w:eastAsia="Arial" w:hAnsi="Arial"/>
          <w:sz w:val="16"/>
          <w:szCs w:val="16"/>
          <w:color w:val="auto"/>
        </w:rPr>
        <w:t>On April 14, 2023, the Company established a commercial paper program under which the Company may issue short-term, unsecured commercial paper notes (CP Notes) in amounts up to a maximum aggregate face amount of $2.5 billion outstanding at any time, with maturities up to 397 days from the date of issuance. The CP Notes will be sold under customary market terms in the U.S. commercial paper market at a discount from par or at par and bear interest at rates determined at the time of issuance. The Company intends to use the net proceeds of the CP Notes for general corporate purposes, including without limitation, repayment of indebtedness, stock repurchases, acquisitions, capital expenditures and working capital. As of July 29, 2023, the Company had $544.7 million of outstanding borrowings under the commercial paper program recorded in the Condensed Consolidated Balance Sheet. The carrying value of the outstanding CP Notes approximated fair value at July 29, 2023.</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13 – Income Taxes</w:t>
      </w:r>
    </w:p>
    <w:p>
      <w:pPr>
        <w:spacing w:after="0" w:line="108"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 Company’s effective tax rates for the three- and nine-month periods ended July 29, 2023 and July 30, 2022 were below the U.S. statutory tax rate of 21.0%, due to lower statutory tax rates applicable to the Company's operations in the foreign jurisdictions in which it earns income. The Company's effective tax rate also includes the effects of the mandatory capitalization and amortization of research and development expenses which began in fiscal 2023 under the Tax Cuts and Jobs Act of 2017 (Tax Cuts and Jobs Act). The mandatory capitalization requirement decreases the Company's effective tax rate primarily by increasing the foreign-derived intangible income deduction.</w:t>
      </w:r>
    </w:p>
    <w:p>
      <w:pPr>
        <w:spacing w:after="0" w:line="55" w:lineRule="exact"/>
        <w:rPr>
          <w:sz w:val="20"/>
          <w:szCs w:val="20"/>
          <w:color w:val="auto"/>
        </w:rPr>
      </w:pPr>
    </w:p>
    <w:p>
      <w:pPr>
        <w:ind w:right="320" w:firstLine="445"/>
        <w:spacing w:after="0" w:line="263" w:lineRule="auto"/>
        <w:rPr>
          <w:sz w:val="20"/>
          <w:szCs w:val="20"/>
          <w:color w:val="auto"/>
        </w:rPr>
      </w:pPr>
      <w:r>
        <w:rPr>
          <w:rFonts w:ascii="Arial" w:cs="Arial" w:eastAsia="Arial" w:hAnsi="Arial"/>
          <w:sz w:val="18"/>
          <w:szCs w:val="18"/>
          <w:color w:val="auto"/>
        </w:rPr>
        <w:t>The Company's effective tax rate for the third quarter of fiscal 2023 was also impacted by a discrete income tax benefit recorded of $81.1 million resulting from the approval granted by the Joint Committee on Taxation of its federal corporate income tax relief claim which reduced the amount of transition tax owed under the Tax Cuts and Jobs Act.</w:t>
      </w:r>
    </w:p>
    <w:p>
      <w:pPr>
        <w:spacing w:after="0" w:line="49" w:lineRule="exact"/>
        <w:rPr>
          <w:sz w:val="20"/>
          <w:szCs w:val="20"/>
          <w:color w:val="auto"/>
        </w:rPr>
      </w:pPr>
    </w:p>
    <w:p>
      <w:pPr>
        <w:ind w:right="440" w:firstLine="445"/>
        <w:spacing w:after="0" w:line="308" w:lineRule="auto"/>
        <w:rPr>
          <w:sz w:val="20"/>
          <w:szCs w:val="20"/>
          <w:color w:val="auto"/>
        </w:rPr>
      </w:pPr>
      <w:r>
        <w:rPr>
          <w:rFonts w:ascii="Arial" w:cs="Arial" w:eastAsia="Arial" w:hAnsi="Arial"/>
          <w:sz w:val="17"/>
          <w:szCs w:val="17"/>
          <w:color w:val="auto"/>
        </w:rPr>
        <w:t>It is reasonably possible that the balance of gross unrealized tax benefits, including accrued interest and penalties, could decrease by as much as approximately $133.0 million within the next twelve months due to the completion of tax audits, including any administrative appeals.</w:t>
      </w:r>
    </w:p>
    <w:p>
      <w:pPr>
        <w:spacing w:after="0" w:line="25"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The Company has numerous audits ongoing throughout the world including: an IRS income tax audit for the fiscal years ended November 3, 2018 and November 2, 2019; a pre-acquisition IRS income tax audit for Maxim's fiscal years ended June 27, 2015 through August 26, 2021; various U.S. state and local audits and various international audits, including an Irish Corporate Tax Audit for the fiscal year ended November 2, 2019. The Company's U.S. federal income tax returns prior to the fiscal year ended November 3, 2018 are no longer subject to examination, except for the applicable Maxim pre-acquisition fiscal years noted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Acquired Contract Assets and Contract Liabilities</w:t>
      </w:r>
    </w:p>
    <w:p>
      <w:pPr>
        <w:spacing w:after="0" w:line="90"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 xml:space="preserve">In October 2021, the Financial Accounting Standards Board issued Accounting Standards Update (ASU) No. 2021-08, </w:t>
      </w:r>
      <w:r>
        <w:rPr>
          <w:rFonts w:ascii="Arial" w:cs="Arial" w:eastAsia="Arial" w:hAnsi="Arial"/>
          <w:sz w:val="17"/>
          <w:szCs w:val="17"/>
          <w:i w:val="1"/>
          <w:iCs w:val="1"/>
          <w:color w:val="auto"/>
        </w:rPr>
        <w:t>Business Combinations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805): Accounting for Acquired Contract Assets and Contract Liabilities. </w:t>
      </w:r>
      <w:r>
        <w:rPr>
          <w:rFonts w:ascii="Arial" w:cs="Arial" w:eastAsia="Arial" w:hAnsi="Arial"/>
          <w:sz w:val="17"/>
          <w:szCs w:val="17"/>
          <w:color w:val="auto"/>
        </w:rPr>
        <w:t>Under the new guidance (ASC 805-20-30-28), the acquirer should determine what</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assets and/or contract liabilities it would have recorded under ASC 606 (the revenue guidance) as of the acquisition date, as if the acquirer had entered into the original contract at the same date and on the same terms as the acquiree. The recognition and measurement of those contract assets and contract liabilities will likely be comparable to what the acquiree has recorded on its books under ASC 606 as of the acquisition date. ASU 2021-08 is effective for fiscal years beginning after December 15, 2022, including interim periods within those fiscal years. ASU 2021-08 is effective for the Company in the first quarter of the fiscal year ending November 2, 2024.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The Company is currently evaluating the adoption date of ASU 2021-08 and the impact, if any, adoption will have on its financial position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75"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On August 18, 2023, the Company commenced an offer to exchange up to $440.2 million of newly registered new notes for up to $440.2 million of existing unregistered old notes. The terms of the new notes are identical in all material respects to the terms of the old notes for which they are being offered in exchange, except that the new notes have been registered under the Securities Act of 1933, as amended, and the transfer restrictions, registration rights and additional interest provisions relating to the old notes do not apply to the new notes.</w:t>
      </w:r>
    </w:p>
    <w:p>
      <w:pPr>
        <w:spacing w:after="0" w:line="11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On August 22, 2023, the Board of Directors of the Company declared a cash dividend of $0.86 per outstanding share of common stock. The dividend will be paid on September 14, 2023 to all shareholders of record at the close of business on September 5, 2023 and is expected to total approximately $428.6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5" w:name="page16"/>
    <w:bookmarkEnd w:id="15"/>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ind w:right="160" w:firstLine="445"/>
        <w:spacing w:after="0" w:line="311" w:lineRule="auto"/>
        <w:rPr>
          <w:sz w:val="20"/>
          <w:szCs w:val="20"/>
          <w:color w:val="auto"/>
        </w:rPr>
      </w:pPr>
      <w:r>
        <w:rPr>
          <w:rFonts w:ascii="Arial" w:cs="Arial" w:eastAsia="Arial" w:hAnsi="Arial"/>
          <w:sz w:val="16"/>
          <w:szCs w:val="16"/>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October 29, 2022 (fiscal 2022).</w:t>
      </w:r>
    </w:p>
    <w:p>
      <w:pPr>
        <w:spacing w:after="0" w:line="95"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In addition, any statements that refer to projections regarding our future financial performance or results; our anticipated growth and trends in our businesses; the effects of business, economic, political, legal and regulatory impacts or conflicts upon our global operations;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processes and research and development investments; our future market position and expected competitive changes in the marketplace for our products; the anticipated result of litigation matters; our plans to pay dividends or repurchase stock; servicing our outstanding debt, including our plans to offer to exchange existing unregistered notes for new registered notes; our plans to borrow under our Revolving Credit Agreement and issue notes under our commercial paper program and the planned use of proceeds from such borrowing and issuing; our expected tax rate; the effect of changes in or the application of new or revised tax laws; expected cost savings; the effect of new accounting pronouncements; our plans to integrate or realize the benefits or synergies expected of acquired businesses and technologies; our continued initiatives to consolidate our footprint related to our business units; and other characterizations of future events or circumstances are forward-looking statements. Our actual results could differ materially from those anticipated in these forward-looking statements as a result of various factors.</w:t>
      </w:r>
    </w:p>
    <w:p>
      <w:pPr>
        <w:spacing w:after="0" w:line="117" w:lineRule="exact"/>
        <w:rPr>
          <w:sz w:val="20"/>
          <w:szCs w:val="20"/>
          <w:color w:val="auto"/>
        </w:rPr>
      </w:pPr>
    </w:p>
    <w:p>
      <w:pPr>
        <w:ind w:right="40" w:firstLine="445"/>
        <w:spacing w:after="0" w:line="286" w:lineRule="auto"/>
        <w:rPr>
          <w:sz w:val="20"/>
          <w:szCs w:val="20"/>
          <w:color w:val="auto"/>
        </w:rPr>
      </w:pPr>
      <w:r>
        <w:rPr>
          <w:rFonts w:ascii="Arial" w:cs="Arial" w:eastAsia="Arial" w:hAnsi="Arial"/>
          <w:sz w:val="16"/>
          <w:szCs w:val="16"/>
          <w:color w:val="auto"/>
        </w:rPr>
        <w:t>The following important factors and uncertainties, among others, could cause results to differ materially from those described in the forward-looking statements: political and economic uncertainty, including any faltering in global economic conditions or the stability of credit and financial markets; erosion of consumer confidence and declines in customer spending or cancellations of orders for our products; unavailability of raw materials, services, supplies or manufacturing capacity; disruptions to our manufacturing operations or our ability to execute our business strategy; changes in geographic, product or customer mix; changes in export classifications, import and export regulations or duties and tariffs; changes in our estimates of our expected tax rates based on current tax law; adverse results in litigation matters; the risk that we will be unable to retain and hire key personnel including as a result of labor shortages; changes in demand for semiconductors; attempted or actual security breaches and other cybersecurity incidents that disrupt our operations; unanticipated difficulties or expenditures relating to integrating Maxim Integrated Products, Inc. (Maxim); uncertainty as to the long-term value of our common stock; the discretion of our board of directors to declare dividends and our ability to pay dividends in the future; factors impacting our ability to repurchase shares; the diversion of management time on integrating Maxim's business and operations; our ability to successfully integrate acquired business and technologies, including Maxim; and the risk that expected benefits, synergies and growth prospects of acquisitions, including our acquisition of Maxim, may not be fully achieved in a timely manner, or at all. Additional factors that could cause actual results to differ materially from those in these forward-looking statements include the risk factors included in Part I, Item 1A, “Risk Factors” of our Annual Report on Form 10-K for fiscal 2022 and, if applicable, those included under Part II, Item 1A of this Quarterly Report on Form 10-Q.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660" w:type="dxa"/>
            <w:vAlign w:val="bottom"/>
          </w:tcPr>
          <w:p>
            <w:pPr>
              <w:spacing w:after="0"/>
              <w:rPr>
                <w:sz w:val="16"/>
                <w:szCs w:val="16"/>
                <w:color w:val="auto"/>
              </w:rPr>
            </w:pPr>
          </w:p>
        </w:tc>
      </w:tr>
      <w:tr>
        <w:trPr>
          <w:trHeight w:val="26"/>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9"/>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29, 2023</w:t>
            </w: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30, 2022</w:t>
            </w: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tcPr>
          <w:p>
            <w:pPr>
              <w:jc w:val="right"/>
              <w:ind w:right="415"/>
              <w:spacing w:after="0"/>
              <w:rPr>
                <w:sz w:val="20"/>
                <w:szCs w:val="20"/>
                <w:color w:val="auto"/>
              </w:rPr>
            </w:pPr>
            <w:r>
              <w:rPr>
                <w:rFonts w:ascii="Arial" w:cs="Arial" w:eastAsia="Arial" w:hAnsi="Arial"/>
                <w:sz w:val="14"/>
                <w:szCs w:val="14"/>
                <w:b w:val="1"/>
                <w:bCs w:val="1"/>
                <w:color w:val="auto"/>
              </w:rPr>
              <w:t>% Change</w:t>
            </w:r>
          </w:p>
        </w:tc>
      </w:tr>
      <w:tr>
        <w:trPr>
          <w:trHeight w:val="23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3,076,495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3,109,880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(33,385)</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877,019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748,985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447"/>
        </w:trPr>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1660" w:type="dxa"/>
            <w:vAlign w:val="bottom"/>
          </w:tcPr>
          <w:p>
            <w:pPr>
              <w:spacing w:after="0"/>
              <w:rPr>
                <w:sz w:val="24"/>
                <w:szCs w:val="24"/>
                <w:color w:val="auto"/>
              </w:rPr>
            </w:pPr>
          </w:p>
        </w:tc>
      </w:tr>
      <w:tr>
        <w:trPr>
          <w:trHeight w:val="26"/>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9"/>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29, 2023</w:t>
            </w: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30, 2022</w:t>
            </w: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tcPr>
          <w:p>
            <w:pPr>
              <w:jc w:val="right"/>
              <w:ind w:right="415"/>
              <w:spacing w:after="0"/>
              <w:rPr>
                <w:sz w:val="20"/>
                <w:szCs w:val="20"/>
                <w:color w:val="auto"/>
              </w:rPr>
            </w:pPr>
            <w:r>
              <w:rPr>
                <w:rFonts w:ascii="Arial" w:cs="Arial" w:eastAsia="Arial" w:hAnsi="Arial"/>
                <w:sz w:val="14"/>
                <w:szCs w:val="14"/>
                <w:b w:val="1"/>
                <w:bCs w:val="1"/>
                <w:color w:val="auto"/>
              </w:rPr>
              <w:t>% Change</w:t>
            </w:r>
          </w:p>
        </w:tc>
      </w:tr>
      <w:tr>
        <w:trPr>
          <w:trHeight w:val="23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9,589,055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8,766,237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822,818</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2,816,149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1,812,335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1,003,814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04"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color w:val="auto"/>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revenue within, each end market.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center"/>
              <w:ind w:left="1117"/>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July 29, 2023</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0"/>
              </w:rPr>
              <w:t>July 30, 2022</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040" w:type="dxa"/>
            <w:vAlign w:val="bottom"/>
          </w:tcPr>
          <w:p>
            <w:pPr>
              <w:jc w:val="center"/>
              <w:ind w:right="335"/>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40" w:type="dxa"/>
            <w:vAlign w:val="bottom"/>
          </w:tcPr>
          <w:p>
            <w:pPr>
              <w:jc w:val="center"/>
              <w:ind w:right="315"/>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3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1,629,201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1,566,885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747,554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648,153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380,504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319,236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3,076,495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3,109,880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July 29, 2023</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0"/>
              </w:rPr>
              <w:t>July 30, 2022</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040" w:type="dxa"/>
            <w:vAlign w:val="bottom"/>
          </w:tcPr>
          <w:p>
            <w:pPr>
              <w:jc w:val="center"/>
              <w:ind w:right="335"/>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40" w:type="dxa"/>
            <w:vAlign w:val="bottom"/>
          </w:tcPr>
          <w:p>
            <w:pPr>
              <w:jc w:val="center"/>
              <w:ind w:right="315"/>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3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5,092,879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4,439,232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2,226,277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1,810,803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1,319,931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949,968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1,137,850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9,589,055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8,766,237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-121920</wp:posOffset>
            </wp:positionV>
            <wp:extent cx="44234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7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Revenue decreased 1% in the three-month period ended July 29, 2023 as compared to the same period of the prior fiscal year, primarily the result of a decrease in revenue in the Consumer end market, primarily due to weakening market trends and a decrease in revenue in the Communications end market due to the timing of infrastructure deployment cycles, partially offset by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7" w:name="page18"/>
    <w:bookmarkEnd w:id="17"/>
    <w:p>
      <w:pPr>
        <w:ind w:right="40"/>
        <w:spacing w:after="0" w:line="277" w:lineRule="auto"/>
        <w:rPr>
          <w:sz w:val="20"/>
          <w:szCs w:val="20"/>
          <w:color w:val="auto"/>
        </w:rPr>
      </w:pPr>
      <w:r>
        <w:rPr>
          <w:rFonts w:ascii="Arial" w:cs="Arial" w:eastAsia="Arial" w:hAnsi="Arial"/>
          <w:sz w:val="18"/>
          <w:szCs w:val="18"/>
          <w:color w:val="auto"/>
        </w:rPr>
        <w:t>increases in our Industrial end market, namely sustainable energy and aerospace and defense and our Automotive end market, namely cabin electronics and battery management systems.</w:t>
      </w:r>
    </w:p>
    <w:p>
      <w:pPr>
        <w:spacing w:after="0" w:line="62" w:lineRule="exact"/>
        <w:rPr>
          <w:sz w:val="20"/>
          <w:szCs w:val="20"/>
          <w:color w:val="auto"/>
        </w:rPr>
      </w:pPr>
    </w:p>
    <w:p>
      <w:pPr>
        <w:ind w:right="180" w:firstLine="445"/>
        <w:spacing w:after="0" w:line="301" w:lineRule="auto"/>
        <w:rPr>
          <w:sz w:val="20"/>
          <w:szCs w:val="20"/>
          <w:color w:val="auto"/>
        </w:rPr>
      </w:pPr>
      <w:r>
        <w:rPr>
          <w:rFonts w:ascii="Arial" w:cs="Arial" w:eastAsia="Arial" w:hAnsi="Arial"/>
          <w:sz w:val="16"/>
          <w:szCs w:val="16"/>
          <w:color w:val="auto"/>
        </w:rPr>
        <w:t>Revenue increased 9% in the nine-month period ended July 29, 2023 as compared to the same period of the prior fiscal year, primarily the result of broad-based demand for our products sold into the Industrial end market, namely sustainable energy and aerospace and defense and the Automotive end market, namely cabin electronics and battery management systems, partially offset by a decrease in revenue in the Consumer end market primarily due to weakening market trends and a decrease in revenue in the Communications end market due to the timing of infrastructure deployment cycles.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10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following tables summarize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80" w:type="dxa"/>
            <w:vAlign w:val="bottom"/>
          </w:tcPr>
          <w:p>
            <w:pPr>
              <w:spacing w:after="0"/>
              <w:rPr>
                <w:sz w:val="16"/>
                <w:szCs w:val="16"/>
                <w:color w:val="auto"/>
              </w:rPr>
            </w:pPr>
          </w:p>
        </w:tc>
      </w:tr>
      <w:tr>
        <w:trPr>
          <w:trHeight w:val="26"/>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89"/>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60"/>
              <w:spacing w:after="0"/>
              <w:rPr>
                <w:sz w:val="20"/>
                <w:szCs w:val="20"/>
                <w:color w:val="auto"/>
              </w:rPr>
            </w:pPr>
            <w:r>
              <w:rPr>
                <w:rFonts w:ascii="Arial" w:cs="Arial" w:eastAsia="Arial" w:hAnsi="Arial"/>
                <w:sz w:val="14"/>
                <w:szCs w:val="14"/>
                <w:b w:val="1"/>
                <w:bCs w:val="1"/>
                <w:color w:val="auto"/>
              </w:rPr>
              <w:t>July 29, 2023</w:t>
            </w:r>
          </w:p>
        </w:tc>
        <w:tc>
          <w:tcPr>
            <w:tcW w:w="300" w:type="dxa"/>
            <w:vAlign w:val="bottom"/>
          </w:tcPr>
          <w:p>
            <w:pPr>
              <w:spacing w:after="0"/>
              <w:rPr>
                <w:sz w:val="16"/>
                <w:szCs w:val="16"/>
                <w:color w:val="auto"/>
              </w:rPr>
            </w:pPr>
          </w:p>
        </w:tc>
        <w:tc>
          <w:tcPr>
            <w:tcW w:w="3020" w:type="dxa"/>
            <w:vAlign w:val="bottom"/>
            <w:gridSpan w:val="3"/>
          </w:tcPr>
          <w:p>
            <w:pPr>
              <w:jc w:val="right"/>
              <w:ind w:right="1174"/>
              <w:spacing w:after="0"/>
              <w:rPr>
                <w:sz w:val="20"/>
                <w:szCs w:val="20"/>
                <w:color w:val="auto"/>
              </w:rPr>
            </w:pPr>
            <w:r>
              <w:rPr>
                <w:rFonts w:ascii="Arial" w:cs="Arial" w:eastAsia="Arial" w:hAnsi="Arial"/>
                <w:sz w:val="14"/>
                <w:szCs w:val="14"/>
                <w:b w:val="1"/>
                <w:bCs w:val="1"/>
                <w:color w:val="auto"/>
              </w:rPr>
              <w:t>July 30, 2022</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9"/>
        </w:trPr>
        <w:tc>
          <w:tcPr>
            <w:tcW w:w="4500" w:type="dxa"/>
            <w:vAlign w:val="bottom"/>
          </w:tcPr>
          <w:p>
            <w:pPr>
              <w:ind w:left="160"/>
              <w:spacing w:after="0"/>
              <w:rPr>
                <w:sz w:val="20"/>
                <w:szCs w:val="20"/>
                <w:color w:val="auto"/>
              </w:rPr>
            </w:pPr>
            <w:r>
              <w:rPr>
                <w:rFonts w:ascii="Arial" w:cs="Arial" w:eastAsia="Arial" w:hAnsi="Arial"/>
                <w:sz w:val="18"/>
                <w:szCs w:val="18"/>
                <w:color w:val="auto"/>
              </w:rPr>
              <w:t>Distributors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1,904,496</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1,922,982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1,126,796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1,146,538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45,203</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3,076,495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3,109,880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394"/>
        </w:trPr>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680" w:type="dxa"/>
            <w:vAlign w:val="bottom"/>
          </w:tcPr>
          <w:p>
            <w:pPr>
              <w:spacing w:after="0"/>
              <w:rPr>
                <w:sz w:val="24"/>
                <w:szCs w:val="24"/>
                <w:color w:val="auto"/>
              </w:rPr>
            </w:pPr>
          </w:p>
        </w:tc>
      </w:tr>
      <w:tr>
        <w:trPr>
          <w:trHeight w:val="26"/>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89"/>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60"/>
              <w:spacing w:after="0"/>
              <w:rPr>
                <w:sz w:val="20"/>
                <w:szCs w:val="20"/>
                <w:color w:val="auto"/>
              </w:rPr>
            </w:pPr>
            <w:r>
              <w:rPr>
                <w:rFonts w:ascii="Arial" w:cs="Arial" w:eastAsia="Arial" w:hAnsi="Arial"/>
                <w:sz w:val="14"/>
                <w:szCs w:val="14"/>
                <w:b w:val="1"/>
                <w:bCs w:val="1"/>
                <w:color w:val="auto"/>
              </w:rPr>
              <w:t>July 29, 2023</w:t>
            </w:r>
          </w:p>
        </w:tc>
        <w:tc>
          <w:tcPr>
            <w:tcW w:w="300" w:type="dxa"/>
            <w:vAlign w:val="bottom"/>
          </w:tcPr>
          <w:p>
            <w:pPr>
              <w:spacing w:after="0"/>
              <w:rPr>
                <w:sz w:val="16"/>
                <w:szCs w:val="16"/>
                <w:color w:val="auto"/>
              </w:rPr>
            </w:pPr>
          </w:p>
        </w:tc>
        <w:tc>
          <w:tcPr>
            <w:tcW w:w="3020" w:type="dxa"/>
            <w:vAlign w:val="bottom"/>
            <w:gridSpan w:val="3"/>
          </w:tcPr>
          <w:p>
            <w:pPr>
              <w:jc w:val="right"/>
              <w:ind w:right="1174"/>
              <w:spacing w:after="0"/>
              <w:rPr>
                <w:sz w:val="20"/>
                <w:szCs w:val="20"/>
                <w:color w:val="auto"/>
              </w:rPr>
            </w:pPr>
            <w:r>
              <w:rPr>
                <w:rFonts w:ascii="Arial" w:cs="Arial" w:eastAsia="Arial" w:hAnsi="Arial"/>
                <w:sz w:val="14"/>
                <w:szCs w:val="14"/>
                <w:b w:val="1"/>
                <w:bCs w:val="1"/>
                <w:color w:val="auto"/>
              </w:rPr>
              <w:t>July 30, 2022</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Arial" w:cs="Arial" w:eastAsia="Arial" w:hAnsi="Arial"/>
                <w:sz w:val="18"/>
                <w:szCs w:val="18"/>
                <w:color w:val="auto"/>
              </w:rPr>
              <w:t>Distributors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5,912,229</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5,426,024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3,547,116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3,241,429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129,710</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98,784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9,589,055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8,766,237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5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As indicated in the tables above, the percentage of total revenue sold via each channel has remained relatively consistent in the periods presented, but can fluctuate from time to time based on end customer demand.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July 29, 2023</w:t>
            </w:r>
          </w:p>
        </w:tc>
        <w:tc>
          <w:tcPr>
            <w:tcW w:w="138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July 30, 2022</w:t>
            </w: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29, 2023</w:t>
            </w:r>
          </w:p>
        </w:tc>
        <w:tc>
          <w:tcPr>
            <w:tcW w:w="136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30"/>
        </w:trPr>
        <w:tc>
          <w:tcPr>
            <w:tcW w:w="1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1,961,615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7"/>
              </w:rPr>
              <w:t>$   2,043,142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(81,527)</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6,230,502</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7"/>
              </w:rPr>
              <w:t>$   5,389,659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840,843</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1260" w:type="dxa"/>
            <w:vAlign w:val="bottom"/>
          </w:tcPr>
          <w:p>
            <w:pPr>
              <w:ind w:left="20"/>
              <w:spacing w:after="0"/>
              <w:rPr>
                <w:sz w:val="20"/>
                <w:szCs w:val="20"/>
                <w:color w:val="auto"/>
              </w:rPr>
            </w:pPr>
            <w:r>
              <w:rPr>
                <w:rFonts w:ascii="Arial" w:cs="Arial" w:eastAsia="Arial" w:hAnsi="Arial"/>
                <w:sz w:val="18"/>
                <w:szCs w:val="18"/>
                <w:color w:val="auto"/>
                <w:w w:val="94"/>
              </w:rPr>
              <w:t>Gross margin %</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65.0 %</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4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Gross margin percentage decreased by 190 basis points and increased by 350 basis points in the three- and nine-month periods ended July 29, 2023, respectively, as compared to the same periods of the prior fiscal year. The decrease in the three-month period ended July 29, 2023 primarily relates to lower utilization of our factories due to decreased customer demand. The increase in the nine-month period ended July 29, 2023 was primarily the result of additional cost of goods sold of $271.4 million related to a nonrecurring fair value adjustment recorded to inventory in the nine-month period ended July 30, 2022 as a result of the acquisition of Maxim Integrated Products, Inc. (Maxim).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6"/>
                <w:szCs w:val="16"/>
                <w:color w:val="auto"/>
              </w:rPr>
            </w:pPr>
          </w:p>
        </w:tc>
      </w:tr>
      <w:tr>
        <w:trPr>
          <w:trHeight w:val="26"/>
        </w:trPr>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1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July 29, 2023</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29, 2023</w:t>
            </w:r>
          </w:p>
        </w:tc>
        <w:tc>
          <w:tcPr>
            <w:tcW w:w="136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29"/>
        </w:trPr>
        <w:tc>
          <w:tcPr>
            <w:tcW w:w="1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423,751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431,829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1,253,600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8"/>
              </w:rPr>
              <w:t>$   1,279,510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76"/>
        </w:trPr>
        <w:tc>
          <w:tcPr>
            <w:tcW w:w="1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R&amp;D expenses as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1360" w:type="dxa"/>
            <w:vAlign w:val="bottom"/>
          </w:tcPr>
          <w:p>
            <w:pPr>
              <w:ind w:left="20"/>
              <w:spacing w:after="0"/>
              <w:rPr>
                <w:sz w:val="20"/>
                <w:szCs w:val="20"/>
                <w:color w:val="auto"/>
              </w:rPr>
            </w:pPr>
            <w:r>
              <w:rPr>
                <w:rFonts w:ascii="Arial" w:cs="Arial" w:eastAsia="Arial" w:hAnsi="Arial"/>
                <w:sz w:val="18"/>
                <w:szCs w:val="18"/>
                <w:color w:val="auto"/>
              </w:rPr>
              <w:t>a % of revenue</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4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R&amp;D expenses decreased both in the three- and nine-month periods ended July 29, 2023, as compared to the same periods of the prior fiscal year. The decrease in the three-month period was primarily the result of lower R&amp;D employee-related variable compensation expenses, partially offset by higher salary and benefit expenses. The decrease in the nine-month period was primarily the result of lower R&amp;D employee-related variable compensation expenses.</w:t>
      </w:r>
    </w:p>
    <w:p>
      <w:pPr>
        <w:spacing w:after="0" w:line="133"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6"/>
                <w:szCs w:val="16"/>
                <w:color w:val="auto"/>
              </w:rPr>
            </w:pPr>
          </w:p>
        </w:tc>
      </w:tr>
      <w:tr>
        <w:trPr>
          <w:trHeight w:val="26"/>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190"/>
        </w:trPr>
        <w:tc>
          <w:tcPr>
            <w:tcW w:w="13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July 29, 2023</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29, 2023</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162"/>
        </w:trPr>
        <w:tc>
          <w:tcPr>
            <w:tcW w:w="138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SMG&amp;A</w:t>
            </w: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243"/>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334,113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326,942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12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2 %  $</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984,648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929,615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176"/>
        </w:trPr>
        <w:tc>
          <w:tcPr>
            <w:tcW w:w="1380" w:type="dxa"/>
            <w:vAlign w:val="bottom"/>
          </w:tcPr>
          <w:p>
            <w:pPr>
              <w:ind w:left="20"/>
              <w:spacing w:after="0" w:line="176" w:lineRule="exact"/>
              <w:rPr>
                <w:sz w:val="20"/>
                <w:szCs w:val="20"/>
                <w:color w:val="auto"/>
              </w:rPr>
            </w:pPr>
            <w:r>
              <w:rPr>
                <w:rFonts w:ascii="Arial" w:cs="Arial" w:eastAsia="Arial" w:hAnsi="Arial"/>
                <w:sz w:val="18"/>
                <w:szCs w:val="18"/>
                <w:color w:val="auto"/>
              </w:rPr>
              <w:t>SMG&amp;A</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380" w:type="dxa"/>
            <w:vAlign w:val="bottom"/>
          </w:tcPr>
          <w:p>
            <w:pPr>
              <w:ind w:left="20"/>
              <w:spacing w:after="0" w:line="176" w:lineRule="exact"/>
              <w:rPr>
                <w:sz w:val="20"/>
                <w:szCs w:val="20"/>
                <w:color w:val="auto"/>
              </w:rPr>
            </w:pPr>
            <w:r>
              <w:rPr>
                <w:rFonts w:ascii="Arial" w:cs="Arial" w:eastAsia="Arial" w:hAnsi="Arial"/>
                <w:sz w:val="18"/>
                <w:szCs w:val="18"/>
                <w:color w:val="auto"/>
                <w:w w:val="97"/>
              </w:rPr>
              <w:t>expenses as a %</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1380" w:type="dxa"/>
            <w:vAlign w:val="bottom"/>
          </w:tcPr>
          <w:p>
            <w:pPr>
              <w:ind w:left="20"/>
              <w:spacing w:after="0"/>
              <w:rPr>
                <w:sz w:val="20"/>
                <w:szCs w:val="20"/>
                <w:color w:val="auto"/>
              </w:rPr>
            </w:pPr>
            <w:r>
              <w:rPr>
                <w:rFonts w:ascii="Arial" w:cs="Arial" w:eastAsia="Arial" w:hAnsi="Arial"/>
                <w:sz w:val="18"/>
                <w:szCs w:val="18"/>
                <w:color w:val="auto"/>
              </w:rPr>
              <w:t>of revenue</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29"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SMG&amp;A expenses increased in both the three- and nine-month periods ended July 29, 2023, as compared to the same periods of the prior fiscal year, primarily the result of higher salary and benefit expenses and discretionary spending, partially offset by lower SMG&amp;A employee-related variable compensation expenses and acquisition-related transaction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29, 2023</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0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29, 2023</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30, 2022</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5"/>
        </w:trPr>
        <w:tc>
          <w:tcPr>
            <w:tcW w:w="1420" w:type="dxa"/>
            <w:vAlign w:val="bottom"/>
            <w:tcBorders>
              <w:top w:val="single" w:sz="8" w:color="CCEEFF"/>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Amortization</w:t>
            </w: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250,719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252,864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  $</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756,882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759,707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line="189" w:lineRule="exact"/>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line="176" w:lineRule="exact"/>
              <w:rPr>
                <w:sz w:val="20"/>
                <w:szCs w:val="20"/>
                <w:color w:val="auto"/>
              </w:rPr>
            </w:pPr>
            <w:r>
              <w:rPr>
                <w:rFonts w:ascii="Arial" w:cs="Arial" w:eastAsia="Arial" w:hAnsi="Arial"/>
                <w:sz w:val="18"/>
                <w:szCs w:val="18"/>
                <w:color w:val="auto"/>
                <w:w w:val="87"/>
              </w:rPr>
              <w:t>expenses as a % of</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Amortization expenses were relatively flat in both the three- and nine-month periods ended July 29, 2023, as compared to the same periods of the prior fiscal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6"/>
                <w:szCs w:val="16"/>
                <w:color w:val="auto"/>
              </w:rPr>
            </w:pPr>
          </w:p>
        </w:tc>
      </w:tr>
      <w:tr>
        <w:trPr>
          <w:trHeight w:val="25"/>
        </w:trPr>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190"/>
        </w:trPr>
        <w:tc>
          <w:tcPr>
            <w:tcW w:w="1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29, 2023</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4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29, 2023</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162"/>
        </w:trPr>
        <w:tc>
          <w:tcPr>
            <w:tcW w:w="134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w w:val="97"/>
              </w:rPr>
              <w:t>Special charges,</w:t>
            </w: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243"/>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23,539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138,201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(114,662)</w:t>
            </w:r>
          </w:p>
        </w:tc>
        <w:tc>
          <w:tcPr>
            <w:tcW w:w="1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  $</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46,675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244,603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(197,928)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175"/>
        </w:trPr>
        <w:tc>
          <w:tcPr>
            <w:tcW w:w="1340" w:type="dxa"/>
            <w:vAlign w:val="bottom"/>
          </w:tcPr>
          <w:p>
            <w:pPr>
              <w:ind w:left="20"/>
              <w:spacing w:after="0" w:line="176" w:lineRule="exact"/>
              <w:rPr>
                <w:sz w:val="20"/>
                <w:szCs w:val="20"/>
                <w:color w:val="auto"/>
              </w:rPr>
            </w:pPr>
            <w:r>
              <w:rPr>
                <w:rFonts w:ascii="Arial" w:cs="Arial" w:eastAsia="Arial" w:hAnsi="Arial"/>
                <w:sz w:val="18"/>
                <w:szCs w:val="18"/>
                <w:color w:val="auto"/>
                <w:w w:val="97"/>
              </w:rPr>
              <w:t>Special charges,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8"/>
        </w:trPr>
        <w:tc>
          <w:tcPr>
            <w:tcW w:w="1340" w:type="dxa"/>
            <w:vAlign w:val="bottom"/>
          </w:tcPr>
          <w:p>
            <w:pPr>
              <w:ind w:left="20"/>
              <w:spacing w:after="0" w:line="189" w:lineRule="exact"/>
              <w:rPr>
                <w:sz w:val="20"/>
                <w:szCs w:val="20"/>
                <w:color w:val="auto"/>
              </w:rPr>
            </w:pPr>
            <w:r>
              <w:rPr>
                <w:rFonts w:ascii="Arial" w:cs="Arial" w:eastAsia="Arial" w:hAnsi="Arial"/>
                <w:sz w:val="18"/>
                <w:szCs w:val="18"/>
                <w:color w:val="auto"/>
              </w:rPr>
              <w:t>net as a % of</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134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42" w:lineRule="exact"/>
        <w:rPr>
          <w:sz w:val="20"/>
          <w:szCs w:val="20"/>
          <w:color w:val="auto"/>
        </w:rPr>
      </w:pPr>
    </w:p>
    <w:p>
      <w:pPr>
        <w:jc w:val="both"/>
        <w:ind w:right="360" w:firstLine="445"/>
        <w:spacing w:after="0" w:line="263" w:lineRule="auto"/>
        <w:rPr>
          <w:sz w:val="20"/>
          <w:szCs w:val="20"/>
          <w:color w:val="auto"/>
        </w:rPr>
      </w:pPr>
      <w:r>
        <w:rPr>
          <w:rFonts w:ascii="Arial" w:cs="Arial" w:eastAsia="Arial" w:hAnsi="Arial"/>
          <w:sz w:val="18"/>
          <w:szCs w:val="18"/>
          <w:color w:val="auto"/>
        </w:rPr>
        <w:t>Special charges, net decreased in both the three- and nine-month periods ended July 29, 2023, as compared to the same periods of the prior fiscal year, primarily the result of higher charges recorded in fiscal 2022 as part of the integration of Maxim and continued organizational initiatives to better align our global workforce with our long-term strategic plan.</w:t>
      </w: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Operating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ind w:left="50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6"/>
                <w:szCs w:val="16"/>
                <w:color w:val="auto"/>
              </w:rPr>
            </w:pPr>
          </w:p>
        </w:tc>
      </w:tr>
      <w:tr>
        <w:trPr>
          <w:trHeight w:val="26"/>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1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July 29, 2023</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0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29, 2023</w:t>
            </w:r>
          </w:p>
        </w:tc>
        <w:tc>
          <w:tcPr>
            <w:tcW w:w="138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July 30, 2022</w:t>
            </w:r>
          </w:p>
        </w:tc>
        <w:tc>
          <w:tcPr>
            <w:tcW w:w="120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162"/>
        </w:trPr>
        <w:tc>
          <w:tcPr>
            <w:tcW w:w="134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Operating</w:t>
            </w: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243"/>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929,493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893,306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36,187</w:t>
            </w:r>
          </w:p>
        </w:tc>
        <w:tc>
          <w:tcPr>
            <w:tcW w:w="1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4 %  $</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3,188,697</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8"/>
              </w:rPr>
              <w:t>$   2,176,224</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1,012,473</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176"/>
        </w:trPr>
        <w:tc>
          <w:tcPr>
            <w:tcW w:w="1340" w:type="dxa"/>
            <w:vAlign w:val="bottom"/>
          </w:tcPr>
          <w:p>
            <w:pPr>
              <w:ind w:left="20"/>
              <w:spacing w:after="0" w:line="176" w:lineRule="exact"/>
              <w:rPr>
                <w:sz w:val="20"/>
                <w:szCs w:val="20"/>
                <w:color w:val="auto"/>
              </w:rPr>
            </w:pPr>
            <w:r>
              <w:rPr>
                <w:rFonts w:ascii="Arial" w:cs="Arial" w:eastAsia="Arial" w:hAnsi="Arial"/>
                <w:sz w:val="18"/>
                <w:szCs w:val="18"/>
                <w:color w:val="auto"/>
              </w:rPr>
              <w:t>Operating</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1340" w:type="dxa"/>
            <w:vAlign w:val="bottom"/>
          </w:tcPr>
          <w:p>
            <w:pPr>
              <w:ind w:left="20"/>
              <w:spacing w:after="0" w:line="176" w:lineRule="exact"/>
              <w:rPr>
                <w:sz w:val="20"/>
                <w:szCs w:val="20"/>
                <w:color w:val="auto"/>
              </w:rPr>
            </w:pPr>
            <w:r>
              <w:rPr>
                <w:rFonts w:ascii="Arial" w:cs="Arial" w:eastAsia="Arial" w:hAnsi="Arial"/>
                <w:sz w:val="18"/>
                <w:szCs w:val="18"/>
                <w:color w:val="auto"/>
                <w:w w:val="94"/>
              </w:rPr>
              <w:t>income as a % of</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134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29" w:lineRule="exact"/>
        <w:rPr>
          <w:sz w:val="20"/>
          <w:szCs w:val="20"/>
          <w:color w:val="auto"/>
        </w:rPr>
      </w:pPr>
    </w:p>
    <w:p>
      <w:pPr>
        <w:ind w:right="360" w:firstLine="445"/>
        <w:spacing w:after="0" w:line="263" w:lineRule="auto"/>
        <w:rPr>
          <w:sz w:val="20"/>
          <w:szCs w:val="20"/>
          <w:color w:val="auto"/>
        </w:rPr>
      </w:pPr>
      <w:r>
        <w:rPr>
          <w:rFonts w:ascii="Arial" w:cs="Arial" w:eastAsia="Arial" w:hAnsi="Arial"/>
          <w:sz w:val="18"/>
          <w:szCs w:val="18"/>
          <w:color w:val="auto"/>
        </w:rPr>
        <w:t>The year-over-year increase in operating income in the three-month period ended July 29, 2023 was primarily the result of decreases of $114.7 million in special charges, net and $8.1 million in R&amp;D expenses, partially offset by decreases in gross margin of $81.5 million and an increase of $7.2 million in SMG&amp;A expenses.</w:t>
      </w:r>
    </w:p>
    <w:p>
      <w:pPr>
        <w:spacing w:after="0" w:line="130" w:lineRule="exact"/>
        <w:rPr>
          <w:sz w:val="20"/>
          <w:szCs w:val="20"/>
          <w:color w:val="auto"/>
        </w:rPr>
      </w:pPr>
    </w:p>
    <w:p>
      <w:pPr>
        <w:ind w:right="20" w:firstLine="445"/>
        <w:spacing w:after="0" w:line="286" w:lineRule="auto"/>
        <w:rPr>
          <w:sz w:val="20"/>
          <w:szCs w:val="20"/>
          <w:color w:val="auto"/>
        </w:rPr>
      </w:pPr>
      <w:r>
        <w:rPr>
          <w:rFonts w:ascii="Arial" w:cs="Arial" w:eastAsia="Arial" w:hAnsi="Arial"/>
          <w:sz w:val="17"/>
          <w:szCs w:val="17"/>
          <w:color w:val="auto"/>
        </w:rPr>
        <w:t>The year-over-year increase in operating income in the nine-month period ended July 29, 2023 was primarily the result of an increase in revenue of $822.8 million and an increase in gross margin percent, which contributed to an increase in gross margin of $840.8 million, and decreases of $197.9 million in special charges, net and $25.9 million in R&amp;D expenses, partially offset by an increase of $55.0 million in SMG&amp;A expenses</w:t>
      </w:r>
      <w:r>
        <w:rPr>
          <w:rFonts w:ascii="Arial" w:cs="Arial" w:eastAsia="Arial" w:hAnsi="Arial"/>
          <w:sz w:val="17"/>
          <w:szCs w:val="17"/>
          <w:i w:val="1"/>
          <w:iCs w:val="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36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4"/>
              </w:rPr>
              <w:t>July 29, 2023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July 30, 2022</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7"/>
              </w:rPr>
              <w:t>July 29, 2023</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July 30, 2022</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r>
      <w:tr>
        <w:trPr>
          <w:trHeight w:val="23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152,480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125,487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26,993</w:t>
            </w:r>
          </w:p>
        </w:tc>
      </w:tr>
    </w:tbl>
    <w:p>
      <w:pPr>
        <w:spacing w:after="0" w:line="242"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The year-over-year increase in nonoperating expense (income) in the three-month period ended July 29, 2023 as compared to the same period of the prior year was the result of higher interest expense related to our debt obligations partially offset by higher interest income.</w:t>
      </w:r>
    </w:p>
    <w:p>
      <w:pPr>
        <w:spacing w:after="0" w:line="92"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The year-over-year increase in nonoperating expense (income) in the nine-month period ended July 29, 2023 as compared to the same period of the prior year was the result of higher interest expense related to our debt obligations and lower net gains from other investments partially offset by higher interest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
        </w:trPr>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3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July 29, 2023</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30, 2022</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9"/>
              </w:rPr>
              <w:t>July 29, 2023</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30, 2022</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r>
      <w:tr>
        <w:trPr>
          <w:trHeight w:val="230"/>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(2,198)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98,952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(101,150)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220,068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238,402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(18,334)</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41"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The effective tax rates for both the three- and nine-month periods ended July 29, 2023 and July 30, 2022 were below the U.S. statutory tax rate of 21% due to lower statutory tax rates applicable to our operations in the foreign jurisdictions in which we earn income. Our pretax income for the three- and nine-month periods ended July 29, 2023 and July 30, 2022 was primarily generated in Ireland at a tax rate of 12.5%. The Company's effective tax rate for the three- and nine-month periods ended July 29, 2023 also included the effects of the mandatory capitalization and amortization of research and development expenses which began in fiscal 2023 under the Tax Cuts and Jobs Act. The mandatory capitalization requirement decreased our effective tax rate primarily by increasing the foreign-derived intangible income deduction.</w:t>
      </w:r>
    </w:p>
    <w:p>
      <w:pPr>
        <w:spacing w:after="0" w:line="124"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Our effective tax rate for the third quarter of fiscal 2023 was also impacted by a discrete income tax benefit recorded of $81.1 million resulting from the approval granted by the Joint Committee on Taxation of our federal corporate income tax relief claim which reduced the amount of transition tax owed under the Tax Cuts and Jobs Act.</w:t>
      </w:r>
    </w:p>
    <w:p>
      <w:pPr>
        <w:spacing w:after="0" w:line="130"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Condensed Consolidated Financial Statements in Part I, Item 1 of this Quarterly Report on Form 10-Q for further discussion.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Net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6"/>
                <w:szCs w:val="16"/>
                <w:color w:val="auto"/>
              </w:rPr>
            </w:pPr>
          </w:p>
        </w:tc>
      </w:tr>
      <w:tr>
        <w:trPr>
          <w:trHeight w:val="26"/>
        </w:trPr>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29, 2023</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30, 2022</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top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29, 2023</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30"/>
        </w:trPr>
        <w:tc>
          <w:tcPr>
            <w:tcW w:w="1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877,019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748,985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128,034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2,816,149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1,812,335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1,003,814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175"/>
        </w:trPr>
        <w:tc>
          <w:tcPr>
            <w:tcW w:w="1300" w:type="dxa"/>
            <w:vAlign w:val="bottom"/>
          </w:tcPr>
          <w:p>
            <w:pPr>
              <w:ind w:left="20"/>
              <w:spacing w:after="0" w:line="176" w:lineRule="exact"/>
              <w:rPr>
                <w:sz w:val="20"/>
                <w:szCs w:val="20"/>
                <w:color w:val="auto"/>
              </w:rPr>
            </w:pPr>
            <w:r>
              <w:rPr>
                <w:rFonts w:ascii="Arial" w:cs="Arial" w:eastAsia="Arial" w:hAnsi="Arial"/>
                <w:sz w:val="18"/>
                <w:szCs w:val="18"/>
                <w:color w:val="auto"/>
                <w:w w:val="96"/>
              </w:rPr>
              <w:t>Net income as a</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9"/>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bl>
    <w:p>
      <w:pPr>
        <w:spacing w:after="0" w:line="242"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Net income increased in the three-month period ended July 29, 2023, as compared to the same period of the prior fiscal year, the result of a $36.2 million increase in operating income and a $101.2 million decrease in (benefit from) provision for income taxes, partially offset by a $9.3 million increase in nonoperating expense (income).</w:t>
      </w:r>
    </w:p>
    <w:p>
      <w:pPr>
        <w:spacing w:after="0" w:line="130" w:lineRule="exact"/>
        <w:rPr>
          <w:sz w:val="20"/>
          <w:szCs w:val="20"/>
          <w:color w:val="auto"/>
        </w:rPr>
      </w:pPr>
    </w:p>
    <w:p>
      <w:pPr>
        <w:jc w:val="both"/>
        <w:ind w:right="140" w:firstLine="445"/>
        <w:spacing w:after="0" w:line="263" w:lineRule="auto"/>
        <w:rPr>
          <w:sz w:val="20"/>
          <w:szCs w:val="20"/>
          <w:color w:val="auto"/>
        </w:rPr>
      </w:pPr>
      <w:r>
        <w:rPr>
          <w:rFonts w:ascii="Arial" w:cs="Arial" w:eastAsia="Arial" w:hAnsi="Arial"/>
          <w:sz w:val="18"/>
          <w:szCs w:val="18"/>
          <w:color w:val="auto"/>
        </w:rPr>
        <w:t>Net income increased in the nine-month period ended July 29, 2023, as compared to the same period of the prior fiscal year, the result of a $1,012.5 million increase in operating income and a $18.3 million decrease in (benefit from) provision for income taxes, partially offset by a $27.0 million increase in nonoperating expense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445"/>
        <w:spacing w:after="0" w:line="291" w:lineRule="auto"/>
        <w:rPr>
          <w:sz w:val="20"/>
          <w:szCs w:val="20"/>
          <w:color w:val="auto"/>
        </w:rPr>
      </w:pPr>
      <w:r>
        <w:rPr>
          <w:rFonts w:ascii="Arial" w:cs="Arial" w:eastAsia="Arial" w:hAnsi="Arial"/>
          <w:sz w:val="16"/>
          <w:szCs w:val="16"/>
          <w:color w:val="auto"/>
        </w:rPr>
        <w:t>At July 29, 2023, our principal source of liquidity was $1,149.2 million of cash and cash equivalents, of which approximately $253.9 million was held in the United States, and the balance of our cash and cash equivalents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and cash equivalents consist of highly liquid investments with maturities of three months or less, including money market funds. We maintain these balances with counterparties with high credit ratings, and continually monitor the amount of credit exposure to any one issuer and diversify our investments in order to minimize our credit risk.</w:t>
      </w:r>
    </w:p>
    <w:p>
      <w:pPr>
        <w:spacing w:after="0" w:line="58" w:lineRule="exact"/>
        <w:rPr>
          <w:sz w:val="20"/>
          <w:szCs w:val="20"/>
          <w:color w:val="auto"/>
        </w:rPr>
      </w:pPr>
    </w:p>
    <w:p>
      <w:pPr>
        <w:ind w:right="380" w:firstLine="445"/>
        <w:spacing w:after="0" w:line="262" w:lineRule="auto"/>
        <w:rPr>
          <w:sz w:val="20"/>
          <w:szCs w:val="20"/>
          <w:color w:val="auto"/>
        </w:rPr>
      </w:pPr>
      <w:r>
        <w:rPr>
          <w:rFonts w:ascii="Arial" w:cs="Arial" w:eastAsia="Arial" w:hAnsi="Arial"/>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40" w:type="dxa"/>
            <w:vAlign w:val="bottom"/>
            <w:gridSpan w:val="4"/>
          </w:tcPr>
          <w:p>
            <w:pPr>
              <w:jc w:val="right"/>
              <w:ind w:right="1154"/>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7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29, 2023</w:t>
            </w:r>
          </w:p>
        </w:tc>
        <w:tc>
          <w:tcPr>
            <w:tcW w:w="320" w:type="dxa"/>
            <w:vAlign w:val="bottom"/>
          </w:tcPr>
          <w:p>
            <w:pPr>
              <w:spacing w:after="0"/>
              <w:rPr>
                <w:sz w:val="16"/>
                <w:szCs w:val="16"/>
                <w:color w:val="auto"/>
              </w:rPr>
            </w:pPr>
          </w:p>
        </w:tc>
        <w:tc>
          <w:tcPr>
            <w:tcW w:w="1540" w:type="dxa"/>
            <w:vAlign w:val="bottom"/>
          </w:tcPr>
          <w:p>
            <w:pPr>
              <w:jc w:val="right"/>
              <w:ind w:right="434"/>
              <w:spacing w:after="0"/>
              <w:rPr>
                <w:sz w:val="20"/>
                <w:szCs w:val="20"/>
                <w:color w:val="auto"/>
              </w:rPr>
            </w:pPr>
            <w:r>
              <w:rPr>
                <w:rFonts w:ascii="Arial" w:cs="Arial" w:eastAsia="Arial" w:hAnsi="Arial"/>
                <w:sz w:val="14"/>
                <w:szCs w:val="14"/>
                <w:b w:val="1"/>
                <w:bCs w:val="1"/>
                <w:color w:val="auto"/>
              </w:rPr>
              <w:t>July 30, 2022</w:t>
            </w:r>
          </w:p>
        </w:tc>
      </w:tr>
      <w:tr>
        <w:trPr>
          <w:trHeight w:val="230"/>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3,630,340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3,326,066</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cash provided by operations as a % of revenue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(787,324)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(351,035)</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96"/>
              <w:spacing w:after="0"/>
              <w:rPr>
                <w:sz w:val="20"/>
                <w:szCs w:val="20"/>
                <w:color w:val="auto"/>
              </w:rPr>
            </w:pPr>
            <w:r>
              <w:rPr>
                <w:rFonts w:ascii="Arial" w:cs="Arial" w:eastAsia="Arial" w:hAnsi="Arial"/>
                <w:sz w:val="18"/>
                <w:szCs w:val="18"/>
                <w:color w:val="auto"/>
              </w:rPr>
              <w:t>(3,164,342)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(3,403,860)</w:t>
            </w:r>
          </w:p>
        </w:tc>
      </w:tr>
    </w:tbl>
    <w:p>
      <w:pPr>
        <w:spacing w:after="0" w:line="174"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The following changes contributed to the net change in cash and cash equivalents in the nine-month period ended July 29, 2023 as compared to the same period in fiscal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Cash provided by operating activities is net income adjusted for certain non-cash items and changes in operating assets and liabilities. The increase in cash provided by operating activities during the nine-month period ended July 29, 2023, as compared to the same period of the prior fiscal year, was the result of higher net income adjusted for noncash items offset by changes in working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Investing cash flows generally consist of capital expenditures and cash used for acquisitions. The increase in cash used for investing activities during the nine-month period ended July 29, 2023, as compared to the same period of the prior fiscal year, was primarily the result of an increase in cash used for capital expenditures.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Financing cash flows generally consist of payments of dividends to stockholders, repurchases of common stock, issuance and repayment of debt and proceeds from the sale of shares of common stock pursuant to employee equity incentive plans. The decrease in cash used for financing activities during the nine-month period ended July 29, 2023, as compared to the same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1" w:name="page22"/>
    <w:bookmarkEnd w:id="21"/>
    <w:p>
      <w:pPr>
        <w:ind w:right="380"/>
        <w:spacing w:after="0" w:line="277" w:lineRule="auto"/>
        <w:rPr>
          <w:sz w:val="20"/>
          <w:szCs w:val="20"/>
          <w:color w:val="auto"/>
        </w:rPr>
      </w:pPr>
      <w:r>
        <w:rPr>
          <w:rFonts w:ascii="Arial" w:cs="Arial" w:eastAsia="Arial" w:hAnsi="Arial"/>
          <w:sz w:val="18"/>
          <w:szCs w:val="18"/>
          <w:color w:val="auto"/>
        </w:rPr>
        <w:t>period of the prior fiscal year, was primarily the result of higher net proceeds from the issuance of commercial paper notes and lower debt repayments, partially offset by higher common stock repurchases.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29, 2023</w:t>
            </w: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29, 2022</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 Change</w:t>
            </w:r>
          </w:p>
        </w:tc>
      </w:tr>
      <w:tr>
        <w:trPr>
          <w:trHeight w:val="26"/>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1,616,243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1,800,462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(184,219)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Days sales outstanding*</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1,709,313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1,399,914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309,399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Days cost of sales in inventory*</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1" w:lineRule="exact"/>
        <w:rPr>
          <w:sz w:val="20"/>
          <w:szCs w:val="20"/>
          <w:color w:val="auto"/>
        </w:rPr>
      </w:pPr>
    </w:p>
    <w:p>
      <w:pPr>
        <w:ind w:left="380" w:right="60" w:hanging="332"/>
        <w:spacing w:after="0" w:line="263"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use the average of the current quarter and prior quarter ending net accounts receivable and ending inventory balance in our calculation of days sales outstanding and days cost of sales in inventory, respectively. Cost of sales amounts used in the calculation of days cost of sales in inventory include accounting adjustments related to amortization of developed technology intangible assets acquired and depreciation related to the write-up of fixed assets to fair value as a result of the acquisition of Maxim.</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accounts receivable in dollars was primarily the result of variations in the timing of collections and billings.</w:t>
      </w:r>
    </w:p>
    <w:p>
      <w:pPr>
        <w:spacing w:after="0" w:line="117" w:lineRule="exact"/>
        <w:rPr>
          <w:sz w:val="20"/>
          <w:szCs w:val="20"/>
          <w:color w:val="auto"/>
        </w:rPr>
      </w:pPr>
    </w:p>
    <w:p>
      <w:pPr>
        <w:ind w:right="200" w:firstLine="445"/>
        <w:spacing w:after="0" w:line="308" w:lineRule="auto"/>
        <w:rPr>
          <w:sz w:val="20"/>
          <w:szCs w:val="20"/>
          <w:color w:val="auto"/>
        </w:rPr>
      </w:pPr>
      <w:r>
        <w:rPr>
          <w:rFonts w:ascii="Arial" w:cs="Arial" w:eastAsia="Arial" w:hAnsi="Arial"/>
          <w:sz w:val="17"/>
          <w:szCs w:val="17"/>
          <w:color w:val="auto"/>
        </w:rPr>
        <w:t>Inventory increased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38"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Current liabilities increased to $2,831.0 million at July 29, 2023 as compared to $2,442.7 million at the end of fiscal 2022 due to an increase in commercial paper notes and income taxes payable, partially offset by lower accrued liabilities.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i w:val="1"/>
                <w:iCs w:val="1"/>
                <w:color w:val="auto"/>
                <w:w w:val="99"/>
              </w:rPr>
              <w:t>Debt</w:t>
            </w:r>
          </w:p>
        </w:tc>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8660" w:type="dxa"/>
            <w:vAlign w:val="bottom"/>
          </w:tcPr>
          <w:p>
            <w:pPr>
              <w:ind w:left="60"/>
              <w:spacing w:after="0"/>
              <w:rPr>
                <w:sz w:val="20"/>
                <w:szCs w:val="20"/>
                <w:color w:val="auto"/>
              </w:rPr>
            </w:pPr>
            <w:r>
              <w:rPr>
                <w:rFonts w:ascii="Arial" w:cs="Arial" w:eastAsia="Arial" w:hAnsi="Arial"/>
                <w:sz w:val="18"/>
                <w:szCs w:val="18"/>
                <w:color w:val="auto"/>
              </w:rPr>
              <w:t>As of July 29, 2023, our debt obligations consisted of the following:</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Principal Amount</w:t>
            </w:r>
          </w:p>
        </w:tc>
      </w:tr>
      <w:tr>
        <w:trPr>
          <w:trHeight w:val="239"/>
        </w:trPr>
        <w:tc>
          <w:tcPr>
            <w:tcW w:w="40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Outstanding</w:t>
            </w:r>
          </w:p>
        </w:tc>
      </w:tr>
      <w:tr>
        <w:trPr>
          <w:trHeight w:val="227"/>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2024</w:t>
            </w:r>
          </w:p>
        </w:tc>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2024</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2025</w:t>
            </w:r>
          </w:p>
        </w:tc>
        <w:tc>
          <w:tcPr>
            <w:tcW w:w="8660" w:type="dxa"/>
            <w:vAlign w:val="bottom"/>
          </w:tcPr>
          <w:p>
            <w:pPr>
              <w:ind w:left="40"/>
              <w:spacing w:after="0"/>
              <w:rPr>
                <w:sz w:val="20"/>
                <w:szCs w:val="20"/>
                <w:color w:val="auto"/>
              </w:rPr>
            </w:pPr>
            <w:r>
              <w:rPr>
                <w:rFonts w:ascii="Arial" w:cs="Arial" w:eastAsia="Arial" w:hAnsi="Arial"/>
                <w:sz w:val="18"/>
                <w:szCs w:val="18"/>
                <w:color w:val="auto"/>
              </w:rPr>
              <w:t>Notes, due April 2025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December 2026</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2027</w:t>
            </w:r>
          </w:p>
        </w:tc>
        <w:tc>
          <w:tcPr>
            <w:tcW w:w="8660" w:type="dxa"/>
            <w:vAlign w:val="bottom"/>
          </w:tcPr>
          <w:p>
            <w:pPr>
              <w:ind w:left="40"/>
              <w:spacing w:after="0"/>
              <w:rPr>
                <w:sz w:val="20"/>
                <w:szCs w:val="20"/>
                <w:color w:val="auto"/>
              </w:rPr>
            </w:pPr>
            <w:r>
              <w:rPr>
                <w:rFonts w:ascii="Arial" w:cs="Arial" w:eastAsia="Arial" w:hAnsi="Arial"/>
                <w:sz w:val="18"/>
                <w:szCs w:val="18"/>
                <w:color w:val="auto"/>
              </w:rPr>
              <w:t>Notes, due June 2027</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440,212</w:t>
            </w: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2028</w:t>
            </w:r>
          </w:p>
        </w:tc>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2028</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2031</w:t>
            </w:r>
          </w:p>
        </w:tc>
        <w:tc>
          <w:tcPr>
            <w:tcW w:w="8660" w:type="dxa"/>
            <w:vAlign w:val="bottom"/>
          </w:tcPr>
          <w:p>
            <w:pPr>
              <w:ind w:left="40"/>
              <w:spacing w:after="0"/>
              <w:rPr>
                <w:sz w:val="20"/>
                <w:szCs w:val="20"/>
                <w:color w:val="auto"/>
              </w:rPr>
            </w:pPr>
            <w:r>
              <w:rPr>
                <w:rFonts w:ascii="Arial" w:cs="Arial" w:eastAsia="Arial" w:hAnsi="Arial"/>
                <w:sz w:val="18"/>
                <w:szCs w:val="18"/>
                <w:color w:val="auto"/>
              </w:rPr>
              <w:t>Notes, due October 2031</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2032</w:t>
            </w:r>
          </w:p>
        </w:tc>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2032</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2036</w:t>
            </w:r>
          </w:p>
        </w:tc>
        <w:tc>
          <w:tcPr>
            <w:tcW w:w="8660" w:type="dxa"/>
            <w:vAlign w:val="bottom"/>
          </w:tcPr>
          <w:p>
            <w:pPr>
              <w:ind w:left="40"/>
              <w:spacing w:after="0"/>
              <w:rPr>
                <w:sz w:val="20"/>
                <w:szCs w:val="20"/>
                <w:color w:val="auto"/>
              </w:rPr>
            </w:pPr>
            <w:r>
              <w:rPr>
                <w:rFonts w:ascii="Arial" w:cs="Arial" w:eastAsia="Arial" w:hAnsi="Arial"/>
                <w:sz w:val="18"/>
                <w:szCs w:val="18"/>
                <w:color w:val="auto"/>
              </w:rPr>
              <w:t>Notes, due December 2036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144,278</w:t>
            </w: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2041</w:t>
            </w:r>
          </w:p>
        </w:tc>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2041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2045</w:t>
            </w:r>
          </w:p>
        </w:tc>
        <w:tc>
          <w:tcPr>
            <w:tcW w:w="8660" w:type="dxa"/>
            <w:vAlign w:val="bottom"/>
          </w:tcPr>
          <w:p>
            <w:pPr>
              <w:ind w:left="40"/>
              <w:spacing w:after="0"/>
              <w:rPr>
                <w:sz w:val="20"/>
                <w:szCs w:val="20"/>
                <w:color w:val="auto"/>
              </w:rPr>
            </w:pPr>
            <w:r>
              <w:rPr>
                <w:rFonts w:ascii="Arial" w:cs="Arial" w:eastAsia="Arial" w:hAnsi="Arial"/>
                <w:sz w:val="18"/>
                <w:szCs w:val="18"/>
                <w:color w:val="auto"/>
              </w:rPr>
              <w:t>Notes, due December 2045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332,587</w:t>
            </w: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2051</w:t>
            </w:r>
          </w:p>
        </w:tc>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2051</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23"/>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6,517,077</w:t>
            </w:r>
          </w:p>
        </w:tc>
      </w:tr>
      <w:tr>
        <w:trPr>
          <w:trHeight w:val="21"/>
        </w:trPr>
        <w:tc>
          <w:tcPr>
            <w:tcW w:w="40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July 29, 2023, we were in compliance with these covenants.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 Program</w:t>
      </w:r>
    </w:p>
    <w:p>
      <w:pPr>
        <w:spacing w:after="0" w:line="9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On April 14, 2023, we established a commercial paper program under which we may issue short-term, unsecured commercial paper notes in amounts up to a maximum aggregate face amount of $2.5 billion outstanding at any time, with maturities up to 397 days from the date of issuance. As of July 29, 2023, we had $544.7 million of outstanding borrowings under the commercial paper program recorded in the Condensed Consolidated Balance Sheet. We intend to use the net proceeds of the commercial paper program for general corporate purposes, including without limitation, repayment of indebtedness, stock repurchases, acquisitions, capital expenditures and working capital.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80" w:firstLine="445"/>
        <w:spacing w:after="0" w:line="342" w:lineRule="auto"/>
        <w:rPr>
          <w:sz w:val="20"/>
          <w:szCs w:val="20"/>
          <w:color w:val="auto"/>
        </w:rPr>
      </w:pPr>
      <w:r>
        <w:rPr>
          <w:rFonts w:ascii="Arial" w:cs="Arial" w:eastAsia="Arial" w:hAnsi="Arial"/>
          <w:sz w:val="16"/>
          <w:szCs w:val="16"/>
          <w:color w:val="auto"/>
        </w:rPr>
        <w:t>Our Third Amended and Restated Revolving Credit Agreement, dated as of June 23, 2021 and as amended (Revolving Credit Agreement), provides for a five year unsecured revolving credit facility in an aggregate principal amount not to exceed $2.5 billion (subject to certain terms and conditions).</w:t>
      </w:r>
    </w:p>
    <w:p>
      <w:pPr>
        <w:spacing w:after="0" w:line="16" w:lineRule="exact"/>
        <w:rPr>
          <w:sz w:val="20"/>
          <w:szCs w:val="20"/>
          <w:color w:val="auto"/>
        </w:rPr>
      </w:pPr>
    </w:p>
    <w:p>
      <w:pPr>
        <w:ind w:right="120" w:firstLine="445"/>
        <w:spacing w:after="0" w:line="296" w:lineRule="auto"/>
        <w:rPr>
          <w:sz w:val="20"/>
          <w:szCs w:val="20"/>
          <w:color w:val="auto"/>
        </w:rPr>
      </w:pPr>
      <w:r>
        <w:rPr>
          <w:rFonts w:ascii="Arial" w:cs="Arial" w:eastAsia="Arial" w:hAnsi="Arial"/>
          <w:sz w:val="16"/>
          <w:szCs w:val="16"/>
          <w:color w:val="auto"/>
        </w:rPr>
        <w:t>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July 29, 2023, we were in compliance with these covenants.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In the aggregate, our Board of Directors has authorized us to repurchase $16.7 billion of our common stock under our common stock repurchase program. Unless terminated earlier by resolution of our Board of Directors, the repurchase program will expire when we have repurchased all shares authorized under the program. As of July 29, 2023, an additional $2.6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as well as for our employee stock purchase plan. Future repurchases of common stock will be dependent upon our financial position, results of operations, outlook, liquidity and other factors we deem relevant.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04" w:lineRule="exact"/>
        <w:rPr>
          <w:sz w:val="20"/>
          <w:szCs w:val="20"/>
          <w:color w:val="auto"/>
        </w:rPr>
      </w:pPr>
    </w:p>
    <w:p>
      <w:pPr>
        <w:jc w:val="both"/>
        <w:ind w:right="40" w:firstLine="445"/>
        <w:spacing w:after="0" w:line="259" w:lineRule="auto"/>
        <w:rPr>
          <w:sz w:val="20"/>
          <w:szCs w:val="20"/>
          <w:color w:val="auto"/>
        </w:rPr>
      </w:pPr>
      <w:r>
        <w:rPr>
          <w:rFonts w:ascii="Arial" w:cs="Arial" w:eastAsia="Arial" w:hAnsi="Arial"/>
          <w:sz w:val="18"/>
          <w:szCs w:val="18"/>
          <w:color w:val="auto"/>
        </w:rPr>
        <w:t>Net additions to property, plant and equipment were $785.1 million in the first nine months of fiscal 2023. We expect capital expenditures for fiscal 2023 to be between approximately 7% to 9% of revenue, which is above our historical levels primarily due to our plans to expand internal manufacturing capacity. These capital expenditures will be funded with a combination of cash on hand and cash expected to be generated from future operations, together with existing and anticipated available short- and long-term financing.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August 22, 2023, our Board of Directors declared a cash dividend of $0.86 per outstanding share of common stock. The dividend will be paid on September 14, 2023 to all shareholders of record at the close of business on September 5, 2023 and is expected to total approximately $428.6 million. We currently expect quarterly dividends to continue in future periods. The payment of any future quarterly dividends, or a future increase in the quarterly dividend amount, will be at the discretion of the Board and will be dependent upon our financial position, results of operations, outlook, liquidity and other factors deemed relevant by the Board.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There have not been any material changes during the nine-month period ended July 29, 2023 to the amounts presented in the table summarizing our contractual obligations included in our Annual Report on Form 10-K for the fiscal year ended October 29,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and results of operations. See Note 14,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There were no material changes in the nine-month period ended July 29, 2023 to the information provided under the heading “Critical Accounting Policies and Estimates” in the section entitled “Management’s Discussion and Analysis of Financial Condition and Results of Operations” of our Annual Report on Form 10-K for the fiscal year ended October 29, 2022.</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4" w:right="399" w:bottom="1440" w:gutter="0" w:footer="0" w:header="0"/>
        </w:sectPr>
      </w:pPr>
    </w:p>
    <w:bookmarkStart w:id="23" w:name="page24"/>
    <w:bookmarkEnd w:id="23"/>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6" w:lineRule="exact"/>
        <w:rPr>
          <w:sz w:val="20"/>
          <w:szCs w:val="20"/>
          <w:color w:val="auto"/>
        </w:rPr>
      </w:pPr>
    </w:p>
    <w:p>
      <w:pPr>
        <w:ind w:right="660" w:firstLine="445"/>
        <w:spacing w:after="0" w:line="305" w:lineRule="auto"/>
        <w:rPr>
          <w:sz w:val="20"/>
          <w:szCs w:val="20"/>
          <w:color w:val="auto"/>
        </w:rPr>
      </w:pPr>
      <w:r>
        <w:rPr>
          <w:rFonts w:ascii="Arial" w:cs="Arial" w:eastAsia="Arial" w:hAnsi="Arial"/>
          <w:sz w:val="16"/>
          <w:szCs w:val="16"/>
          <w:color w:val="auto"/>
        </w:rPr>
        <w:t>There were no material changes in the nine-month period ended July 29, 2023 to the information provided under Item 7A. “Quantitative and Qualitative Disclosures about Market Risk,” set forth in our Annual Report on Form 10-K for the fiscal year ended October 29, 2022</w:t>
      </w:r>
      <w:r>
        <w:rPr>
          <w:rFonts w:ascii="Arial" w:cs="Arial" w:eastAsia="Arial" w:hAnsi="Arial"/>
          <w:sz w:val="16"/>
          <w:szCs w:val="16"/>
          <w:color w:val="EE2724"/>
        </w:rPr>
        <w:t>.</w:t>
      </w:r>
    </w:p>
    <w:p>
      <w:pPr>
        <w:spacing w:after="0" w:line="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firstLine="8"/>
        <w:spacing w:after="0" w:line="269" w:lineRule="auto"/>
        <w:tabs>
          <w:tab w:leader="none" w:pos="244"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July 29, 2023.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July 29, 2023, our Chief Executive Officer and Chief Financial Officer concluded that, as of such date, our disclosure controls and procedures were effective at the reasonable assurance level.</w:t>
      </w:r>
    </w:p>
    <w:p>
      <w:pPr>
        <w:spacing w:after="0" w:line="84" w:lineRule="exact"/>
        <w:rPr>
          <w:rFonts w:ascii="Arial" w:cs="Arial" w:eastAsia="Arial" w:hAnsi="Arial"/>
          <w:sz w:val="17"/>
          <w:szCs w:val="17"/>
          <w:color w:val="auto"/>
        </w:rPr>
      </w:pP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No change in our internal control over financial reporting (as defined in Rules 13a-15(f) and</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15d-15(f) under the Exchange Act) occurred during the quarter ended July 29,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5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 xml:space="preserve">The information required by this Item is provided in Note 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Notes to Condensed Consolidated Financial Statements in Part I, Item 1 of this Quarterly Report on Form 10-Q.</w:t>
      </w:r>
    </w:p>
    <w:p>
      <w:pPr>
        <w:spacing w:after="0" w:line="11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are subject to a number of risks that could adversely affect our business, results of operations, financial condition and future prospects, including those identified in Part I, Item 1A, “Risk Factors” of our Annual Report on Form 10-K for the fiscal year ended October 29, 2022, which was filed with the Securities and Exchange Commission on November 22, 2022.</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506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w w:val="92"/>
              </w:rPr>
              <w:t>Unregistered Sales of Equity Securities and Use of Proceeds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4"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39"/>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7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3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34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5"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Paid Per Share (b)</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9"/>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2023 through May 27, 2023</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839,984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3,084,226,115</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May 28, 2023 through June 24, 2023</w:t>
            </w:r>
          </w:p>
        </w:tc>
        <w:tc>
          <w:tcPr>
            <w:tcW w:w="1600" w:type="dxa"/>
            <w:vAlign w:val="bottom"/>
          </w:tcPr>
          <w:p>
            <w:pPr>
              <w:jc w:val="right"/>
              <w:spacing w:after="0"/>
              <w:rPr>
                <w:sz w:val="20"/>
                <w:szCs w:val="20"/>
                <w:color w:val="auto"/>
              </w:rPr>
            </w:pPr>
            <w:r>
              <w:rPr>
                <w:rFonts w:ascii="Arial" w:cs="Arial" w:eastAsia="Arial" w:hAnsi="Arial"/>
                <w:sz w:val="18"/>
                <w:szCs w:val="18"/>
                <w:color w:val="auto"/>
              </w:rPr>
              <w:t>1,137,405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183.65</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1,124,642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2,877,944,546</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25, 2023 through July 29, 2023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191.04</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1,701,370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2,552,750,403</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60" w:type="dxa"/>
            <w:vAlign w:val="bottom"/>
          </w:tcPr>
          <w:p>
            <w:pPr>
              <w:ind w:left="106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3,686,769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186.96</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3,624,934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2,552,750,403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right="40" w:hanging="328"/>
        <w:spacing w:after="0" w:line="258"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61,835 shares withheld by us from employees to satisfy minimum employee tax obligations upon vesting of restricted stock units/awards granted to our employees under our equity compensation plans.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380" w:hanging="328"/>
        <w:spacing w:after="0" w:line="295" w:lineRule="auto"/>
        <w:tabs>
          <w:tab w:leader="none" w:pos="657" w:val="left"/>
        </w:tabs>
        <w:numPr>
          <w:ilvl w:val="0"/>
          <w:numId w:val="6"/>
        </w:numPr>
        <w:rPr>
          <w:rFonts w:ascii="Arial" w:cs="Arial" w:eastAsia="Arial" w:hAnsi="Arial"/>
          <w:sz w:val="16"/>
          <w:szCs w:val="16"/>
          <w:color w:val="auto"/>
        </w:rPr>
      </w:pPr>
      <w:r>
        <w:rPr>
          <w:rFonts w:ascii="Arial" w:cs="Arial" w:eastAsia="Arial" w:hAnsi="Arial"/>
          <w:sz w:val="16"/>
          <w:szCs w:val="16"/>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 in an aggregate amount of up to $16.7 billion. Unless terminated earlier by resolution of our Board of Directors, the repurchase program will expire when we have repurchased all shares authorized for repurchase under the repurchase program.</w:t>
      </w:r>
    </w:p>
    <w:p>
      <w:pPr>
        <w:spacing w:after="0" w:line="34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None of our directors or officers adopted or terminated a Rule 10b5-1 trading arrangement or a non-Rule 10b5-1 trading arrangement (as defined in Item 408(c) of Regulation S-K) during the third quarter of fiscal 2023.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26" w:name="page27"/>
    <w:bookmarkEnd w:id="26"/>
    <w:tbl>
      <w:tblPr>
        <w:tblLayout w:type="fixed"/>
        <w:tblInd w:w="2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900" w:type="dxa"/>
            <w:vAlign w:val="bottom"/>
            <w:gridSpan w:val="9"/>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80" w:type="dxa"/>
            <w:vAlign w:val="bottom"/>
          </w:tcPr>
          <w:p>
            <w:pPr>
              <w:spacing w:after="0"/>
              <w:rPr>
                <w:sz w:val="24"/>
                <w:szCs w:val="24"/>
                <w:color w:val="auto"/>
              </w:rPr>
            </w:pPr>
          </w:p>
        </w:tc>
        <w:tc>
          <w:tcPr>
            <w:tcW w:w="942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8"/>
              </w:rPr>
              <w:t>10.1†</w:t>
            </w:r>
          </w:p>
        </w:tc>
        <w:tc>
          <w:tcPr>
            <w:tcW w:w="480" w:type="dxa"/>
            <w:vAlign w:val="bottom"/>
          </w:tcPr>
          <w:p>
            <w:pPr>
              <w:spacing w:after="0"/>
              <w:rPr>
                <w:sz w:val="19"/>
                <w:szCs w:val="19"/>
                <w:color w:val="auto"/>
              </w:rPr>
            </w:pPr>
          </w:p>
        </w:tc>
        <w:tc>
          <w:tcPr>
            <w:tcW w:w="9420" w:type="dxa"/>
            <w:vAlign w:val="bottom"/>
            <w:gridSpan w:val="8"/>
          </w:tcPr>
          <w:p>
            <w:pPr>
              <w:spacing w:after="0"/>
              <w:rPr>
                <w:sz w:val="20"/>
                <w:szCs w:val="20"/>
                <w:color w:val="auto"/>
              </w:rPr>
            </w:pPr>
            <w:r>
              <w:rPr>
                <w:rFonts w:ascii="Arial" w:cs="Arial" w:eastAsia="Arial" w:hAnsi="Arial"/>
                <w:sz w:val="18"/>
                <w:szCs w:val="18"/>
                <w:color w:val="0000FF"/>
                <w:w w:val="90"/>
              </w:rPr>
              <w:t>Amendment No. 2 to Third Amended and Restated Credit Agreement, dated as of July 24, 2023, among the Company, each lender</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party thereto, and Bank of America, N.A., as Administrative Agent.</w:t>
            </w:r>
          </w:p>
        </w:tc>
        <w:tc>
          <w:tcPr>
            <w:tcW w:w="20" w:type="dxa"/>
            <w:vAlign w:val="bottom"/>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8"/>
              </w:rPr>
              <w:t>31.1†</w:t>
            </w:r>
          </w:p>
        </w:tc>
        <w:tc>
          <w:tcPr>
            <w:tcW w:w="480" w:type="dxa"/>
            <w:vAlign w:val="bottom"/>
          </w:tcPr>
          <w:p>
            <w:pPr>
              <w:spacing w:after="0"/>
              <w:rPr>
                <w:sz w:val="18"/>
                <w:szCs w:val="18"/>
                <w:color w:val="auto"/>
              </w:rPr>
            </w:pPr>
          </w:p>
        </w:tc>
        <w:tc>
          <w:tcPr>
            <w:tcW w:w="9420" w:type="dxa"/>
            <w:vAlign w:val="bottom"/>
            <w:gridSpan w:val="8"/>
          </w:tcPr>
          <w:p>
            <w:pPr>
              <w:spacing w:after="0"/>
              <w:rPr>
                <w:sz w:val="20"/>
                <w:szCs w:val="20"/>
                <w:color w:val="auto"/>
              </w:rPr>
            </w:pPr>
            <w:r>
              <w:rPr>
                <w:rFonts w:ascii="Arial" w:cs="Arial" w:eastAsia="Arial" w:hAnsi="Arial"/>
                <w:sz w:val="18"/>
                <w:szCs w:val="18"/>
                <w:color w:val="0000FF"/>
                <w:w w:val="90"/>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2"/>
              </w:rPr>
              <w:t>Sarbanes-Oxley Act of 2002 (Chief Executive Officer).</w:t>
            </w:r>
          </w:p>
        </w:tc>
        <w:tc>
          <w:tcPr>
            <w:tcW w:w="5360" w:type="dxa"/>
            <w:vAlign w:val="bottom"/>
            <w:tcBorders>
              <w:top w:val="single" w:sz="8" w:color="0000FF"/>
            </w:tcBorders>
            <w:gridSpan w:val="4"/>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1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8"/>
              </w:rPr>
              <w:t>31.2†</w:t>
            </w:r>
          </w:p>
        </w:tc>
        <w:tc>
          <w:tcPr>
            <w:tcW w:w="480" w:type="dxa"/>
            <w:vAlign w:val="bottom"/>
          </w:tcPr>
          <w:p>
            <w:pPr>
              <w:spacing w:after="0"/>
              <w:rPr>
                <w:sz w:val="18"/>
                <w:szCs w:val="18"/>
                <w:color w:val="auto"/>
              </w:rPr>
            </w:pPr>
          </w:p>
        </w:tc>
        <w:tc>
          <w:tcPr>
            <w:tcW w:w="9420" w:type="dxa"/>
            <w:vAlign w:val="bottom"/>
            <w:gridSpan w:val="8"/>
          </w:tcPr>
          <w:p>
            <w:pPr>
              <w:spacing w:after="0"/>
              <w:rPr>
                <w:sz w:val="20"/>
                <w:szCs w:val="20"/>
                <w:color w:val="auto"/>
              </w:rPr>
            </w:pPr>
            <w:r>
              <w:rPr>
                <w:rFonts w:ascii="Arial" w:cs="Arial" w:eastAsia="Arial" w:hAnsi="Arial"/>
                <w:sz w:val="18"/>
                <w:szCs w:val="18"/>
                <w:color w:val="0000FF"/>
                <w:w w:val="90"/>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6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Sarbanes-Oxley Act of 2002 (Chief Financial Officer).</w:t>
            </w:r>
          </w:p>
        </w:tc>
        <w:tc>
          <w:tcPr>
            <w:tcW w:w="60" w:type="dxa"/>
            <w:vAlign w:val="bottom"/>
            <w:gridSpan w:val="2"/>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5"/>
              </w:rPr>
              <w:t>32.1†*</w:t>
            </w:r>
          </w:p>
        </w:tc>
        <w:tc>
          <w:tcPr>
            <w:tcW w:w="480" w:type="dxa"/>
            <w:vAlign w:val="bottom"/>
          </w:tcPr>
          <w:p>
            <w:pPr>
              <w:spacing w:after="0"/>
              <w:rPr>
                <w:sz w:val="18"/>
                <w:szCs w:val="18"/>
                <w:color w:val="auto"/>
              </w:rPr>
            </w:pPr>
          </w:p>
        </w:tc>
        <w:tc>
          <w:tcPr>
            <w:tcW w:w="54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Certification Pursuant to 18 U.S.C. Section 1350 (Chief Executive Officer).</w:t>
            </w:r>
          </w:p>
        </w:tc>
        <w:tc>
          <w:tcPr>
            <w:tcW w:w="3960" w:type="dxa"/>
            <w:vAlign w:val="bottom"/>
            <w:gridSpan w:val="3"/>
          </w:tcPr>
          <w:p>
            <w:pPr>
              <w:spacing w:after="0"/>
              <w:rPr>
                <w:sz w:val="18"/>
                <w:szCs w:val="18"/>
                <w:color w:val="auto"/>
              </w:rPr>
            </w:pPr>
          </w:p>
        </w:tc>
      </w:tr>
      <w:tr>
        <w:trPr>
          <w:trHeight w:val="21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5"/>
              </w:rPr>
              <w:t>32.2†*</w:t>
            </w:r>
          </w:p>
        </w:tc>
        <w:tc>
          <w:tcPr>
            <w:tcW w:w="480" w:type="dxa"/>
            <w:vAlign w:val="bottom"/>
          </w:tcPr>
          <w:p>
            <w:pPr>
              <w:spacing w:after="0"/>
              <w:rPr>
                <w:sz w:val="18"/>
                <w:szCs w:val="18"/>
                <w:color w:val="auto"/>
              </w:rPr>
            </w:pPr>
          </w:p>
        </w:tc>
        <w:tc>
          <w:tcPr>
            <w:tcW w:w="9420" w:type="dxa"/>
            <w:vAlign w:val="bottom"/>
            <w:gridSpan w:val="8"/>
          </w:tcPr>
          <w:p>
            <w:pPr>
              <w:spacing w:after="0"/>
              <w:rPr>
                <w:sz w:val="20"/>
                <w:szCs w:val="20"/>
                <w:color w:val="auto"/>
              </w:rPr>
            </w:pPr>
            <w:r>
              <w:rPr>
                <w:rFonts w:ascii="Arial" w:cs="Arial" w:eastAsia="Arial" w:hAnsi="Arial"/>
                <w:sz w:val="18"/>
                <w:szCs w:val="18"/>
                <w:color w:val="0000FF"/>
              </w:rPr>
              <w:t>Certification Pursuant to 18 U.S.C. Section 1350 (Chief Financial Officer).</w:t>
            </w: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0" w:type="dxa"/>
            <w:vAlign w:val="bottom"/>
            <w:gridSpan w:val="4"/>
            <w:shd w:val="clear" w:color="auto" w:fill="0000FF"/>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480" w:type="dxa"/>
            <w:vAlign w:val="bottom"/>
          </w:tcPr>
          <w:p>
            <w:pPr>
              <w:spacing w:after="0"/>
              <w:rPr>
                <w:sz w:val="18"/>
                <w:szCs w:val="18"/>
                <w:color w:val="auto"/>
              </w:rPr>
            </w:pPr>
          </w:p>
        </w:tc>
        <w:tc>
          <w:tcPr>
            <w:tcW w:w="9420" w:type="dxa"/>
            <w:vAlign w:val="bottom"/>
            <w:gridSpan w:val="8"/>
          </w:tcPr>
          <w:p>
            <w:pPr>
              <w:spacing w:after="0"/>
              <w:rPr>
                <w:sz w:val="20"/>
                <w:szCs w:val="20"/>
                <w:color w:val="auto"/>
              </w:rPr>
            </w:pPr>
            <w:r>
              <w:rPr>
                <w:rFonts w:ascii="Arial" w:cs="Arial" w:eastAsia="Arial" w:hAnsi="Arial"/>
                <w:sz w:val="18"/>
                <w:szCs w:val="18"/>
                <w:color w:val="auto"/>
                <w:w w:val="91"/>
              </w:rPr>
              <w:t>The instance document does not appear in the Interactive Data File because its XBRL tags are embedded within the inline XBRL</w:t>
            </w:r>
          </w:p>
        </w:tc>
      </w:tr>
      <w:tr>
        <w:trPr>
          <w:trHeight w:val="229"/>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20" w:type="dxa"/>
            <w:vAlign w:val="bottom"/>
            <w:gridSpan w:val="8"/>
          </w:tcPr>
          <w:p>
            <w:pPr>
              <w:spacing w:after="0"/>
              <w:rPr>
                <w:sz w:val="20"/>
                <w:szCs w:val="20"/>
                <w:color w:val="auto"/>
              </w:rPr>
            </w:pPr>
            <w:r>
              <w:rPr>
                <w:rFonts w:ascii="Arial" w:cs="Arial" w:eastAsia="Arial" w:hAnsi="Arial"/>
                <w:sz w:val="18"/>
                <w:szCs w:val="18"/>
                <w:color w:val="auto"/>
              </w:rPr>
              <w:t>document.**</w:t>
            </w: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480" w:type="dxa"/>
            <w:vAlign w:val="bottom"/>
          </w:tcPr>
          <w:p>
            <w:pPr>
              <w:spacing w:after="0"/>
              <w:rPr>
                <w:sz w:val="19"/>
                <w:szCs w:val="19"/>
                <w:color w:val="auto"/>
              </w:rPr>
            </w:pPr>
          </w:p>
        </w:tc>
        <w:tc>
          <w:tcPr>
            <w:tcW w:w="9420" w:type="dxa"/>
            <w:vAlign w:val="bottom"/>
            <w:gridSpan w:val="8"/>
          </w:tcPr>
          <w:p>
            <w:pPr>
              <w:spacing w:after="0"/>
              <w:rPr>
                <w:sz w:val="20"/>
                <w:szCs w:val="20"/>
                <w:color w:val="auto"/>
              </w:rPr>
            </w:pPr>
            <w:r>
              <w:rPr>
                <w:rFonts w:ascii="Arial" w:cs="Arial" w:eastAsia="Arial" w:hAnsi="Arial"/>
                <w:sz w:val="18"/>
                <w:szCs w:val="18"/>
                <w:color w:val="auto"/>
              </w:rPr>
              <w:t>Inline XBRL Schema Document.**</w:t>
            </w:r>
          </w:p>
        </w:tc>
      </w:tr>
      <w:tr>
        <w:trPr>
          <w:trHeight w:val="22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480" w:type="dxa"/>
            <w:vAlign w:val="bottom"/>
          </w:tcPr>
          <w:p>
            <w:pPr>
              <w:spacing w:after="0"/>
              <w:rPr>
                <w:sz w:val="19"/>
                <w:szCs w:val="19"/>
                <w:color w:val="auto"/>
              </w:rPr>
            </w:pPr>
          </w:p>
        </w:tc>
        <w:tc>
          <w:tcPr>
            <w:tcW w:w="9420" w:type="dxa"/>
            <w:vAlign w:val="bottom"/>
            <w:gridSpan w:val="8"/>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2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480" w:type="dxa"/>
            <w:vAlign w:val="bottom"/>
          </w:tcPr>
          <w:p>
            <w:pPr>
              <w:spacing w:after="0"/>
              <w:rPr>
                <w:sz w:val="19"/>
                <w:szCs w:val="19"/>
                <w:color w:val="auto"/>
              </w:rPr>
            </w:pPr>
          </w:p>
        </w:tc>
        <w:tc>
          <w:tcPr>
            <w:tcW w:w="9420" w:type="dxa"/>
            <w:vAlign w:val="bottom"/>
            <w:gridSpan w:val="8"/>
          </w:tcPr>
          <w:p>
            <w:pPr>
              <w:spacing w:after="0"/>
              <w:rPr>
                <w:sz w:val="20"/>
                <w:szCs w:val="20"/>
                <w:color w:val="auto"/>
              </w:rPr>
            </w:pPr>
            <w:r>
              <w:rPr>
                <w:rFonts w:ascii="Arial" w:cs="Arial" w:eastAsia="Arial" w:hAnsi="Arial"/>
                <w:sz w:val="18"/>
                <w:szCs w:val="18"/>
                <w:color w:val="auto"/>
              </w:rPr>
              <w:t>Inline XBRL Labels Linkbase Document.**</w:t>
            </w: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480" w:type="dxa"/>
            <w:vAlign w:val="bottom"/>
          </w:tcPr>
          <w:p>
            <w:pPr>
              <w:spacing w:after="0"/>
              <w:rPr>
                <w:sz w:val="19"/>
                <w:szCs w:val="19"/>
                <w:color w:val="auto"/>
              </w:rPr>
            </w:pPr>
          </w:p>
        </w:tc>
        <w:tc>
          <w:tcPr>
            <w:tcW w:w="9420" w:type="dxa"/>
            <w:vAlign w:val="bottom"/>
            <w:gridSpan w:val="8"/>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480" w:type="dxa"/>
            <w:vAlign w:val="bottom"/>
          </w:tcPr>
          <w:p>
            <w:pPr>
              <w:spacing w:after="0"/>
              <w:rPr>
                <w:sz w:val="20"/>
                <w:szCs w:val="20"/>
                <w:color w:val="auto"/>
              </w:rPr>
            </w:pPr>
          </w:p>
        </w:tc>
        <w:tc>
          <w:tcPr>
            <w:tcW w:w="9420" w:type="dxa"/>
            <w:vAlign w:val="bottom"/>
            <w:gridSpan w:val="8"/>
          </w:tcPr>
          <w:p>
            <w:pPr>
              <w:spacing w:after="0"/>
              <w:rPr>
                <w:sz w:val="20"/>
                <w:szCs w:val="20"/>
                <w:color w:val="auto"/>
              </w:rPr>
            </w:pPr>
            <w:r>
              <w:rPr>
                <w:rFonts w:ascii="Arial" w:cs="Arial" w:eastAsia="Arial" w:hAnsi="Arial"/>
                <w:sz w:val="18"/>
                <w:szCs w:val="18"/>
                <w:color w:val="auto"/>
              </w:rPr>
              <w:t>Inline XBRL Definition Linkbase Document.**</w:t>
            </w:r>
          </w:p>
        </w:tc>
      </w:tr>
    </w:tbl>
    <w:p>
      <w:pPr>
        <w:ind w:left="1560" w:right="180" w:hanging="1140"/>
        <w:spacing w:after="0" w:line="242" w:lineRule="auto"/>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560" w:hanging="1050"/>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3" w:lineRule="exact"/>
        <w:rPr>
          <w:sz w:val="20"/>
          <w:szCs w:val="20"/>
          <w:color w:val="auto"/>
        </w:rPr>
      </w:pPr>
    </w:p>
    <w:p>
      <w:pPr>
        <w:ind w:left="1560" w:hanging="1050"/>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agreement.</w:t>
      </w:r>
    </w:p>
    <w:p>
      <w:pPr>
        <w:spacing w:after="0" w:line="23" w:lineRule="exact"/>
        <w:rPr>
          <w:sz w:val="20"/>
          <w:szCs w:val="20"/>
          <w:color w:val="auto"/>
        </w:rPr>
      </w:pPr>
    </w:p>
    <w:p>
      <w:pPr>
        <w:ind w:left="1560" w:right="100" w:hanging="1050"/>
        <w:spacing w:after="0" w:line="235" w:lineRule="auto"/>
        <w:tabs>
          <w:tab w:leader="none" w:pos="1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1560" w:hanging="1095"/>
        <w:spacing w:after="0"/>
        <w:tabs>
          <w:tab w:leader="none" w:pos="1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Attached as Exhibit 101 to this report are the following formatted in iXBRL (Inline Extensible Business Reporting Language): (i) Condensed Consolidated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Statements of Income for the three- and nine-months ended July 29, 2023 and July 30, 2022, (ii) Condensed Consolidated Statements of Comprehensive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for the three- and nine-months ended July 29, 2023 and July 30, 2022, (iii) Condensed Consolidated Balance Sheets at July 29, 2023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29, 2022, (iv) Condensed Consolidated Statements of Shareholders' Equity for the three- and nine-months ended July 29, 2023 and July 30, 2022,</w:t>
      </w:r>
    </w:p>
    <w:p>
      <w:pPr>
        <w:spacing w:after="0" w:line="32" w:lineRule="exact"/>
        <w:rPr>
          <w:sz w:val="20"/>
          <w:szCs w:val="20"/>
          <w:color w:val="auto"/>
        </w:rPr>
      </w:pPr>
    </w:p>
    <w:p>
      <w:pPr>
        <w:ind w:right="840" w:firstLine="8"/>
        <w:spacing w:after="0" w:line="26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nine months ended July 29, 2023 and July 30, 2022 and (vi) Notes to Condensed Consolidated Financial Statements for the three- and nine-months ended July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sectPr>
      </w:pPr>
    </w:p>
    <w:bookmarkStart w:id="27" w:name="page28"/>
    <w:bookmarkEnd w:id="27"/>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45"/>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7700" w:type="dxa"/>
            <w:vAlign w:val="bottom"/>
            <w:gridSpan w:val="2"/>
          </w:tcPr>
          <w:p>
            <w:pPr>
              <w:ind w:left="1540"/>
              <w:spacing w:after="0"/>
              <w:rPr>
                <w:sz w:val="20"/>
                <w:szCs w:val="20"/>
                <w:color w:val="auto"/>
              </w:rPr>
            </w:pPr>
            <w:r>
              <w:rPr>
                <w:rFonts w:ascii="Arial" w:cs="Arial" w:eastAsia="Arial" w:hAnsi="Arial"/>
                <w:sz w:val="18"/>
                <w:szCs w:val="18"/>
                <w:color w:val="auto"/>
              </w:rPr>
              <w:t>ANALOG DEVICES, INC.</w:t>
            </w:r>
          </w:p>
        </w:tc>
      </w:tr>
      <w:tr>
        <w:trPr>
          <w:trHeight w:val="499"/>
        </w:trPr>
        <w:tc>
          <w:tcPr>
            <w:tcW w:w="3160" w:type="dxa"/>
            <w:vAlign w:val="bottom"/>
          </w:tcPr>
          <w:p>
            <w:pPr>
              <w:spacing w:after="0"/>
              <w:rPr>
                <w:sz w:val="20"/>
                <w:szCs w:val="20"/>
                <w:color w:val="auto"/>
              </w:rPr>
            </w:pPr>
            <w:r>
              <w:rPr>
                <w:rFonts w:ascii="Arial" w:cs="Arial" w:eastAsia="Arial" w:hAnsi="Arial"/>
                <w:sz w:val="18"/>
                <w:szCs w:val="18"/>
                <w:color w:val="auto"/>
              </w:rPr>
              <w:t>Date: August 23, 2023</w:t>
            </w:r>
          </w:p>
        </w:tc>
        <w:tc>
          <w:tcPr>
            <w:tcW w:w="2060" w:type="dxa"/>
            <w:vAlign w:val="bottom"/>
          </w:tcPr>
          <w:p>
            <w:pPr>
              <w:ind w:left="154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Vincent Roche</w:t>
            </w:r>
          </w:p>
        </w:tc>
      </w:tr>
      <w:tr>
        <w:trPr>
          <w:trHeight w:val="222"/>
        </w:trPr>
        <w:tc>
          <w:tcPr>
            <w:tcW w:w="3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Vincent Roche</w:t>
            </w:r>
          </w:p>
        </w:tc>
      </w:tr>
      <w:tr>
        <w:trPr>
          <w:trHeight w:val="229"/>
        </w:trPr>
        <w:tc>
          <w:tcPr>
            <w:tcW w:w="3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Chief Executive Officer and Chair of the Board of Directors</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3160" w:type="dxa"/>
            <w:vAlign w:val="bottom"/>
          </w:tcPr>
          <w:p>
            <w:pPr>
              <w:spacing w:after="0"/>
              <w:rPr>
                <w:sz w:val="20"/>
                <w:szCs w:val="20"/>
                <w:color w:val="auto"/>
              </w:rPr>
            </w:pPr>
            <w:r>
              <w:rPr>
                <w:rFonts w:ascii="Arial" w:cs="Arial" w:eastAsia="Arial" w:hAnsi="Arial"/>
                <w:sz w:val="18"/>
                <w:szCs w:val="18"/>
                <w:color w:val="auto"/>
              </w:rPr>
              <w:t>Date: August 23, 2023</w:t>
            </w:r>
          </w:p>
        </w:tc>
        <w:tc>
          <w:tcPr>
            <w:tcW w:w="2060" w:type="dxa"/>
            <w:vAlign w:val="bottom"/>
          </w:tcPr>
          <w:p>
            <w:pPr>
              <w:ind w:left="154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Prashanth Mahendra-Rajah</w:t>
            </w:r>
          </w:p>
        </w:tc>
      </w:tr>
      <w:tr>
        <w:trPr>
          <w:trHeight w:val="222"/>
        </w:trPr>
        <w:tc>
          <w:tcPr>
            <w:tcW w:w="3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Prashanth Mahendra-Rajah</w:t>
            </w:r>
          </w:p>
        </w:tc>
      </w:tr>
      <w:tr>
        <w:trPr>
          <w:trHeight w:val="229"/>
        </w:trPr>
        <w:tc>
          <w:tcPr>
            <w:tcW w:w="3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Executive Vice President, Finance and Chief Financial Officer</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320" w:top="1012" w:right="65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394"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AMENDMENT NO. 2 TO</w:t>
      </w:r>
    </w:p>
    <w:p>
      <w:pPr>
        <w:ind w:left="4560"/>
        <w:spacing w:after="0" w:line="211" w:lineRule="auto"/>
        <w:rPr>
          <w:sz w:val="20"/>
          <w:szCs w:val="20"/>
          <w:color w:val="auto"/>
        </w:rPr>
      </w:pPr>
      <w:r>
        <w:rPr>
          <w:rFonts w:ascii="Arial" w:cs="Arial" w:eastAsia="Arial" w:hAnsi="Arial"/>
          <w:sz w:val="20"/>
          <w:szCs w:val="20"/>
          <w:b w:val="1"/>
          <w:bCs w:val="1"/>
          <w:color w:val="auto"/>
        </w:rPr>
        <w:t>CREDIT AGREEMENT</w:t>
      </w:r>
    </w:p>
    <w:p>
      <w:pPr>
        <w:ind w:left="1300"/>
        <w:spacing w:after="0" w:line="222" w:lineRule="auto"/>
        <w:rPr>
          <w:sz w:val="20"/>
          <w:szCs w:val="20"/>
          <w:color w:val="auto"/>
        </w:rPr>
      </w:pPr>
      <w:r>
        <w:rPr>
          <w:rFonts w:ascii="Arial" w:cs="Arial" w:eastAsia="Arial" w:hAnsi="Arial"/>
          <w:sz w:val="19"/>
          <w:szCs w:val="19"/>
          <w:color w:val="auto"/>
        </w:rPr>
        <w:t>AMENDMENT NO. 2, dated as of July 24, 2023 (this “</w:t>
      </w:r>
      <w:r>
        <w:rPr>
          <w:rFonts w:ascii="Arial" w:cs="Arial" w:eastAsia="Arial" w:hAnsi="Arial"/>
          <w:sz w:val="19"/>
          <w:szCs w:val="19"/>
          <w:u w:val="single" w:color="auto"/>
          <w:color w:val="auto"/>
        </w:rPr>
        <w:t>Amendment</w:t>
      </w:r>
      <w:r>
        <w:rPr>
          <w:rFonts w:ascii="Arial" w:cs="Arial" w:eastAsia="Arial" w:hAnsi="Arial"/>
          <w:sz w:val="19"/>
          <w:szCs w:val="19"/>
          <w:color w:val="auto"/>
        </w:rPr>
        <w:t>”), among Analog Devices, Inc., as Borrower, each</w:t>
      </w:r>
    </w:p>
    <w:p>
      <w:pPr>
        <w:spacing w:after="0" w:line="1" w:lineRule="exact"/>
        <w:rPr>
          <w:sz w:val="20"/>
          <w:szCs w:val="20"/>
          <w:color w:val="auto"/>
        </w:rPr>
      </w:pPr>
    </w:p>
    <w:p>
      <w:pPr>
        <w:ind w:right="420"/>
        <w:spacing w:after="0" w:line="255" w:lineRule="auto"/>
        <w:rPr>
          <w:sz w:val="20"/>
          <w:szCs w:val="20"/>
          <w:color w:val="auto"/>
        </w:rPr>
      </w:pPr>
      <w:r>
        <w:rPr>
          <w:rFonts w:ascii="Arial" w:cs="Arial" w:eastAsia="Arial" w:hAnsi="Arial"/>
          <w:sz w:val="16"/>
          <w:szCs w:val="16"/>
          <w:color w:val="auto"/>
        </w:rPr>
        <w:t>Lender party hereto, and Bank of America, N.A., as Administrative Agent for the Lenders, to the Credit Agreement, dated as of June 23, 2021 (as amended by that certain Amendment No. 1, dated as of December 20, 2022 and as further amended, restated, supplemented or</w:t>
      </w:r>
    </w:p>
    <w:p>
      <w:pPr>
        <w:spacing w:after="0" w:line="235" w:lineRule="auto"/>
        <w:rPr>
          <w:sz w:val="20"/>
          <w:szCs w:val="20"/>
          <w:color w:val="auto"/>
        </w:rPr>
      </w:pPr>
      <w:r>
        <w:rPr>
          <w:rFonts w:ascii="Arial" w:cs="Arial" w:eastAsia="Arial" w:hAnsi="Arial"/>
          <w:sz w:val="18"/>
          <w:szCs w:val="18"/>
          <w:color w:val="auto"/>
        </w:rPr>
        <w:t>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among, </w:t>
      </w:r>
      <w:r>
        <w:rPr>
          <w:rFonts w:ascii="Arial" w:cs="Arial" w:eastAsia="Arial" w:hAnsi="Arial"/>
          <w:sz w:val="18"/>
          <w:szCs w:val="18"/>
          <w:i w:val="1"/>
          <w:iCs w:val="1"/>
          <w:color w:val="auto"/>
        </w:rPr>
        <w:t>inter alios</w:t>
      </w:r>
      <w:r>
        <w:rPr>
          <w:rFonts w:ascii="Arial" w:cs="Arial" w:eastAsia="Arial" w:hAnsi="Arial"/>
          <w:sz w:val="18"/>
          <w:szCs w:val="18"/>
          <w:color w:val="auto"/>
        </w:rPr>
        <w:t>, the Borrower, the Lenders from time to time party</w:t>
      </w:r>
    </w:p>
    <w:p>
      <w:pPr>
        <w:ind w:right="220"/>
        <w:spacing w:after="0" w:line="220" w:lineRule="auto"/>
        <w:rPr>
          <w:sz w:val="20"/>
          <w:szCs w:val="20"/>
          <w:color w:val="auto"/>
        </w:rPr>
      </w:pPr>
      <w:r>
        <w:rPr>
          <w:rFonts w:ascii="Arial" w:cs="Arial" w:eastAsia="Arial" w:hAnsi="Arial"/>
          <w:sz w:val="20"/>
          <w:szCs w:val="20"/>
          <w:color w:val="auto"/>
        </w:rPr>
        <w:t>thereto and the Administrative Agent. Capitalized terms used and not otherwise defined herein shall have the meanings assigned to them in the Credit Agreement after giving effect to this Amendment.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Borrower has requested that the Administrative Agent and the Lenders amend the Credit Agreement as set</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forth herein;</w:t>
      </w:r>
    </w:p>
    <w:p>
      <w:pPr>
        <w:spacing w:after="0" w:line="159" w:lineRule="exact"/>
        <w:rPr>
          <w:sz w:val="20"/>
          <w:szCs w:val="20"/>
          <w:color w:val="auto"/>
        </w:rPr>
      </w:pPr>
    </w:p>
    <w:p>
      <w:pPr>
        <w:ind w:right="40" w:firstLine="1296"/>
        <w:spacing w:after="0" w:line="236" w:lineRule="auto"/>
        <w:rPr>
          <w:sz w:val="20"/>
          <w:szCs w:val="20"/>
          <w:color w:val="auto"/>
        </w:rPr>
      </w:pPr>
      <w:r>
        <w:rPr>
          <w:rFonts w:ascii="Arial" w:cs="Arial" w:eastAsia="Arial" w:hAnsi="Arial"/>
          <w:sz w:val="20"/>
          <w:szCs w:val="20"/>
          <w:color w:val="auto"/>
        </w:rPr>
        <w:t>WHEREAS, the Administrative Agent, the Lenders party hereto, which collectively constitute the Required Lenders, and the Borrower are willing to enter into this Amendment upon the terms and conditions set forth below.</w:t>
      </w:r>
    </w:p>
    <w:p>
      <w:pPr>
        <w:spacing w:after="0" w:line="169" w:lineRule="exact"/>
        <w:rPr>
          <w:sz w:val="20"/>
          <w:szCs w:val="20"/>
          <w:color w:val="auto"/>
        </w:rPr>
      </w:pPr>
    </w:p>
    <w:p>
      <w:pPr>
        <w:ind w:right="180" w:firstLine="1296"/>
        <w:spacing w:after="0" w:line="265" w:lineRule="auto"/>
        <w:rPr>
          <w:sz w:val="20"/>
          <w:szCs w:val="20"/>
          <w:color w:val="auto"/>
        </w:rPr>
      </w:pPr>
      <w:r>
        <w:rPr>
          <w:rFonts w:ascii="Arial" w:cs="Arial" w:eastAsia="Arial" w:hAnsi="Arial"/>
          <w:sz w:val="16"/>
          <w:szCs w:val="16"/>
          <w:color w:val="auto"/>
        </w:rPr>
        <w:t>NOW, THEREFORE, in consideration of the premises and covenants contained herein and for other good and valuable consideration, the receipt and sufficiency of which are hereby acknowledged, the parties hereto, intending to be legally bound hereby, agree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as follows:</w:t>
      </w:r>
    </w:p>
    <w:p>
      <w:pPr>
        <w:spacing w:after="0" w:line="167"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6"/>
          <w:szCs w:val="16"/>
          <w:b w:val="1"/>
          <w:bCs w:val="1"/>
          <w:u w:val="single" w:color="auto"/>
          <w:color w:val="auto"/>
        </w:rPr>
        <w:t>Amendments to Credit Agreement</w:t>
      </w:r>
      <w:r>
        <w:rPr>
          <w:rFonts w:ascii="Arial" w:cs="Arial" w:eastAsia="Arial" w:hAnsi="Arial"/>
          <w:sz w:val="16"/>
          <w:szCs w:val="16"/>
          <w:b w:val="1"/>
          <w:bCs w:val="1"/>
          <w:color w:val="auto"/>
        </w:rPr>
        <w:t>.</w:t>
      </w:r>
    </w:p>
    <w:p>
      <w:pPr>
        <w:spacing w:after="0" w:line="181" w:lineRule="exact"/>
        <w:rPr>
          <w:sz w:val="20"/>
          <w:szCs w:val="20"/>
          <w:color w:val="auto"/>
        </w:rPr>
      </w:pPr>
    </w:p>
    <w:p>
      <w:pPr>
        <w:ind w:right="600" w:firstLine="1458"/>
        <w:spacing w:after="0" w:line="236" w:lineRule="auto"/>
        <w:rPr>
          <w:sz w:val="20"/>
          <w:szCs w:val="20"/>
          <w:color w:val="auto"/>
        </w:rPr>
      </w:pPr>
      <w:r>
        <w:rPr>
          <w:rFonts w:ascii="Arial" w:cs="Arial" w:eastAsia="Arial" w:hAnsi="Arial"/>
          <w:sz w:val="20"/>
          <w:szCs w:val="20"/>
          <w:color w:val="auto"/>
        </w:rPr>
        <w:t>Each of the parties hereto agrees that, effective on the Amendment No. 2 Effective Date (as defined below), Section 6.01(c) of the Credit Agreement shall be amended and restated in its entirety as follows:</w:t>
      </w:r>
    </w:p>
    <w:p>
      <w:pPr>
        <w:spacing w:after="0" w:line="169" w:lineRule="exact"/>
        <w:rPr>
          <w:sz w:val="20"/>
          <w:szCs w:val="20"/>
          <w:color w:val="auto"/>
        </w:rPr>
      </w:pPr>
    </w:p>
    <w:p>
      <w:pPr>
        <w:ind w:right="160" w:firstLine="1458"/>
        <w:spacing w:after="0" w:line="265" w:lineRule="auto"/>
        <w:rPr>
          <w:sz w:val="20"/>
          <w:szCs w:val="20"/>
          <w:color w:val="auto"/>
        </w:rPr>
      </w:pPr>
      <w:r>
        <w:rPr>
          <w:rFonts w:ascii="Arial" w:cs="Arial" w:eastAsia="Arial" w:hAnsi="Arial"/>
          <w:sz w:val="16"/>
          <w:szCs w:val="16"/>
          <w:color w:val="auto"/>
        </w:rPr>
        <w:t>“(c) as soon as available and in any event within (x) with respect to the calendar year of the Company ending December 31, 2021, 150 days and (y) with respect to each subsequent calendar year of the Company, 210 days, in each case, following the end of such</w:t>
      </w:r>
    </w:p>
    <w:p>
      <w:pPr>
        <w:spacing w:after="0" w:line="236" w:lineRule="auto"/>
        <w:rPr>
          <w:sz w:val="20"/>
          <w:szCs w:val="20"/>
          <w:color w:val="auto"/>
        </w:rPr>
      </w:pPr>
      <w:r>
        <w:rPr>
          <w:rFonts w:ascii="Arial" w:cs="Arial" w:eastAsia="Arial" w:hAnsi="Arial"/>
          <w:sz w:val="18"/>
          <w:szCs w:val="18"/>
          <w:color w:val="auto"/>
        </w:rPr>
        <w:t>calendar year of the Company (commencing with the calendar year ending December 31, 2021), a Pricing Certificate for the most recently-</w:t>
      </w:r>
    </w:p>
    <w:p>
      <w:pPr>
        <w:ind w:right="80"/>
        <w:spacing w:after="0" w:line="226" w:lineRule="auto"/>
        <w:rPr>
          <w:sz w:val="20"/>
          <w:szCs w:val="20"/>
          <w:color w:val="auto"/>
        </w:rPr>
      </w:pPr>
      <w:r>
        <w:rPr>
          <w:rFonts w:ascii="Arial" w:cs="Arial" w:eastAsia="Arial" w:hAnsi="Arial"/>
          <w:sz w:val="18"/>
          <w:szCs w:val="18"/>
          <w:color w:val="auto"/>
        </w:rPr>
        <w:t xml:space="preserve">ended Annual Period for each KPI Metric; </w:t>
      </w:r>
      <w:r>
        <w:rPr>
          <w:rFonts w:ascii="Arial" w:cs="Arial" w:eastAsia="Arial" w:hAnsi="Arial"/>
          <w:sz w:val="18"/>
          <w:szCs w:val="18"/>
          <w:u w:val="single" w:color="auto"/>
          <w:color w:val="auto"/>
        </w:rPr>
        <w:t>provided</w:t>
      </w:r>
      <w:r>
        <w:rPr>
          <w:rFonts w:ascii="Arial" w:cs="Arial" w:eastAsia="Arial" w:hAnsi="Arial"/>
          <w:sz w:val="18"/>
          <w:szCs w:val="18"/>
          <w:color w:val="auto"/>
        </w:rPr>
        <w:t>, that, in any fiscal year the Company may elect not to deliver a Pricing Certificate, and such election shall not constitute a Default or Event of Default (but such failure to so deliver a Pricing Certificate by the end of such 150-day</w:t>
      </w:r>
    </w:p>
    <w:p>
      <w:pPr>
        <w:spacing w:after="0" w:line="236" w:lineRule="auto"/>
        <w:rPr>
          <w:sz w:val="20"/>
          <w:szCs w:val="20"/>
          <w:color w:val="auto"/>
        </w:rPr>
      </w:pPr>
      <w:r>
        <w:rPr>
          <w:rFonts w:ascii="Arial" w:cs="Arial" w:eastAsia="Arial" w:hAnsi="Arial"/>
          <w:sz w:val="18"/>
          <w:szCs w:val="18"/>
          <w:color w:val="auto"/>
        </w:rPr>
        <w:t>or 210-day, as applicable, period shall result in the Sustainability Fee Adjustment and the Sustainability Margin Adjustment being applied</w:t>
      </w:r>
    </w:p>
    <w:p>
      <w:pPr>
        <w:spacing w:after="0" w:line="1" w:lineRule="exact"/>
        <w:rPr>
          <w:sz w:val="20"/>
          <w:szCs w:val="20"/>
          <w:color w:val="auto"/>
        </w:rPr>
      </w:pPr>
    </w:p>
    <w:p>
      <w:pPr>
        <w:ind w:right="480"/>
        <w:spacing w:after="0" w:line="220" w:lineRule="auto"/>
        <w:rPr>
          <w:sz w:val="20"/>
          <w:szCs w:val="20"/>
          <w:color w:val="auto"/>
        </w:rPr>
      </w:pPr>
      <w:r>
        <w:rPr>
          <w:rFonts w:ascii="Arial" w:cs="Arial" w:eastAsia="Arial" w:hAnsi="Arial"/>
          <w:sz w:val="20"/>
          <w:szCs w:val="20"/>
          <w:color w:val="auto"/>
        </w:rPr>
        <w:t>subject to the terms and conditions set forth in Section 2.19). Failure of the Company to deliver a Pricing Certificate shall be deemed an election of the Company to not deliver a Pricing Certificate for such period.”</w:t>
      </w:r>
    </w:p>
    <w:p>
      <w:pPr>
        <w:spacing w:after="0" w:line="164"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6"/>
          <w:szCs w:val="16"/>
          <w:b w:val="1"/>
          <w:bCs w:val="1"/>
          <w:u w:val="single" w:color="auto"/>
          <w:color w:val="auto"/>
        </w:rPr>
        <w:t>Conditions to Effectiveness</w:t>
      </w:r>
      <w:r>
        <w:rPr>
          <w:rFonts w:ascii="Arial" w:cs="Arial" w:eastAsia="Arial" w:hAnsi="Arial"/>
          <w:sz w:val="16"/>
          <w:szCs w:val="16"/>
          <w:color w:val="auto"/>
        </w:rPr>
        <w:t>.</w:t>
      </w:r>
    </w:p>
    <w:p>
      <w:pPr>
        <w:spacing w:after="0" w:line="181"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The effectiveness of this Amendment is subject to the satisfaction of each of the following conditions (the date of satisfaction of such effectiveness,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167" w:lineRule="exact"/>
        <w:rPr>
          <w:sz w:val="20"/>
          <w:szCs w:val="20"/>
          <w:color w:val="auto"/>
        </w:rPr>
      </w:pPr>
    </w:p>
    <w:p>
      <w:pPr>
        <w:ind w:left="1940" w:hanging="636"/>
        <w:spacing w:after="0"/>
        <w:tabs>
          <w:tab w:leader="none" w:pos="194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Counterparts of Amendment</w:t>
      </w:r>
      <w:r>
        <w:rPr>
          <w:rFonts w:ascii="Arial" w:cs="Arial" w:eastAsia="Arial" w:hAnsi="Arial"/>
          <w:sz w:val="18"/>
          <w:szCs w:val="18"/>
          <w:color w:val="auto"/>
        </w:rPr>
        <w:t>. The Administrative Agent (or its counsel) shall have received from (i) the Borrower,</w:t>
      </w:r>
    </w:p>
    <w:p>
      <w:pPr>
        <w:ind w:left="300" w:hanging="292"/>
        <w:spacing w:after="0" w:line="234"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Administrative Agent and (iii) Lenders that collectively constitute the Required Lenders as set forth on the signature pages attached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hereto counterparts of this Amendment signed on behalf of such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65" w:lineRule="exact"/>
        <w:rPr>
          <w:sz w:val="20"/>
          <w:szCs w:val="20"/>
          <w:color w:val="auto"/>
        </w:rPr>
      </w:pPr>
    </w:p>
    <w:p>
      <w:pPr>
        <w:ind w:right="280" w:firstLine="1304"/>
        <w:spacing w:after="0" w:line="257" w:lineRule="auto"/>
        <w:tabs>
          <w:tab w:leader="none" w:pos="1932"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All fees and expenses required to be paid or reimbursed by the Borrower hereunder, under the Credit Agreement or any separate letter agreements to which the Borrower is a party shall have been paid.</w:t>
      </w:r>
    </w:p>
    <w:p>
      <w:pPr>
        <w:spacing w:after="0" w:line="147"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6"/>
          <w:szCs w:val="16"/>
          <w:b w:val="1"/>
          <w:bCs w:val="1"/>
          <w:u w:val="single" w:color="auto"/>
          <w:color w:val="auto"/>
        </w:rPr>
        <w:t>Representations and Warranties</w:t>
      </w:r>
      <w:r>
        <w:rPr>
          <w:rFonts w:ascii="Arial" w:cs="Arial" w:eastAsia="Arial" w:hAnsi="Arial"/>
          <w:sz w:val="16"/>
          <w:szCs w:val="16"/>
          <w:b w:val="1"/>
          <w:bCs w:val="1"/>
          <w:color w:val="auto"/>
        </w:rPr>
        <w: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Borrower represents and warrants to the Lenders as follows:</w:t>
      </w:r>
    </w:p>
    <w:p>
      <w:pPr>
        <w:spacing w:after="0" w:line="189" w:lineRule="exact"/>
        <w:rPr>
          <w:sz w:val="20"/>
          <w:szCs w:val="20"/>
          <w:color w:val="auto"/>
        </w:rPr>
      </w:pPr>
    </w:p>
    <w:p>
      <w:pPr>
        <w:ind w:right="500" w:firstLine="1304"/>
        <w:spacing w:after="0" w:line="236" w:lineRule="auto"/>
        <w:tabs>
          <w:tab w:leader="none" w:pos="1934"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execution, delivery and performance by the Borrower of this Amendment have been duly authorized by all necessary corporate or other organizational action.</w:t>
      </w:r>
    </w:p>
    <w:p>
      <w:pPr>
        <w:spacing w:after="0" w:line="155" w:lineRule="exact"/>
        <w:rPr>
          <w:rFonts w:ascii="Arial" w:cs="Arial" w:eastAsia="Arial" w:hAnsi="Arial"/>
          <w:sz w:val="20"/>
          <w:szCs w:val="20"/>
          <w:color w:val="auto"/>
        </w:rPr>
      </w:pPr>
    </w:p>
    <w:p>
      <w:pPr>
        <w:ind w:left="180" w:right="120" w:firstLine="1286"/>
        <w:spacing w:after="0" w:line="243" w:lineRule="auto"/>
        <w:tabs>
          <w:tab w:leader="none" w:pos="195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Borrower has all requisite power and authority and all requisite governmental licenses, authorizations, consents and approvals to execute, deliver and perform its obligations under this Amendment. This Amendment constitutes a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7" w:lineRule="exact"/>
        <w:rPr>
          <w:sz w:val="20"/>
          <w:szCs w:val="20"/>
          <w:color w:val="auto"/>
        </w:rPr>
      </w:pPr>
    </w:p>
    <w:p>
      <w:pPr>
        <w:ind w:right="40" w:firstLine="1304"/>
        <w:spacing w:after="0" w:line="225" w:lineRule="auto"/>
        <w:tabs>
          <w:tab w:leader="none" w:pos="1934"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Immediately before and immediately after giving effect to this Amendment, the representations and warranties of the Borrower and each other Loan Party contained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of the Credit Agreement, shall be true and correct in all material respects (except that any representation and warranty that is qualified as to “materiality” or Material Adverse Effect shall be true and correct in all respects as so qualified) on and as of the date hereof, except to the extent that such representations and warranties expressly relate to an earlier date, in which case they shall be true and correct in all material respects as of such earlier date, and except that the representations and warranties contained in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of the Credit Agreement shall be deemed to refer to the most recent statements furnished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Credit Agreement.</w:t>
      </w:r>
    </w:p>
    <w:p>
      <w:pPr>
        <w:spacing w:after="0" w:line="159" w:lineRule="exact"/>
        <w:rPr>
          <w:rFonts w:ascii="Arial" w:cs="Arial" w:eastAsia="Arial" w:hAnsi="Arial"/>
          <w:sz w:val="19"/>
          <w:szCs w:val="19"/>
          <w:color w:val="auto"/>
        </w:rPr>
      </w:pPr>
    </w:p>
    <w:p>
      <w:pPr>
        <w:ind w:left="1940" w:hanging="636"/>
        <w:spacing w:after="0"/>
        <w:tabs>
          <w:tab w:leader="none" w:pos="1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time of, immediately before and immediately after giving effect to this Amendment, no Default or Event of</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Default exists.</w:t>
      </w:r>
    </w:p>
    <w:p>
      <w:pPr>
        <w:spacing w:after="0" w:line="167"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p>
    <w:p>
      <w:pPr>
        <w:spacing w:after="0" w:line="181" w:lineRule="exact"/>
        <w:rPr>
          <w:sz w:val="20"/>
          <w:szCs w:val="20"/>
          <w:color w:val="auto"/>
        </w:rPr>
      </w:pPr>
    </w:p>
    <w:p>
      <w:pPr>
        <w:ind w:right="220" w:firstLine="1296"/>
        <w:spacing w:after="0" w:line="274" w:lineRule="auto"/>
        <w:rPr>
          <w:sz w:val="20"/>
          <w:szCs w:val="20"/>
          <w:color w:val="auto"/>
        </w:rPr>
      </w:pPr>
      <w:r>
        <w:rPr>
          <w:rFonts w:ascii="Arial" w:cs="Arial" w:eastAsia="Arial" w:hAnsi="Arial"/>
          <w:sz w:val="16"/>
          <w:szCs w:val="16"/>
          <w:color w:val="auto"/>
        </w:rPr>
        <w:t>This Amendment may be executed in counterparts (and by different parties hereto in different counterparts), each of which shall constitute an original, but all of which when taken together shall constitute a single contract. Delivery of an executed counterpart of a</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signature page of this Amendment by telecopy or PDF (or similar file) by electronic mail shall be effective as delivery of a manually executed counterpart of this Amendment. The words “execute,” “execution,” “signed,” “signature,” and words of like import in or related to</w:t>
      </w:r>
    </w:p>
    <w:p>
      <w:pPr>
        <w:spacing w:after="0" w:line="236" w:lineRule="auto"/>
        <w:rPr>
          <w:sz w:val="20"/>
          <w:szCs w:val="20"/>
          <w:color w:val="auto"/>
        </w:rPr>
      </w:pPr>
      <w:r>
        <w:rPr>
          <w:rFonts w:ascii="Arial" w:cs="Arial" w:eastAsia="Arial" w:hAnsi="Arial"/>
          <w:sz w:val="18"/>
          <w:szCs w:val="18"/>
          <w:color w:val="auto"/>
        </w:rPr>
        <w:t>any document to be signed in connection with this Amendment shall be deemed to include electronic signatures, the electronic matching of</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assignment terms and contract formations on electronic platforms approved by the Administrative Agent, or the keeping of records in electronic form, each of which shall be of the same legal effect, validity or enforceability as a manually executed signature or the use of a</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paper-based recordkeeping system, as the case may be, to the extent and as provided for in any applicable law, including the Federal Electronic Signatures in Global and National Commerce Act, the New York State Electronic Signatures and Records Act, or any other similar</w:t>
      </w:r>
    </w:p>
    <w:p>
      <w:pPr>
        <w:spacing w:after="0" w:line="236" w:lineRule="auto"/>
        <w:rPr>
          <w:sz w:val="20"/>
          <w:szCs w:val="20"/>
          <w:color w:val="auto"/>
        </w:rPr>
      </w:pPr>
      <w:r>
        <w:rPr>
          <w:rFonts w:ascii="Arial" w:cs="Arial" w:eastAsia="Arial" w:hAnsi="Arial"/>
          <w:sz w:val="18"/>
          <w:szCs w:val="18"/>
          <w:color w:val="auto"/>
        </w:rPr>
        <w:t xml:space="preserve">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herein to the contrary, the</w:t>
      </w:r>
    </w:p>
    <w:p>
      <w:pPr>
        <w:spacing w:after="0" w:line="1" w:lineRule="exact"/>
        <w:rPr>
          <w:sz w:val="20"/>
          <w:szCs w:val="20"/>
          <w:color w:val="auto"/>
        </w:rPr>
      </w:pPr>
    </w:p>
    <w:p>
      <w:pPr>
        <w:ind w:right="180"/>
        <w:spacing w:after="0" w:line="220" w:lineRule="auto"/>
        <w:rPr>
          <w:sz w:val="20"/>
          <w:szCs w:val="20"/>
          <w:color w:val="auto"/>
        </w:rPr>
      </w:pPr>
      <w:r>
        <w:rPr>
          <w:rFonts w:ascii="Arial" w:cs="Arial" w:eastAsia="Arial" w:hAnsi="Arial"/>
          <w:sz w:val="20"/>
          <w:szCs w:val="20"/>
          <w:color w:val="auto"/>
        </w:rPr>
        <w:t>Administrative Agent is under no obligation to agree to accept electronic signatures in any form or in any format unless expressly agreed to by the Administrative Agent pursuant to procedures approved by it.</w:t>
      </w:r>
    </w:p>
    <w:p>
      <w:pPr>
        <w:spacing w:after="0" w:line="164"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6"/>
          <w:szCs w:val="16"/>
          <w:b w:val="1"/>
          <w:bCs w:val="1"/>
          <w:u w:val="single" w:color="auto"/>
          <w:color w:val="auto"/>
        </w:rPr>
        <w:t>Applicable Law, Service of Process</w:t>
      </w:r>
      <w:r>
        <w:rPr>
          <w:rFonts w:ascii="Arial" w:cs="Arial" w:eastAsia="Arial" w:hAnsi="Arial"/>
          <w:sz w:val="16"/>
          <w:szCs w:val="16"/>
          <w:b w:val="1"/>
          <w:bCs w:val="1"/>
          <w:color w:val="auto"/>
        </w:rPr>
        <w:t>.</w:t>
      </w:r>
    </w:p>
    <w:p>
      <w:pPr>
        <w:spacing w:after="0" w:line="195"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THIS AMENDMENT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5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6"/>
          <w:szCs w:val="16"/>
          <w:b w:val="1"/>
          <w:bCs w:val="1"/>
          <w:u w:val="single" w:color="auto"/>
          <w:color w:val="auto"/>
        </w:rPr>
        <w:t>Headings</w:t>
      </w:r>
      <w:r>
        <w:rPr>
          <w:rFonts w:ascii="Arial" w:cs="Arial" w:eastAsia="Arial" w:hAnsi="Arial"/>
          <w:sz w:val="16"/>
          <w:szCs w:val="16"/>
          <w:b w:val="1"/>
          <w:bCs w:val="1"/>
          <w:color w:val="auto"/>
        </w:rPr>
        <w:t>.</w:t>
      </w:r>
    </w:p>
    <w:p>
      <w:pPr>
        <w:spacing w:after="0" w:line="195" w:lineRule="exact"/>
        <w:rPr>
          <w:sz w:val="20"/>
          <w:szCs w:val="20"/>
          <w:color w:val="auto"/>
        </w:rPr>
      </w:pPr>
    </w:p>
    <w:p>
      <w:pPr>
        <w:ind w:right="140" w:firstLine="1296"/>
        <w:spacing w:after="0" w:line="236" w:lineRule="auto"/>
        <w:rPr>
          <w:sz w:val="20"/>
          <w:szCs w:val="20"/>
          <w:color w:val="auto"/>
        </w:rPr>
      </w:pPr>
      <w:r>
        <w:rPr>
          <w:rFonts w:ascii="Arial" w:cs="Arial" w:eastAsia="Arial" w:hAnsi="Arial"/>
          <w:sz w:val="20"/>
          <w:szCs w:val="20"/>
          <w:color w:val="auto"/>
        </w:rPr>
        <w:t>Section headings herein and in the Loan Documents are included for convenience of reference only and shall not affect the interpretation of this Amendment or any other Loan Document.</w:t>
      </w:r>
    </w:p>
    <w:p>
      <w:pPr>
        <w:spacing w:after="0" w:line="14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0"/>
          <w:szCs w:val="20"/>
          <w:b w:val="1"/>
          <w:bCs w:val="1"/>
          <w:color w:val="auto"/>
        </w:rPr>
        <w:t>Section 7.</w:t>
      </w:r>
      <w:r>
        <w:rPr>
          <w:sz w:val="20"/>
          <w:szCs w:val="20"/>
          <w:color w:val="auto"/>
        </w:rPr>
        <w:tab/>
      </w:r>
      <w:r>
        <w:rPr>
          <w:rFonts w:ascii="Arial" w:cs="Arial" w:eastAsia="Arial" w:hAnsi="Arial"/>
          <w:sz w:val="18"/>
          <w:szCs w:val="18"/>
          <w:b w:val="1"/>
          <w:bCs w:val="1"/>
          <w:u w:val="single" w:color="auto"/>
          <w:color w:val="auto"/>
        </w:rPr>
        <w:t>Effect of Amendment</w:t>
      </w:r>
      <w:r>
        <w:rPr>
          <w:rFonts w:ascii="Arial" w:cs="Arial" w:eastAsia="Arial" w:hAnsi="Arial"/>
          <w:sz w:val="18"/>
          <w:szCs w:val="18"/>
          <w:b w:val="1"/>
          <w:bCs w:val="1"/>
          <w:color w:val="auto"/>
        </w:rPr>
        <w:t>.</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Amendment shall be deemed a “Loan Document” for purposes of the Credit Agreement. On and after the Amendment</w:t>
      </w:r>
    </w:p>
    <w:p>
      <w:pPr>
        <w:spacing w:after="0" w:line="1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Effective Date, each reference in the Credit Agreement to “this Agreement,” “hereunder,” “hereof” or words of like import referring to the Credit Agreement, and each reference in the Loan Documents to “the Credit Agreement,” “thereunder,” “thereof” or words of like import</w:t>
      </w:r>
    </w:p>
    <w:p>
      <w:pPr>
        <w:spacing w:after="0" w:line="236" w:lineRule="auto"/>
        <w:rPr>
          <w:sz w:val="20"/>
          <w:szCs w:val="20"/>
          <w:color w:val="auto"/>
        </w:rPr>
      </w:pPr>
      <w:r>
        <w:rPr>
          <w:rFonts w:ascii="Arial" w:cs="Arial" w:eastAsia="Arial" w:hAnsi="Arial"/>
          <w:sz w:val="18"/>
          <w:szCs w:val="18"/>
          <w:color w:val="auto"/>
        </w:rPr>
        <w:t>referring to the Credit Agreement, shall mean and be a reference to the Credit Agreement as amended by this Amendment. The Credit</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Agreement and all other Loan Documents, as supplemented by this Amendment, are and shall continue to be in full force and effect and are hereby in all respects ratified and confirmed. Except as expressly set forth herein, this Amendment shall not by implication or otherwise</w:t>
      </w:r>
    </w:p>
    <w:p>
      <w:pPr>
        <w:spacing w:after="0" w:line="236" w:lineRule="auto"/>
        <w:rPr>
          <w:sz w:val="20"/>
          <w:szCs w:val="20"/>
          <w:color w:val="auto"/>
        </w:rPr>
      </w:pPr>
      <w:r>
        <w:rPr>
          <w:rFonts w:ascii="Arial" w:cs="Arial" w:eastAsia="Arial" w:hAnsi="Arial"/>
          <w:sz w:val="18"/>
          <w:szCs w:val="18"/>
          <w:color w:val="auto"/>
        </w:rPr>
        <w:t>limit, impair, constitute a waiver of or otherwise affect the rights and remedies of the Lenders or the Administrative Agent under the Credit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Agreement or any other Loan Document, and shall not alter, modify, amend or in any way affect any of the terms, conditions, obligations, covenants or agreements contained in the Credit Agreement or any other provision of the Credit Agreement or any other Loan Document, all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which are ratified and affirmed in all respects and shall continue in full force and effect.</w:t>
      </w:r>
    </w:p>
    <w:p>
      <w:pPr>
        <w:spacing w:after="0" w:line="167"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18"/>
          <w:szCs w:val="18"/>
          <w:b w:val="1"/>
          <w:bCs w:val="1"/>
          <w:u w:val="single" w:color="auto"/>
          <w:color w:val="auto"/>
        </w:rPr>
        <w:t>Acknowledgement and Reaffirmation of Borrower</w:t>
      </w:r>
      <w:r>
        <w:rPr>
          <w:rFonts w:ascii="Arial" w:cs="Arial" w:eastAsia="Arial" w:hAnsi="Arial"/>
          <w:sz w:val="18"/>
          <w:szCs w:val="18"/>
          <w:b w:val="1"/>
          <w:bCs w:val="1"/>
          <w:color w:val="auto"/>
        </w:rPr>
        <w:t>.</w:t>
      </w:r>
    </w:p>
    <w:p>
      <w:pPr>
        <w:spacing w:after="0" w:line="181" w:lineRule="exact"/>
        <w:rPr>
          <w:sz w:val="20"/>
          <w:szCs w:val="20"/>
          <w:color w:val="auto"/>
        </w:rPr>
      </w:pPr>
    </w:p>
    <w:p>
      <w:pPr>
        <w:ind w:right="180" w:firstLine="1296"/>
        <w:spacing w:after="0" w:line="236" w:lineRule="auto"/>
        <w:rPr>
          <w:sz w:val="20"/>
          <w:szCs w:val="20"/>
          <w:color w:val="auto"/>
        </w:rPr>
      </w:pPr>
      <w:r>
        <w:rPr>
          <w:rFonts w:ascii="Arial" w:cs="Arial" w:eastAsia="Arial" w:hAnsi="Arial"/>
          <w:sz w:val="20"/>
          <w:szCs w:val="20"/>
          <w:color w:val="auto"/>
        </w:rPr>
        <w:t>The Borrower hereby ratifies and confirms its obligations under the Loan Documents to which it is a party, including after giving effect to the amendments and transactions contemplated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60"/>
          </w:cols>
          <w:pgMar w:left="320" w:top="1440" w:right="41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 WITNESS WHEREOF, the parties hereto have caused this Amendment to be duly executed as of the date first above</w:t>
      </w:r>
    </w:p>
    <w:p>
      <w:pPr>
        <w:spacing w:after="0"/>
        <w:rPr>
          <w:sz w:val="20"/>
          <w:szCs w:val="20"/>
          <w:color w:val="auto"/>
        </w:rPr>
      </w:pPr>
      <w:r>
        <w:rPr>
          <w:rFonts w:ascii="Arial" w:cs="Arial" w:eastAsia="Arial" w:hAnsi="Arial"/>
          <w:sz w:val="20"/>
          <w:szCs w:val="20"/>
          <w:color w:val="auto"/>
        </w:rPr>
        <w:t>written.</w:t>
      </w:r>
    </w:p>
    <w:p>
      <w:pPr>
        <w:spacing w:after="0" w:line="216" w:lineRule="exact"/>
        <w:rPr>
          <w:sz w:val="20"/>
          <w:szCs w:val="20"/>
          <w:color w:val="auto"/>
        </w:rPr>
      </w:pPr>
    </w:p>
    <w:p>
      <w:pPr>
        <w:ind w:left="5680"/>
        <w:spacing w:after="0"/>
        <w:rPr>
          <w:sz w:val="20"/>
          <w:szCs w:val="20"/>
          <w:color w:val="auto"/>
        </w:rPr>
      </w:pPr>
      <w:r>
        <w:rPr>
          <w:rFonts w:ascii="Arial" w:cs="Arial" w:eastAsia="Arial" w:hAnsi="Arial"/>
          <w:sz w:val="22"/>
          <w:szCs w:val="22"/>
          <w:b w:val="1"/>
          <w:bCs w:val="1"/>
          <w:color w:val="auto"/>
        </w:rPr>
        <w:t>ANALOG DEVICES, INC.</w:t>
      </w: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Rebecca Diaz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19050</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Name: Rebecca Diaz</w:t>
      </w:r>
    </w:p>
    <w:p>
      <w:pPr>
        <w:spacing w:after="0" w:line="54"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19"/>
        <w:spacing w:after="0"/>
        <w:rPr>
          <w:sz w:val="20"/>
          <w:szCs w:val="20"/>
          <w:color w:val="auto"/>
        </w:rPr>
      </w:pPr>
      <w:r>
        <w:rPr>
          <w:rFonts w:ascii="Arial" w:cs="Arial" w:eastAsia="Arial" w:hAnsi="Arial"/>
          <w:sz w:val="18"/>
          <w:szCs w:val="18"/>
          <w:i w:val="1"/>
          <w:iCs w:val="1"/>
          <w:color w:val="auto"/>
        </w:rPr>
        <w:t>[Signature page to Amendment No. 2]</w:t>
      </w:r>
    </w:p>
    <w:p>
      <w:pPr>
        <w:sectPr>
          <w:pgSz w:w="11900" w:h="16838" w:orient="portrait"/>
          <w:cols w:equalWidth="0" w:num="1">
            <w:col w:w="10820"/>
          </w:cols>
          <w:pgMar w:left="320" w:top="1440" w:right="75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60"/>
        <w:spacing w:after="0"/>
        <w:rPr>
          <w:sz w:val="20"/>
          <w:szCs w:val="20"/>
          <w:color w:val="auto"/>
        </w:rPr>
      </w:pPr>
      <w:r>
        <w:rPr>
          <w:rFonts w:ascii="Arial" w:cs="Arial" w:eastAsia="Arial" w:hAnsi="Arial"/>
          <w:sz w:val="19"/>
          <w:szCs w:val="19"/>
          <w:b w:val="1"/>
          <w:bCs w:val="1"/>
          <w:color w:val="auto"/>
        </w:rPr>
        <w:t>BANK OF AMERICA, N.A.</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as Administrative Agent</w:t>
      </w:r>
    </w:p>
    <w:p>
      <w:pPr>
        <w:spacing w:after="0" w:line="283"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19050</wp:posOffset>
            </wp:positionV>
            <wp:extent cx="35744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David J. Smith</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60"/>
        <w:spacing w:after="0"/>
        <w:rPr>
          <w:sz w:val="20"/>
          <w:szCs w:val="20"/>
          <w:color w:val="auto"/>
        </w:rPr>
      </w:pPr>
      <w:r>
        <w:rPr>
          <w:rFonts w:ascii="Arial" w:cs="Arial" w:eastAsia="Arial" w:hAnsi="Arial"/>
          <w:sz w:val="19"/>
          <w:szCs w:val="19"/>
          <w:b w:val="1"/>
          <w:bCs w:val="1"/>
          <w:color w:val="auto"/>
        </w:rPr>
        <w:t>BANK OF AMERICA, N.A.</w:t>
      </w:r>
    </w:p>
    <w:p>
      <w:pPr>
        <w:spacing w:after="0" w:line="260"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as Lender</w:t>
      </w:r>
    </w:p>
    <w:p>
      <w:pPr>
        <w:spacing w:after="0" w:line="28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/s/ Kurt Fuess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19050</wp:posOffset>
            </wp:positionV>
            <wp:extent cx="3531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Name: Kurt Fuess</w:t>
      </w:r>
    </w:p>
    <w:p>
      <w:pPr>
        <w:spacing w:after="0" w:line="54"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60"/>
        <w:spacing w:after="0"/>
        <w:rPr>
          <w:sz w:val="20"/>
          <w:szCs w:val="20"/>
          <w:color w:val="auto"/>
        </w:rPr>
      </w:pPr>
      <w:r>
        <w:rPr>
          <w:rFonts w:ascii="Arial" w:cs="Arial" w:eastAsia="Arial" w:hAnsi="Arial"/>
          <w:sz w:val="19"/>
          <w:szCs w:val="19"/>
          <w:b w:val="1"/>
          <w:bCs w:val="1"/>
          <w:color w:val="auto"/>
        </w:rPr>
        <w:t>JPMORGAN CHASE BANK, N.A.,</w:t>
      </w:r>
    </w:p>
    <w:p>
      <w:pPr>
        <w:spacing w:after="0" w:line="260" w:lineRule="exact"/>
        <w:rPr>
          <w:sz w:val="20"/>
          <w:szCs w:val="20"/>
          <w:color w:val="auto"/>
        </w:rPr>
      </w:pPr>
    </w:p>
    <w:p>
      <w:pPr>
        <w:jc w:val="center"/>
        <w:ind w:right="-1020"/>
        <w:spacing w:after="0"/>
        <w:rPr>
          <w:sz w:val="20"/>
          <w:szCs w:val="20"/>
          <w:color w:val="auto"/>
        </w:rPr>
      </w:pPr>
      <w:r>
        <w:rPr>
          <w:rFonts w:ascii="Arial" w:cs="Arial" w:eastAsia="Arial" w:hAnsi="Arial"/>
          <w:sz w:val="20"/>
          <w:szCs w:val="20"/>
          <w:color w:val="auto"/>
        </w:rPr>
        <w:t>as a Lender</w:t>
      </w:r>
    </w:p>
    <w:p>
      <w:pPr>
        <w:spacing w:after="0" w:line="28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/s/ Abhishek Joshi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19050</wp:posOffset>
            </wp:positionV>
            <wp:extent cx="3531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Name: Abhishek Joshi</w:t>
      </w:r>
    </w:p>
    <w:p>
      <w:pPr>
        <w:spacing w:after="0" w:line="54"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60"/>
        <w:spacing w:after="0"/>
        <w:rPr>
          <w:sz w:val="20"/>
          <w:szCs w:val="20"/>
          <w:color w:val="auto"/>
        </w:rPr>
      </w:pPr>
      <w:r>
        <w:rPr>
          <w:rFonts w:ascii="Arial" w:cs="Arial" w:eastAsia="Arial" w:hAnsi="Arial"/>
          <w:sz w:val="19"/>
          <w:szCs w:val="19"/>
          <w:b w:val="1"/>
          <w:bCs w:val="1"/>
          <w:color w:val="auto"/>
        </w:rPr>
        <w:t>MORGAN STANLEY BANK, N.A.</w:t>
      </w:r>
    </w:p>
    <w:p>
      <w:pPr>
        <w:spacing w:after="0" w:line="260"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as Lender</w:t>
      </w:r>
    </w:p>
    <w:p>
      <w:pPr>
        <w:spacing w:after="0" w:line="28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/s/ Phillip Magdaleno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19050</wp:posOffset>
            </wp:positionV>
            <wp:extent cx="3531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Name: Phillip Magdaleno</w:t>
      </w:r>
    </w:p>
    <w:p>
      <w:pPr>
        <w:spacing w:after="0" w:line="54"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Citibank, N.A.</w:t>
      </w:r>
    </w:p>
    <w:p>
      <w:pPr>
        <w:spacing w:after="0" w:line="249"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as Lender</w:t>
      </w:r>
    </w:p>
    <w:p>
      <w:pPr>
        <w:spacing w:after="0" w:line="28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/s/ Daniel Boselli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19050</wp:posOffset>
            </wp:positionV>
            <wp:extent cx="3531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 w:lineRule="exact"/>
        <w:rPr>
          <w:sz w:val="20"/>
          <w:szCs w:val="20"/>
          <w:color w:val="auto"/>
        </w:rPr>
      </w:pPr>
    </w:p>
    <w:p>
      <w:pPr>
        <w:jc w:val="right"/>
        <w:ind w:right="2739"/>
        <w:spacing w:after="0"/>
        <w:rPr>
          <w:sz w:val="20"/>
          <w:szCs w:val="20"/>
          <w:color w:val="auto"/>
        </w:rPr>
      </w:pPr>
      <w:r>
        <w:rPr>
          <w:rFonts w:ascii="Arial" w:cs="Arial" w:eastAsia="Arial" w:hAnsi="Arial"/>
          <w:sz w:val="20"/>
          <w:szCs w:val="20"/>
          <w:color w:val="auto"/>
        </w:rPr>
        <w:t>Name: Daniel Boselli</w:t>
      </w:r>
    </w:p>
    <w:p>
      <w:pPr>
        <w:spacing w:after="0" w:line="54" w:lineRule="exact"/>
        <w:rPr>
          <w:sz w:val="20"/>
          <w:szCs w:val="20"/>
          <w:color w:val="auto"/>
        </w:rPr>
      </w:pPr>
    </w:p>
    <w:p>
      <w:pPr>
        <w:ind w:left="45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60"/>
        <w:spacing w:after="0"/>
        <w:rPr>
          <w:sz w:val="20"/>
          <w:szCs w:val="20"/>
          <w:color w:val="auto"/>
        </w:rPr>
      </w:pPr>
      <w:r>
        <w:rPr>
          <w:rFonts w:ascii="Arial" w:cs="Arial" w:eastAsia="Arial" w:hAnsi="Arial"/>
          <w:sz w:val="19"/>
          <w:szCs w:val="19"/>
          <w:b w:val="1"/>
          <w:bCs w:val="1"/>
          <w:color w:val="auto"/>
        </w:rPr>
        <w:t>BARCLAYS BANK PLC,</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as Lender</w:t>
      </w:r>
    </w:p>
    <w:p>
      <w:pPr>
        <w:spacing w:after="0" w:line="283"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Warren Veech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19050</wp:posOffset>
            </wp:positionV>
            <wp:extent cx="35744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Warren Veech III</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right="1519"/>
        <w:spacing w:after="0"/>
        <w:rPr>
          <w:sz w:val="20"/>
          <w:szCs w:val="20"/>
          <w:color w:val="auto"/>
        </w:rPr>
      </w:pPr>
      <w:r>
        <w:rPr>
          <w:rFonts w:ascii="Arial" w:cs="Arial" w:eastAsia="Arial" w:hAnsi="Arial"/>
          <w:sz w:val="20"/>
          <w:szCs w:val="20"/>
          <w:b w:val="1"/>
          <w:bCs w:val="1"/>
          <w:color w:val="auto"/>
        </w:rPr>
        <w:t xml:space="preserve">BMO Harris Bank, N.A., </w:t>
      </w:r>
      <w:r>
        <w:rPr>
          <w:rFonts w:ascii="Arial" w:cs="Arial" w:eastAsia="Arial" w:hAnsi="Arial"/>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Joan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19050</wp:posOffset>
            </wp:positionV>
            <wp:extent cx="35744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Joan Murphy</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BNP PARIBAS,</w:t>
      </w:r>
    </w:p>
    <w:p>
      <w:pPr>
        <w:spacing w:after="0" w:line="24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as Lender</w:t>
      </w:r>
    </w:p>
    <w:p>
      <w:pPr>
        <w:spacing w:after="0" w:line="283"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Eve Ravelojaona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19050</wp:posOffset>
            </wp:positionV>
            <wp:extent cx="35744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Eve Ravelojaona</w:t>
      </w:r>
    </w:p>
    <w:p>
      <w:pPr>
        <w:spacing w:after="0" w:line="7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Director</w:t>
      </w:r>
    </w:p>
    <w:p>
      <w:pPr>
        <w:spacing w:after="0" w:line="324"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Maria Mulic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19050</wp:posOffset>
            </wp:positionV>
            <wp:extent cx="35744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Maria Mulic</w:t>
      </w:r>
    </w:p>
    <w:p>
      <w:pPr>
        <w:spacing w:after="0" w:line="54" w:lineRule="exact"/>
        <w:rPr>
          <w:sz w:val="20"/>
          <w:szCs w:val="20"/>
          <w:color w:val="auto"/>
        </w:rPr>
      </w:pPr>
    </w:p>
    <w:p>
      <w:pPr>
        <w:jc w:val="right"/>
        <w:ind w:right="2479"/>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Credit Suisse AG, New York Branch</w:t>
      </w:r>
    </w:p>
    <w:p>
      <w:pPr>
        <w:spacing w:after="0" w:line="27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as Lender</w:t>
      </w:r>
    </w:p>
    <w:p>
      <w:pPr>
        <w:spacing w:after="0" w:line="283"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19050</wp:posOffset>
            </wp:positionV>
            <wp:extent cx="35744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Doreen Barr</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Authorized Signatory</w:t>
      </w:r>
    </w:p>
    <w:p>
      <w:pPr>
        <w:spacing w:after="0" w:line="324"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Dieffenbacher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19050</wp:posOffset>
            </wp:positionV>
            <wp:extent cx="35744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Michael Dieffenbacher</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HSBC Bank USA, National Association</w:t>
      </w:r>
    </w:p>
    <w:p>
      <w:pPr>
        <w:spacing w:after="0" w:line="272"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as Lender</w:t>
      </w:r>
    </w:p>
    <w:p>
      <w:pPr>
        <w:spacing w:after="0" w:line="283" w:lineRule="exact"/>
        <w:rPr>
          <w:sz w:val="20"/>
          <w:szCs w:val="20"/>
          <w:color w:val="auto"/>
        </w:rPr>
      </w:pPr>
    </w:p>
    <w:p>
      <w:pPr>
        <w:ind w:left="3820"/>
        <w:spacing w:after="0"/>
        <w:tabs>
          <w:tab w:leader="none" w:pos="4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Andrew Everett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19050</wp:posOffset>
            </wp:positionV>
            <wp:extent cx="35744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Andrew Everett</w:t>
      </w:r>
    </w:p>
    <w:p>
      <w:pPr>
        <w:spacing w:after="0" w:line="54"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Mizuho Bank, Ltd.</w:t>
      </w:r>
    </w:p>
    <w:p>
      <w:pPr>
        <w:spacing w:after="0" w:line="24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as Lender</w:t>
      </w:r>
    </w:p>
    <w:p>
      <w:pPr>
        <w:spacing w:after="0" w:line="283"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19050</wp:posOffset>
            </wp:positionV>
            <wp:extent cx="35744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Tracy Rahn</w:t>
      </w:r>
    </w:p>
    <w:p>
      <w:pPr>
        <w:spacing w:after="0" w:line="54" w:lineRule="exact"/>
        <w:rPr>
          <w:sz w:val="20"/>
          <w:szCs w:val="20"/>
          <w:color w:val="auto"/>
        </w:rPr>
      </w:pPr>
    </w:p>
    <w:p>
      <w:pPr>
        <w:jc w:val="right"/>
        <w:ind w:right="2499"/>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60"/>
        <w:spacing w:after="0"/>
        <w:rPr>
          <w:sz w:val="20"/>
          <w:szCs w:val="20"/>
          <w:color w:val="auto"/>
        </w:rPr>
      </w:pPr>
      <w:r>
        <w:rPr>
          <w:rFonts w:ascii="Arial" w:cs="Arial" w:eastAsia="Arial" w:hAnsi="Arial"/>
          <w:sz w:val="19"/>
          <w:szCs w:val="19"/>
          <w:b w:val="1"/>
          <w:bCs w:val="1"/>
          <w:color w:val="auto"/>
        </w:rPr>
        <w:t>MUFG Bank, Ltd.,</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as Lender</w:t>
      </w:r>
    </w:p>
    <w:p>
      <w:pPr>
        <w:spacing w:after="0" w:line="283"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20"/>
          <w:szCs w:val="20"/>
          <w:color w:val="auto"/>
        </w:rPr>
        <w:t>By:</w:t>
        <w:tab/>
        <w:t>/s/ Lillian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19050</wp:posOffset>
            </wp:positionV>
            <wp:extent cx="35744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Lillian Kim</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PNC Bank, N.A.</w:t>
      </w:r>
    </w:p>
    <w:p>
      <w:pPr>
        <w:spacing w:after="0" w:line="249" w:lineRule="exact"/>
        <w:rPr>
          <w:sz w:val="20"/>
          <w:szCs w:val="20"/>
          <w:color w:val="auto"/>
        </w:rPr>
      </w:pPr>
    </w:p>
    <w:p>
      <w:pPr>
        <w:jc w:val="center"/>
        <w:ind w:right="-860"/>
        <w:spacing w:after="0"/>
        <w:rPr>
          <w:sz w:val="20"/>
          <w:szCs w:val="20"/>
          <w:color w:val="auto"/>
        </w:rPr>
      </w:pPr>
      <w:r>
        <w:rPr>
          <w:rFonts w:ascii="Arial" w:cs="Arial" w:eastAsia="Arial" w:hAnsi="Arial"/>
          <w:sz w:val="20"/>
          <w:szCs w:val="20"/>
          <w:color w:val="auto"/>
        </w:rPr>
        <w:t>as Lender</w:t>
      </w:r>
    </w:p>
    <w:p>
      <w:pPr>
        <w:spacing w:after="0" w:line="283"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Tyler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19050</wp:posOffset>
            </wp:positionV>
            <wp:extent cx="35744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Tyler Murphy</w:t>
      </w:r>
    </w:p>
    <w:p>
      <w:pPr>
        <w:spacing w:after="0" w:line="54" w:lineRule="exact"/>
        <w:rPr>
          <w:sz w:val="20"/>
          <w:szCs w:val="20"/>
          <w:color w:val="auto"/>
        </w:rPr>
      </w:pPr>
    </w:p>
    <w:p>
      <w:pPr>
        <w:jc w:val="right"/>
        <w:ind w:right="2079"/>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SUMITOMO MITSUI BANKING CORPORATION</w:t>
      </w:r>
      <w:r>
        <w:rPr>
          <w:rFonts w:ascii="Arial" w:cs="Arial" w:eastAsia="Arial" w:hAnsi="Arial"/>
          <w:sz w:val="20"/>
          <w:szCs w:val="20"/>
          <w:color w:val="auto"/>
        </w:rPr>
        <w:t>, as Lender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Irlen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19050</wp:posOffset>
            </wp:positionV>
            <wp:extent cx="35744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Name: Irlen Mak</w:t>
      </w:r>
    </w:p>
    <w:p>
      <w:pPr>
        <w:spacing w:after="0" w:line="54"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280"/>
          </w:cols>
          <w:pgMar w:left="1440" w:top="1440" w:right="117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TD Bank, N.A.</w:t>
      </w:r>
    </w:p>
    <w:p>
      <w:pPr>
        <w:spacing w:after="0" w:line="24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as Lender</w:t>
      </w:r>
    </w:p>
    <w:p>
      <w:pPr>
        <w:spacing w:after="0" w:line="283"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Bernadette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19050</wp:posOffset>
            </wp:positionV>
            <wp:extent cx="35744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Name: Bernadette Collins</w:t>
      </w:r>
    </w:p>
    <w:p>
      <w:pPr>
        <w:spacing w:after="0" w:line="65" w:lineRule="exact"/>
        <w:rPr>
          <w:sz w:val="20"/>
          <w:szCs w:val="20"/>
          <w:color w:val="auto"/>
        </w:rPr>
      </w:pPr>
    </w:p>
    <w:p>
      <w:pPr>
        <w:jc w:val="right"/>
        <w:ind w:right="2299"/>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Wells Fargo Bank, NA</w:t>
      </w:r>
    </w:p>
    <w:p>
      <w:pPr>
        <w:spacing w:after="0" w:line="272" w:lineRule="exact"/>
        <w:rPr>
          <w:sz w:val="20"/>
          <w:szCs w:val="20"/>
          <w:color w:val="auto"/>
        </w:rPr>
      </w:pPr>
    </w:p>
    <w:p>
      <w:pPr>
        <w:jc w:val="center"/>
        <w:ind w:right="-860"/>
        <w:spacing w:after="0"/>
        <w:rPr>
          <w:sz w:val="20"/>
          <w:szCs w:val="20"/>
          <w:color w:val="auto"/>
        </w:rPr>
      </w:pPr>
      <w:r>
        <w:rPr>
          <w:rFonts w:ascii="Arial" w:cs="Arial" w:eastAsia="Arial" w:hAnsi="Arial"/>
          <w:sz w:val="20"/>
          <w:szCs w:val="20"/>
          <w:color w:val="auto"/>
        </w:rPr>
        <w:t>as Lender</w:t>
      </w:r>
    </w:p>
    <w:p>
      <w:pPr>
        <w:spacing w:after="0" w:line="283"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Gambo Audu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19050</wp:posOffset>
            </wp:positionV>
            <wp:extent cx="35744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Gambo Audu</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w:t>
      </w:r>
    </w:p>
    <w:p>
      <w:pPr>
        <w:sectPr>
          <w:pgSz w:w="11900" w:h="16838" w:orient="portrait"/>
          <w:cols w:equalWidth="0" w:num="1">
            <w:col w:w="9019"/>
          </w:cols>
          <w:pgMar w:left="1440" w:top="1440"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August 23, 2023</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486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 and Chair of the Board of Directors</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2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6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August 23, 2023</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486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Executive Vice President, Finance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2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July 29, 2023 as filed with the Securities and Exchange Commission on the date hereof (the “Report”), the undersigned, Vincent Roche, Chief Executive Officer of the Company, hereby certifies, pursuant to 18 U.S.C. Section 1350, that:</w:t>
      </w:r>
    </w:p>
    <w:p>
      <w:pPr>
        <w:spacing w:after="0" w:line="2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73" w:lineRule="exact"/>
        <w:rPr>
          <w:sz w:val="20"/>
          <w:szCs w:val="20"/>
          <w:color w:val="auto"/>
        </w:rPr>
      </w:pPr>
    </w:p>
    <w:p>
      <w:pPr>
        <w:ind w:left="380"/>
        <w:spacing w:after="0"/>
        <w:tabs>
          <w:tab w:leader="none" w:pos="6080" w:val="left"/>
        </w:tabs>
        <w:rPr>
          <w:sz w:val="20"/>
          <w:szCs w:val="20"/>
          <w:color w:val="auto"/>
        </w:rPr>
      </w:pPr>
      <w:r>
        <w:rPr>
          <w:rFonts w:ascii="Arial" w:cs="Arial" w:eastAsia="Arial" w:hAnsi="Arial"/>
          <w:sz w:val="18"/>
          <w:szCs w:val="18"/>
          <w:color w:val="auto"/>
        </w:rPr>
        <w:t>Date: August 23, 2023</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0600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July 29, 2023 as filed with the Securities and Exchange Commission on the date hereof (the “Report”), the undersigned, Prashanth Mahendra-Rajah, Chief Financial Officer of the Company, hereby certifies, pursuant to 18 U.S.C. Section 1350, that:</w:t>
      </w:r>
    </w:p>
    <w:p>
      <w:pPr>
        <w:spacing w:after="0" w:line="2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73" w:lineRule="exact"/>
        <w:rPr>
          <w:sz w:val="20"/>
          <w:szCs w:val="20"/>
          <w:color w:val="auto"/>
        </w:rPr>
      </w:pPr>
    </w:p>
    <w:p>
      <w:pPr>
        <w:ind w:left="380"/>
        <w:spacing w:after="0"/>
        <w:tabs>
          <w:tab w:leader="none" w:pos="6080" w:val="left"/>
        </w:tabs>
        <w:rPr>
          <w:sz w:val="20"/>
          <w:szCs w:val="20"/>
          <w:color w:val="auto"/>
        </w:rPr>
      </w:pPr>
      <w:r>
        <w:rPr>
          <w:rFonts w:ascii="Arial" w:cs="Arial" w:eastAsia="Arial" w:hAnsi="Arial"/>
          <w:sz w:val="18"/>
          <w:szCs w:val="18"/>
          <w:color w:val="auto"/>
        </w:rPr>
        <w:t>Date: August 23, 2023</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0600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decimal"/>
      <w:start w:val="104"/>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Roman"/>
      <w:start w:val="5"/>
    </w:lvl>
  </w:abstractNum>
  <w:abstractNum w:abstractNumId="12">
    <w:nsid w:val="25E45D32"/>
    <w:multiLevelType w:val="hybridMultilevel"/>
    <w:lvl w:ilvl="0">
      <w:lvlJc w:val="left"/>
      <w:lvlText w:val="%1"/>
      <w:numFmt w:val="lowerLetter"/>
      <w:start w:val="1"/>
    </w:lvl>
    <w:lvl w:ilvl="1">
      <w:lvlJc w:val="left"/>
      <w:lvlText w:val="(%2)"/>
      <w:numFmt w:val="lowerLetter"/>
      <w:start w:val="1"/>
    </w:lvl>
  </w:abstractNum>
  <w:abstractNum w:abstractNumId="13">
    <w:nsid w:val="519B500D"/>
    <w:multiLevelType w:val="hybridMultilevel"/>
    <w:lvl w:ilvl="0">
      <w:lvlJc w:val="left"/>
      <w:lvlText w:val="(%1)"/>
      <w:numFmt w:val="lowerLetter"/>
      <w:start w:val="35"/>
    </w:lvl>
    <w:lvl w:ilvl="1">
      <w:lvlJc w:val="left"/>
      <w:lvlText w:val="%2"/>
      <w:numFmt w:val="lowerLetter"/>
      <w:start w:val="1"/>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1)"/>
      <w:numFmt w:val="lowerLetter"/>
      <w:start w:val="1"/>
    </w:lvl>
    <w:lvl w:ilvl="1">
      <w:lvlJc w:val="left"/>
      <w:lvlText w:val="(%2)"/>
      <w:numFmt w:val="lowerLetter"/>
      <w:start w:val="2"/>
    </w:lvl>
  </w:abstractNum>
  <w:abstractNum w:abstractNumId="16">
    <w:nsid w:val="7C83E458"/>
    <w:multiLevelType w:val="hybridMultilevel"/>
    <w:lvl w:ilvl="0">
      <w:lvlJc w:val="left"/>
      <w:lvlText w:val="(%1)"/>
      <w:numFmt w:val="lowerLetter"/>
      <w:start w:val="3"/>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2023-08-23T06:13:46Z</dcterms:created>
  <dcterms:modified xsi:type="dcterms:W3CDTF">2023-08-23T06:13:46Z</dcterms:modified>
</cp:coreProperties>
</file>