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6" w:lineRule="exact"/>
        <w:rPr>
          <w:sz w:val="24"/>
          <w:szCs w:val="24"/>
          <w:color w:val="auto"/>
        </w:rPr>
      </w:pPr>
    </w:p>
    <w:p>
      <w:pPr>
        <w:ind w:left="1580"/>
        <w:spacing w:after="0"/>
        <w:tabs>
          <w:tab w:leader="none" w:pos="524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239"/>
          </w:cols>
          <w:pgMar w:left="220" w:top="205" w:right="1440" w:bottom="1440" w:gutter="0" w:footer="0" w:header="0"/>
        </w:sectPr>
      </w:pP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8" w:lineRule="exact"/>
        <w:rPr>
          <w:sz w:val="24"/>
          <w:szCs w:val="24"/>
          <w:color w:val="auto"/>
        </w:rPr>
      </w:pPr>
    </w:p>
    <w:p>
      <w:pPr>
        <w:sectPr>
          <w:pgSz w:w="11900" w:h="16838" w:orient="portrait"/>
          <w:cols w:equalWidth="0" w:num="2">
            <w:col w:w="2380" w:space="600"/>
            <w:col w:w="7259"/>
          </w:cols>
          <w:pgMar w:left="220" w:top="20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24" w:lineRule="exact"/>
        <w:rPr>
          <w:sz w:val="24"/>
          <w:szCs w:val="24"/>
          <w:color w:val="auto"/>
        </w:rPr>
      </w:pPr>
    </w:p>
    <w:p>
      <w:pPr>
        <w:ind w:right="7519" w:firstLine="10"/>
        <w:spacing w:after="0" w:line="254" w:lineRule="auto"/>
        <w:tabs>
          <w:tab w:leader="none" w:pos="17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ind w:left="360" w:right="4099" w:hanging="350"/>
        <w:spacing w:after="0" w:line="307"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4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40"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(Name of Person(s) Filing Proxy Statement)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 No fee required.</w:t>
      </w: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40"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rFonts w:ascii="Courier New" w:cs="Courier New" w:eastAsia="Courier New" w:hAnsi="Courier New"/>
          <w:sz w:val="15"/>
          <w:szCs w:val="15"/>
          <w:color w:val="auto"/>
        </w:rPr>
      </w:pPr>
    </w:p>
    <w:p>
      <w:pPr>
        <w:ind w:left="620" w:right="3239" w:hanging="260"/>
        <w:spacing w:after="0" w:line="290" w:lineRule="auto"/>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66" w:lineRule="exact"/>
        <w:rPr>
          <w:sz w:val="24"/>
          <w:szCs w:val="24"/>
          <w:color w:val="auto"/>
        </w:rPr>
      </w:pPr>
    </w:p>
    <w:p>
      <w:pPr>
        <w:ind w:left="360" w:right="3319" w:hanging="350"/>
        <w:spacing w:after="0" w:line="273"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0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ONE TECHNOLOGY WAY</w:t>
      </w:r>
    </w:p>
    <w:p>
      <w:pPr>
        <w:ind w:left="202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1999 ANNUAL MEETING OF STOCKHOLDERS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 BE HELD ON MARCH 9,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1999 Annual Meeting of Stockholders of Analog Devices, Inc. (the "Company") will be held at the Hilton at Dedham Place, 25 Allied Drive, Dedham, Massachusetts 02026, on Tuesday, March 9, 1999 at 10:00 a.m. (Local Time) to consider and act upon the following matters:</w:t>
      </w:r>
    </w:p>
    <w:p>
      <w:pPr>
        <w:spacing w:after="0" w:line="68" w:lineRule="exact"/>
        <w:rPr>
          <w:sz w:val="20"/>
          <w:szCs w:val="20"/>
          <w:color w:val="auto"/>
        </w:rPr>
      </w:pPr>
    </w:p>
    <w:p>
      <w:pPr>
        <w:ind w:left="980" w:right="3319" w:hanging="271"/>
        <w:spacing w:after="0" w:line="344" w:lineRule="auto"/>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members to the Board of Directors to serve as Class III Directors for a term of three years.</w:t>
      </w:r>
    </w:p>
    <w:p>
      <w:pPr>
        <w:spacing w:after="0" w:line="17" w:lineRule="exact"/>
        <w:rPr>
          <w:rFonts w:ascii="Courier New" w:cs="Courier New" w:eastAsia="Courier New" w:hAnsi="Courier New"/>
          <w:sz w:val="15"/>
          <w:szCs w:val="15"/>
          <w:color w:val="auto"/>
        </w:rPr>
      </w:pPr>
    </w:p>
    <w:p>
      <w:pPr>
        <w:jc w:val="both"/>
        <w:ind w:left="980" w:right="3239" w:hanging="271"/>
        <w:spacing w:after="0" w:line="290" w:lineRule="auto"/>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1992 Employee Stock Purchase Plan to increase the number of shares reserved for issuance under the Plan from 4,800,000 to 6,800,000.</w:t>
      </w:r>
    </w:p>
    <w:p>
      <w:pPr>
        <w:spacing w:after="0" w:line="56" w:lineRule="exact"/>
        <w:rPr>
          <w:rFonts w:ascii="Courier New" w:cs="Courier New" w:eastAsia="Courier New" w:hAnsi="Courier New"/>
          <w:sz w:val="15"/>
          <w:szCs w:val="15"/>
          <w:color w:val="auto"/>
        </w:rPr>
      </w:pPr>
    </w:p>
    <w:p>
      <w:pPr>
        <w:ind w:left="980" w:right="3239" w:hanging="271"/>
        <w:spacing w:after="0" w:line="273" w:lineRule="auto"/>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1994 Director Option Plan to increase the number of shares of Common Stock underlying the initial option grant to newly elected non-employee directors from 10,500 to 30,000.</w:t>
      </w:r>
    </w:p>
    <w:p>
      <w:pPr>
        <w:spacing w:after="0" w:line="67" w:lineRule="exact"/>
        <w:rPr>
          <w:rFonts w:ascii="Courier New" w:cs="Courier New" w:eastAsia="Courier New" w:hAnsi="Courier New"/>
          <w:sz w:val="15"/>
          <w:szCs w:val="15"/>
          <w:color w:val="auto"/>
        </w:rPr>
      </w:pPr>
    </w:p>
    <w:p>
      <w:pPr>
        <w:ind w:left="980" w:right="3319" w:hanging="271"/>
        <w:spacing w:after="0" w:line="290" w:lineRule="auto"/>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by the Board of Directors of Ernst &amp; Young LLP as the Company's independent auditors for the fiscal year ending October 30, 1999.</w:t>
      </w:r>
    </w:p>
    <w:p>
      <w:pPr>
        <w:spacing w:after="0" w:line="56" w:lineRule="exact"/>
        <w:rPr>
          <w:rFonts w:ascii="Courier New" w:cs="Courier New" w:eastAsia="Courier New" w:hAnsi="Courier New"/>
          <w:sz w:val="15"/>
          <w:szCs w:val="15"/>
          <w:color w:val="auto"/>
        </w:rPr>
      </w:pPr>
    </w:p>
    <w:p>
      <w:pPr>
        <w:ind w:left="980" w:right="3759" w:hanging="271"/>
        <w:spacing w:after="0" w:line="344" w:lineRule="auto"/>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thereof.</w:t>
      </w:r>
    </w:p>
    <w:p>
      <w:pPr>
        <w:spacing w:after="0" w:line="17"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Stockholders of record at the close of business on January 22, 1999 will be entitled to notice of and to vote at the meeting. The stock transfer books of the Company will remain open for the purchase and sale of the Company's Common Stock.</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stockholders are cordially invited to attend the meeting.</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PAUL P. BROUNTAS, Clerk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Massachusetts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5, 1999</w:t>
      </w:r>
    </w:p>
    <w:p>
      <w:pPr>
        <w:spacing w:after="0" w:line="140"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WHETHER OR NOT YOU EXPECT TO ATTEND THE MEETING, PLEASE COMPLETE, DATE AND SIGN THE ENCLOSED PROXY CARD AND PROMPTLY MAIL IT IN THE ENCLOSED ENVELOPE IN ORDER TO ASSURE REPRESENTATION OF YOUR SHARES AT THE MEETING. NO POSTAGE NEED BE AFFIXED IF THE PROXY IS MAILED IN THE UNITED STATES.</w:t>
      </w:r>
    </w:p>
    <w:p>
      <w:pPr>
        <w:sectPr>
          <w:pgSz w:w="11900" w:h="16838" w:orient="portrait"/>
          <w:cols w:equalWidth="0" w:num="1">
            <w:col w:w="10239"/>
          </w:cols>
          <w:pgMar w:left="22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ONE TECHNOLOGY WAY</w:t>
      </w:r>
    </w:p>
    <w:p>
      <w:pPr>
        <w:ind w:left="202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PROXY STATEMENT FOR ANNUAL MEETING OF STOCKHOLDERS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MARCH 9, 1999</w:t>
      </w:r>
    </w:p>
    <w:p>
      <w:pPr>
        <w:spacing w:after="0" w:line="166"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Analog Devices, Inc. (the "Company") for use at the 1999 Annual Meeting of Stockholders to be held on March 9, 1999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89"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On January 22, 1999, the record date for the determination of stockholders entitled to notice of and to vote at the Meeting, there were outstanding and entitled to vote an aggregate of 160,866,825 shares of Common Stock of the Company, $.16 2/3 par value per share ("Common Stock"). Stockholders are entitled to one vote per share.</w:t>
      </w:r>
    </w:p>
    <w:p>
      <w:pPr>
        <w:spacing w:after="0" w:line="75" w:lineRule="exact"/>
        <w:rPr>
          <w:sz w:val="20"/>
          <w:szCs w:val="20"/>
          <w:color w:val="auto"/>
        </w:r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The Company's Annual Report for the fiscal year ended October 31, 1998 is being mailed to stockholders concurrently with this Notice and Proxy Statement on or about February 5, 1999.</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 AND VOTES REQUIRED</w:t>
      </w:r>
    </w:p>
    <w:p>
      <w:pPr>
        <w:spacing w:after="0" w:line="166"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A majority of the issued and outstanding shares of Common Stock entitled to vote constitutes a quorum at the Meeting. Shares of Common Stock represented by executed proxies received by the Company will be counted for purposes of establishing a quorum at the Meeting, regardless of how or whether such shares are voted on any specific proposal. The affirmative vote of the holders of a plurality of the votes cast at the Meeting is required for the election of directors. The affirmative vote of the holders of a majority of the shares of Common Stock present or represented and voting at the Meeting is required for the approval of other matters to be voted on at the Meeting.</w:t>
      </w:r>
    </w:p>
    <w:p>
      <w:pPr>
        <w:spacing w:after="0" w:line="7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Both abstentions and broker non-votes are counted as present for the purpose of determining the existence of a quorum for the transaction of business at the Meeting. However, for purposes of determining the number of shares voting on a particular proposal, abstentions and broker non-votes are not counted as votes cast or shares voting.</w:t>
      </w:r>
    </w:p>
    <w:p>
      <w:pPr>
        <w:sectPr>
          <w:pgSz w:w="11900" w:h="16838" w:orient="portrait"/>
          <w:cols w:equalWidth="0" w:num="1">
            <w:col w:w="10239"/>
          </w:cols>
          <w:pgMar w:left="220" w:top="26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Except as otherwise indicated, the table set forth below provides information, as of December 31, 1998, regarding the ownership of the Company's Common Stock by (i) the stockholders known by the Company to own more than five percent of the outstanding shares of Common Stock; (ii) each director and nominee for director; (iii) each executive officer named in the Summary Compensation Table; and (iv) all directors and executive officers of the Company as a group:</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SHARES OF</w:t>
            </w:r>
          </w:p>
        </w:tc>
        <w:tc>
          <w:tcPr>
            <w:tcW w:w="15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68"/>
        </w:trPr>
        <w:tc>
          <w:tcPr>
            <w:tcW w:w="4820" w:type="dxa"/>
            <w:vAlign w:val="bottom"/>
            <w:vMerge w:val="restart"/>
          </w:tcPr>
          <w:p>
            <w:pPr>
              <w:jc w:val="right"/>
              <w:ind w:right="1587"/>
              <w:spacing w:after="0"/>
              <w:rPr>
                <w:sz w:val="20"/>
                <w:szCs w:val="20"/>
                <w:color w:val="auto"/>
              </w:rPr>
            </w:pPr>
            <w:r>
              <w:rPr>
                <w:rFonts w:ascii="Courier New" w:cs="Courier New" w:eastAsia="Courier New" w:hAnsi="Courier New"/>
                <w:sz w:val="15"/>
                <w:szCs w:val="15"/>
                <w:color w:val="auto"/>
              </w:rPr>
              <w:t>NAME AND ADDRESS OF</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 STOCK</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BENEFICIALLY</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68"/>
        </w:trPr>
        <w:tc>
          <w:tcPr>
            <w:tcW w:w="482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BENEFICIAL OWNER (1)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OWNED (2)</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OUTSTANDING (3)</w:t>
            </w:r>
          </w:p>
        </w:tc>
        <w:tc>
          <w:tcPr>
            <w:tcW w:w="0" w:type="dxa"/>
            <w:vAlign w:val="bottom"/>
          </w:tcPr>
          <w:p>
            <w:pPr>
              <w:spacing w:after="0"/>
              <w:rPr>
                <w:sz w:val="1"/>
                <w:szCs w:val="1"/>
                <w:color w:val="auto"/>
              </w:rPr>
            </w:pPr>
          </w:p>
        </w:tc>
      </w:tr>
      <w:tr>
        <w:trPr>
          <w:trHeight w:val="245"/>
        </w:trPr>
        <w:tc>
          <w:tcPr>
            <w:tcW w:w="482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4820" w:type="dxa"/>
            <w:vAlign w:val="bottom"/>
          </w:tcPr>
          <w:p>
            <w:pPr>
              <w:spacing w:after="0"/>
              <w:rPr>
                <w:sz w:val="20"/>
                <w:szCs w:val="20"/>
                <w:color w:val="auto"/>
              </w:rPr>
            </w:pPr>
            <w:r>
              <w:rPr>
                <w:rFonts w:ascii="Courier New" w:cs="Courier New" w:eastAsia="Courier New" w:hAnsi="Courier New"/>
                <w:sz w:val="15"/>
                <w:szCs w:val="15"/>
                <w:color w:val="auto"/>
              </w:rPr>
              <w:t>5% Stockholders:</w:t>
            </w:r>
          </w:p>
        </w:tc>
        <w:tc>
          <w:tcPr>
            <w:tcW w:w="13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9,302,132</w:t>
            </w:r>
          </w:p>
        </w:tc>
        <w:tc>
          <w:tcPr>
            <w:tcW w:w="152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 Rowe Price Associates, Inc.(4)................</w:t>
            </w:r>
          </w:p>
        </w:tc>
        <w:tc>
          <w:tcPr>
            <w:tcW w:w="13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100 E. Pratt Street</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Baltimore, Maryland 21202</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Nominees for Director and Executive</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jc w:val="right"/>
              <w:ind w:right="3767"/>
              <w:spacing w:after="0" w:line="168" w:lineRule="exact"/>
              <w:rPr>
                <w:sz w:val="20"/>
                <w:szCs w:val="20"/>
                <w:color w:val="auto"/>
              </w:rPr>
            </w:pPr>
            <w:r>
              <w:rPr>
                <w:rFonts w:ascii="Courier New" w:cs="Courier New" w:eastAsia="Courier New" w:hAnsi="Courier New"/>
                <w:sz w:val="15"/>
                <w:szCs w:val="15"/>
                <w:color w:val="auto"/>
              </w:rPr>
              <w:t>Officers:</w:t>
            </w:r>
          </w:p>
        </w:tc>
        <w:tc>
          <w:tcPr>
            <w:tcW w:w="13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71,814</w:t>
            </w:r>
          </w:p>
        </w:tc>
        <w:tc>
          <w:tcPr>
            <w:tcW w:w="152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John L. Doyle(5).................................</w:t>
            </w:r>
          </w:p>
        </w:tc>
        <w:tc>
          <w:tcPr>
            <w:tcW w:w="13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Jerald G. Fishman(6).............................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223,956</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Charles O. Holliday, Jr.(7)......................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3,720</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Joel Moses(8)....................................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45,248</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 Grant Saviers(7)..............................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3,500</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Ray Stata(9).....................................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3,150,832</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Lester C. Thurow(10).............................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78,990</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Russell K. Johnsen(11)...........................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197,885</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Brian P. McAloon(12).............................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158,173</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Joseph E. McDonough(13)..........................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118,401</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w w:val="96"/>
              </w:rPr>
              <w:t>All directors and officers as a group</w:t>
            </w:r>
          </w:p>
        </w:tc>
        <w:tc>
          <w:tcPr>
            <w:tcW w:w="13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4,835,840</w:t>
            </w:r>
          </w:p>
        </w:tc>
        <w:tc>
          <w:tcPr>
            <w:tcW w:w="152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245"/>
        </w:trPr>
        <w:tc>
          <w:tcPr>
            <w:tcW w:w="4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 persons)(14)....................................</w:t>
            </w:r>
          </w:p>
        </w:tc>
        <w:tc>
          <w:tcPr>
            <w:tcW w:w="136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440" w:right="3579" w:hanging="175"/>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Percentage is less than 1% of the total number of outstanding shares of Common Stock of the Company.</w:t>
      </w:r>
    </w:p>
    <w:p>
      <w:pPr>
        <w:spacing w:after="0" w:line="44" w:lineRule="exact"/>
        <w:rPr>
          <w:sz w:val="20"/>
          <w:szCs w:val="20"/>
          <w:color w:val="auto"/>
        </w:rPr>
      </w:pPr>
    </w:p>
    <w:p>
      <w:pPr>
        <w:ind w:left="440" w:right="3319" w:hanging="343"/>
        <w:spacing w:after="0" w:line="381"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address of each beneficial owner listed is c/o Analog Devices, Inc., One Technology Way, Norwood, MA 02062-9106.</w:t>
      </w:r>
    </w:p>
    <w:p>
      <w:pPr>
        <w:spacing w:after="0" w:line="1" w:lineRule="exact"/>
        <w:rPr>
          <w:rFonts w:ascii="Courier New" w:cs="Courier New" w:eastAsia="Courier New" w:hAnsi="Courier New"/>
          <w:sz w:val="14"/>
          <w:szCs w:val="14"/>
          <w:color w:val="auto"/>
        </w:rPr>
      </w:pPr>
    </w:p>
    <w:p>
      <w:pPr>
        <w:ind w:left="440" w:right="3239" w:hanging="343"/>
        <w:spacing w:after="0" w:line="249"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beneficially owned by each person is determined under rules promulgated by the Securities and Exchange Commission (the "Commission"). Under such rules, beneficial ownership includes any shares as to which the person has sole or shared voting power or investment power, and also includes any shares which the person has the right to acquire within 60 days after December 31, 1998. Unless otherwise indicated, each person referred to above has sole voting and investment power with respect to the shares listed. The inclusion herein of any shares deemed beneficially owned does not constitute an admission of beneficial ownership of such shares.</w:t>
      </w:r>
    </w:p>
    <w:p>
      <w:pPr>
        <w:spacing w:after="0" w:line="87" w:lineRule="exact"/>
        <w:rPr>
          <w:rFonts w:ascii="Courier New" w:cs="Courier New" w:eastAsia="Courier New" w:hAnsi="Courier New"/>
          <w:sz w:val="15"/>
          <w:szCs w:val="15"/>
          <w:color w:val="auto"/>
        </w:rPr>
      </w:pPr>
    </w:p>
    <w:p>
      <w:pPr>
        <w:ind w:left="440" w:right="3319" w:hanging="343"/>
        <w:spacing w:after="0" w:line="273"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with respect to any particular stockholder as of December 31, 1998 is 160,576,413 shares, plus any shares subject to options held by the person or persons in question that are exercisable within 60 days after December 31, 1998.</w:t>
      </w:r>
    </w:p>
    <w:p>
      <w:pPr>
        <w:spacing w:after="0" w:line="67" w:lineRule="exact"/>
        <w:rPr>
          <w:rFonts w:ascii="Courier New" w:cs="Courier New" w:eastAsia="Courier New" w:hAnsi="Courier New"/>
          <w:sz w:val="15"/>
          <w:szCs w:val="15"/>
          <w:color w:val="auto"/>
        </w:rPr>
      </w:pPr>
    </w:p>
    <w:p>
      <w:pPr>
        <w:ind w:left="440" w:right="3239" w:hanging="343"/>
        <w:spacing w:after="0" w:line="280"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 Rowe Price Associates, Inc. ("Price Associates") has filed a Securities and Exchange Commission Schedule 13G reporting the above stock ownership as of February 9, 1998. Price Associates is a registered investment adviser, in which capacity it has sole voting power with respect to 567,966 shares and sole dispositive power with respect to 9,302,132 shares. Price Associates expressly disclaims beneficial ownership of all such shares.</w:t>
      </w:r>
    </w:p>
    <w:p>
      <w:pPr>
        <w:spacing w:after="0" w:line="67" w:lineRule="exact"/>
        <w:rPr>
          <w:rFonts w:ascii="Courier New" w:cs="Courier New" w:eastAsia="Courier New" w:hAnsi="Courier New"/>
          <w:sz w:val="14"/>
          <w:szCs w:val="14"/>
          <w:color w:val="auto"/>
        </w:rPr>
      </w:pPr>
    </w:p>
    <w:p>
      <w:pPr>
        <w:ind w:left="440" w:right="3499" w:hanging="343"/>
        <w:spacing w:after="0" w:line="34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42,500 shares of Common Stock which are exercisable within 60 days after December 31, 1998.</w:t>
      </w:r>
    </w:p>
    <w:p>
      <w:pPr>
        <w:spacing w:after="0" w:line="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440" w:right="3399" w:hanging="343"/>
        <w:spacing w:after="0" w:line="34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210,238 shares of Common Stock which are exercisable within 60 days after December 31, 1998.</w:t>
      </w:r>
    </w:p>
    <w:p>
      <w:pPr>
        <w:spacing w:after="0" w:line="17" w:lineRule="exact"/>
        <w:rPr>
          <w:rFonts w:ascii="Courier New" w:cs="Courier New" w:eastAsia="Courier New" w:hAnsi="Courier New"/>
          <w:sz w:val="15"/>
          <w:szCs w:val="15"/>
          <w:color w:val="auto"/>
        </w:rPr>
      </w:pPr>
    </w:p>
    <w:p>
      <w:pPr>
        <w:ind w:left="440" w:right="3239" w:hanging="343"/>
        <w:spacing w:after="0" w:line="34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3,500 shares of Common Stock which are exercisable within 60 days after December 31, 1998.</w:t>
      </w:r>
    </w:p>
    <w:p>
      <w:pPr>
        <w:spacing w:after="0" w:line="17" w:lineRule="exact"/>
        <w:rPr>
          <w:rFonts w:ascii="Courier New" w:cs="Courier New" w:eastAsia="Courier New" w:hAnsi="Courier New"/>
          <w:sz w:val="15"/>
          <w:szCs w:val="15"/>
          <w:color w:val="auto"/>
        </w:rPr>
      </w:pPr>
    </w:p>
    <w:p>
      <w:pPr>
        <w:ind w:left="440" w:right="3239" w:hanging="343"/>
        <w:spacing w:after="0" w:line="273"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325 shares of Common Stock held by Mr. Moses' wife, as to which Mr. Moses disclaims beneficial ownership. Includes options for the purchase of 41,500 shares of Common Stock held by Mr. Moses which are exercisable within 60 days after December 31, 1998.</w:t>
      </w:r>
    </w:p>
    <w:p>
      <w:pPr>
        <w:spacing w:after="0" w:line="67" w:lineRule="exact"/>
        <w:rPr>
          <w:rFonts w:ascii="Courier New" w:cs="Courier New" w:eastAsia="Courier New" w:hAnsi="Courier New"/>
          <w:sz w:val="15"/>
          <w:szCs w:val="15"/>
          <w:color w:val="auto"/>
        </w:rPr>
      </w:pPr>
    </w:p>
    <w:p>
      <w:pPr>
        <w:ind w:left="440" w:right="3239" w:hanging="343"/>
        <w:spacing w:after="0" w:line="255"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595,554 shares of Common Stock held by Mr. Stata's wife and 107,558 shares of Common Stock held in charitable trusts for the benefit of Mr. Stata's children, as to which Mr. Stata disclaims beneficial ownership. Includes 2,173,334 shares of Common Stock held in charitable lead trusts. Also includes options for the purchase of 486,666 shares of Common Stock held by Mr. Stata which are exercisable within 60 days after December 31, 1998.</w:t>
      </w:r>
    </w:p>
    <w:p>
      <w:pPr>
        <w:spacing w:after="0" w:line="81" w:lineRule="exact"/>
        <w:rPr>
          <w:rFonts w:ascii="Courier New" w:cs="Courier New" w:eastAsia="Courier New" w:hAnsi="Courier New"/>
          <w:sz w:val="15"/>
          <w:szCs w:val="15"/>
          <w:color w:val="auto"/>
        </w:rPr>
      </w:pPr>
    </w:p>
    <w:p>
      <w:pPr>
        <w:ind w:left="440" w:right="3499" w:hanging="430"/>
        <w:spacing w:after="0" w:line="34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66,500 shares of Common Stock which are exercisable within 60 days after December 31, 1998.</w:t>
      </w:r>
    </w:p>
    <w:p>
      <w:pPr>
        <w:spacing w:after="0" w:line="17" w:lineRule="exact"/>
        <w:rPr>
          <w:rFonts w:ascii="Courier New" w:cs="Courier New" w:eastAsia="Courier New" w:hAnsi="Courier New"/>
          <w:sz w:val="15"/>
          <w:szCs w:val="15"/>
          <w:color w:val="auto"/>
        </w:rPr>
      </w:pPr>
    </w:p>
    <w:p>
      <w:pPr>
        <w:ind w:left="440" w:right="3499" w:hanging="430"/>
        <w:spacing w:after="0" w:line="34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92,500 shares of Common Stock which are exercisable within 60 days after December 31, 1998.</w:t>
      </w:r>
    </w:p>
    <w:p>
      <w:pPr>
        <w:spacing w:after="0" w:line="17" w:lineRule="exact"/>
        <w:rPr>
          <w:rFonts w:ascii="Courier New" w:cs="Courier New" w:eastAsia="Courier New" w:hAnsi="Courier New"/>
          <w:sz w:val="15"/>
          <w:szCs w:val="15"/>
          <w:color w:val="auto"/>
        </w:rPr>
      </w:pPr>
    </w:p>
    <w:p>
      <w:pPr>
        <w:ind w:left="440" w:right="3499" w:hanging="430"/>
        <w:spacing w:after="0" w:line="34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94,355 shares of Common Stock which are exercisable within 60 days after December 31, 1998.</w:t>
      </w:r>
    </w:p>
    <w:p>
      <w:pPr>
        <w:spacing w:after="0" w:line="17" w:lineRule="exact"/>
        <w:rPr>
          <w:rFonts w:ascii="Courier New" w:cs="Courier New" w:eastAsia="Courier New" w:hAnsi="Courier New"/>
          <w:sz w:val="15"/>
          <w:szCs w:val="15"/>
          <w:color w:val="auto"/>
        </w:rPr>
      </w:pPr>
    </w:p>
    <w:p>
      <w:pPr>
        <w:ind w:left="440" w:right="3499" w:hanging="430"/>
        <w:spacing w:after="0" w:line="34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53,333 shares of Common Stock which are exercisable within 60 days after December 31, 1998.</w:t>
      </w:r>
    </w:p>
    <w:p>
      <w:pPr>
        <w:spacing w:after="0" w:line="17" w:lineRule="exact"/>
        <w:rPr>
          <w:rFonts w:ascii="Courier New" w:cs="Courier New" w:eastAsia="Courier New" w:hAnsi="Courier New"/>
          <w:sz w:val="15"/>
          <w:szCs w:val="15"/>
          <w:color w:val="auto"/>
        </w:rPr>
      </w:pPr>
    </w:p>
    <w:p>
      <w:pPr>
        <w:ind w:left="440" w:right="3319" w:hanging="430"/>
        <w:spacing w:after="0" w:line="290"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1,508,771 shares of Common Stock held by twelve officers and five non-employee directors which are exercisable within 60 days after December 31, 1998.</w:t>
      </w:r>
    </w:p>
    <w:p>
      <w:pPr>
        <w:spacing w:after="0" w:line="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The Company's Board of Directors is divided into three classes, two of which consist of two directors each (Class II and Class III) and one of which consists of three directors (Class I). One class of directors is elected each year to serve for a three-year term. Class I Directors were elected at the 1997 Annual Meeting of Stockholders; Class II Directors were elected at the 1998 Annual Meeting of Stockholders; and Class III Directors will be elected at the Meeting. Members of each class will hold office until their successors have been duly elected and qualified.</w:t>
      </w:r>
    </w:p>
    <w:p>
      <w:pPr>
        <w:spacing w:after="0" w:line="8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The nominees for Class III Directors, Messrs. Doyle and Stata, are presently serving as directors of the Company. Mr. Doyle has been a director of the Company since 1987 and Mr. Stata has been a director since 1965. The persons named in the enclosed proxy will vote for the election of each of the nominees for Class III Directors unless the proxy is marked otherwise or unless one or more nominees are unable or unwilling to serve. Each of the nominees has indicated his willingness to serve, if elected. However, if a nominee should be unable or unwilling to serve, the proxies may be voted for a substitute nominee designated by the Board of Directors or the Board of Directors may reduce the number of directors.</w:t>
      </w:r>
    </w:p>
    <w:p>
      <w:pPr>
        <w:spacing w:after="0" w:line="87"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Set forth below is the name, age, length of service as a director of each member of the Board of Directors, including the nominees for Class III Directors, information given by each concerning all positions he holds with the Company, his principal occupation and business experience for the past five years and the names of other publicly held companies of which he serves as a director. Information about the number of shares of Common Stock beneficially owned by each director, directly or indirectly, as of December 31, 1998, appears under the heading "Security Ownership of Certain Beneficial Owners and Management."</w:t>
      </w:r>
    </w:p>
    <w:p>
      <w:pPr>
        <w:spacing w:after="0" w:line="8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NOMINEES FOR CLASS III DIRECTORS</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(TERMS WILL EXPIRE AT THE 2002 ANNUAL MEETING)</w:t>
      </w:r>
    </w:p>
    <w:p>
      <w:pPr>
        <w:spacing w:after="0" w:line="140"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JOHN L. DOYLE, age 67, has been a director of the Company since 1987. Mr. Doyle is retired.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was Co-Chief Executive Officer of Hexcel Corp. from July 1993 to December 1993. Mr. Doyle also serves as a director of DuPont Photomasks, Inc. and Xilinx, Inc.</w:t>
      </w:r>
    </w:p>
    <w:p>
      <w:pPr>
        <w:spacing w:after="0" w:line="71" w:lineRule="exact"/>
        <w:rPr>
          <w:sz w:val="20"/>
          <w:szCs w:val="20"/>
          <w:color w:val="auto"/>
        </w:rPr>
      </w:pPr>
    </w:p>
    <w:p>
      <w:pPr>
        <w:ind w:right="3239" w:firstLine="437"/>
        <w:spacing w:after="0" w:line="298" w:lineRule="auto"/>
        <w:rPr>
          <w:sz w:val="20"/>
          <w:szCs w:val="20"/>
          <w:color w:val="auto"/>
        </w:rPr>
      </w:pPr>
      <w:r>
        <w:rPr>
          <w:rFonts w:ascii="Courier New" w:cs="Courier New" w:eastAsia="Courier New" w:hAnsi="Courier New"/>
          <w:sz w:val="14"/>
          <w:szCs w:val="14"/>
          <w:color w:val="auto"/>
        </w:rPr>
        <w:t>RAY STATA, age 64, has been a director of the Company since 1965. He has served as the Chairman of the Board of Directors since 1973, as Chief Executive Officer from 1973 to November 1996 and as the President of the Company from 1971 to November 1991. Mr. Stata also serves as a director of INSO Corporation.</w:t>
      </w:r>
    </w:p>
    <w:p>
      <w:pPr>
        <w:spacing w:after="0" w:line="5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CLASS I DIRECTORS</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(TERMS EXPIRE AT THE 2000 ANNUAL MEETING)</w:t>
      </w:r>
    </w:p>
    <w:p>
      <w:pPr>
        <w:spacing w:after="0" w:line="140"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JOEL MOSES, age 57, has been a director of the Company since 1982. Mr. Moses has been the D.C. Jackson Professor of Computer Science and Engineering at the Massachusetts Institute of Technology ("MIT") since 1989. Mr. Moses was the Provost of MIT from June 1995 to August 1998, and Dean of the School of Engineering at MIT from January 1991 to June 1995. He was a Visiting Professor of Business Administration at Harvard University from September 1989 to June 1990. Mr. Moses was the Head of the Department of Electrical Engineering and Computer Science at MIT from 1981 to 1989. Mr. Moses also serves as a director of Coltec Industries, Inc.</w:t>
      </w:r>
    </w:p>
    <w:p>
      <w:pPr>
        <w:spacing w:after="0" w:line="89"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LESTER C. THUROW, age 60, has been a director of the Company since 1988. He is a Professor of Management and Economics at MIT and, from 1987 to 1993, was the Dean of the Sloan School of Management at MIT. Mr. Thurow also serves as a director of Grupo Casa Autrey S.A. de CV.</w:t>
      </w:r>
    </w:p>
    <w:p>
      <w:pPr>
        <w:spacing w:after="0" w:line="68"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CHARLES O. HOLLIDAY, JR., age 50, has been a director of the Company since 1997. He has been Chairman and Chief Executive Officer of E. I. duPont de Nemours and Company ("DuPont") since January 1999, and has served as Chief Executive Officer of DuPont since February 1998. Mr. Holliday served as President of DuPont from December 1997 to December 1998, Chairman of DuPont, Asia Pacific from July 1995 until November 1997, and as President of DuPont, Asia Pacific from November 1990 to October 1995. He was Senior Vice President of DuPont from November 1992 to October 1995. From 1970 through November 1990, Mr. Holliday served in a number of positions with DuPont, including Executive Vice President of DuPont, Asia Pacific and global business manager of certain product lines. Mr. Holliday also serves as a director of Pioneer Hi-Bred International, Inc.</w:t>
      </w:r>
    </w:p>
    <w:p>
      <w:pPr>
        <w:spacing w:after="0" w:line="8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CLASS II DIRECTORS</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(TERMS EXPIRE AT THE 2001 ANNUAL MEETING)</w:t>
      </w:r>
    </w:p>
    <w:p>
      <w:pPr>
        <w:spacing w:after="0" w:line="140"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JERALD G. FISHMAN, age 53, has been a director of the Company since 1991. Mr. Fishman has been the President and Chief Executive Officer of the Company since November 1996 and he served as President and Chief Operating Officer of the Company from November 1991 to November 1996. Mr. Fishman served as Executive Vice President of the Company from 1988 to November 1991. He served as the Group Vice President-Components of the Company from 1982 to 1988. Mr. Fishman also serves as a director of Kollmorgen Corporation and Cognex Corporation.</w:t>
      </w:r>
    </w:p>
    <w:p>
      <w:pPr>
        <w:spacing w:after="0" w:line="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6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F. GRANT SAVIERS, age 54, has been a director of the Company since 1997. He served as Chairman of Adaptec, Inc. ("Adaptec") from August 1997 to August 1998, President and Chief Executive Officer of Adaptec from July 1995 to August 1998, and President and Chief Operating Officer of Adaptec from August 1992 to July 1995. Prior to joining Adaptec, Mr. Saviers was employed with Digital Equipment Corporation for more than five years, last serving as Vice President of its Personal Computer and Peripherals Operation. Mr. Saviers also serves as a director of Craig Technologies, Inc. and Chaparral Technologies, Inc.</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6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The Company has a standing Audit Committee which held three meetings during the fiscal year ended October 31, 1998. The members of the Audit Committee during the fiscal year ended October 31, 1998 were Messrs. Doyle, Moses and Thurow. The principal functions of the Audit Committee are to make recommendations to the Board of Directors regarding the selection, retention and termination, if necessary, of the Company's independent auditors. The Audit Committee also reviews the general scope of the Company's accounting and reporting policies, annual audits and internal control programs, matters relating to internal control systems and fees charged by the independent auditors.</w:t>
      </w:r>
    </w:p>
    <w:p>
      <w:pPr>
        <w:spacing w:after="0" w:line="87" w:lineRule="exact"/>
        <w:rPr>
          <w:sz w:val="20"/>
          <w:szCs w:val="20"/>
          <w:color w:val="auto"/>
        </w:rPr>
      </w:pPr>
    </w:p>
    <w:p>
      <w:pPr>
        <w:ind w:right="3759" w:firstLine="437"/>
        <w:spacing w:after="0" w:line="255" w:lineRule="auto"/>
        <w:rPr>
          <w:sz w:val="20"/>
          <w:szCs w:val="20"/>
          <w:color w:val="auto"/>
        </w:rPr>
      </w:pPr>
      <w:r>
        <w:rPr>
          <w:rFonts w:ascii="Courier New" w:cs="Courier New" w:eastAsia="Courier New" w:hAnsi="Courier New"/>
          <w:sz w:val="15"/>
          <w:szCs w:val="15"/>
          <w:color w:val="auto"/>
        </w:rPr>
        <w:t>The Company has a standing Compensation Committee, which held three meetings during the fiscal year ended October 31, 1998. The members of the Compensation Committee during the fiscal year ended October 31, 1998 were Messrs. Holliday and Saviers. The principal functions of the Compensation Committee are to make recommendations to the Board of Directors as to compensation arrangements, including the granting of stock options and restricted stock awards to officers of the Company.</w:t>
      </w:r>
    </w:p>
    <w:p>
      <w:pPr>
        <w:spacing w:after="0" w:line="82"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The Company has a standing Nominating Committee, which held no meetings during the fiscal year ended October 31, 1998. The members of the Nominating Committee during the fiscal year ended October 31, 1998 were Messrs. Doyle and Stata. The principal functions of the Nominating Committee are to nominate persons to serve as members of the Company's Board of Directors, to recommend directors to serve on the various Board Committees and to recommend a successor to the chief executive officer whenever a vacancy occurs for any reason. The Nominating Committee will consider for nomination to the Board of Directors candidates suggested by the stockholders, provided that such recommendations are delivered to the Company, with an appropriate biographical summary, no later than the deadline for submission of stockholder proposals. See "Deadline for Submission of Stockholder Proposals for the 2000 Annual Meeting."</w:t>
      </w:r>
    </w:p>
    <w:p>
      <w:pPr>
        <w:spacing w:after="0" w:line="77"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During the fiscal year ended October 31, 1998, the Board of Directors of the Company held six meetings (including two teleconference meetings). All directors, during the time which they served as directors, attended at least 75% of the total number of meetings of the Board of Directors and of all committees of the Board on which they respectively served.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66" w:lineRule="exact"/>
        <w:rPr>
          <w:sz w:val="20"/>
          <w:szCs w:val="20"/>
          <w:color w:val="auto"/>
        </w:r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Each Director who is not an employee of the Company is paid an annual fee of $20,000, and $2,500 for attendance at each meeting of the Board and $1,000 for each committee meeting, plus expenses.</w:t>
      </w:r>
    </w:p>
    <w:p>
      <w:pPr>
        <w:spacing w:after="0" w:line="57"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Directors who are not employees of the Company ("Non-Employee Directors") are entitled to participate in the Company's 1994 Director Option Plan ("1994 Director Plan"). Each Non-Employee Director who was a member of the Board of Directors on December 7, 1994 received an option on that date to purchase 10,500 shares of Common Stock and each Non-Employee Director who was first elected to the Board after December 7, 1994 received an initial option on the date of his election to purchase 10,500 shares of Common Stock. In addition, each Non-Employee Director is entitled to receive an annual option grant of 10,500 shares on each anniversary of the first grant to him under the 1994 Director Plan. Each option granted under the 1994 Director Plan has an exercise price equal to the fair market value of the Company's Common</w:t>
      </w:r>
    </w:p>
    <w:p>
      <w:pPr>
        <w:spacing w:after="0" w:line="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6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right="3239"/>
        <w:spacing w:after="0" w:line="269" w:lineRule="auto"/>
        <w:rPr>
          <w:sz w:val="20"/>
          <w:szCs w:val="20"/>
          <w:color w:val="auto"/>
        </w:rPr>
      </w:pPr>
      <w:r>
        <w:rPr>
          <w:rFonts w:ascii="Courier New" w:cs="Courier New" w:eastAsia="Courier New" w:hAnsi="Courier New"/>
          <w:sz w:val="14"/>
          <w:szCs w:val="14"/>
          <w:color w:val="auto"/>
        </w:rPr>
        <w:t>Stock on the date of grant and becomes exercisable, subject to the optionee's continued service as a director of the Company, on a cumulative basis in three equal annual installments on the succeeding three anniversaries of the date of grant. During fiscal 1998, options were granted to each of the Non-Employee Directors for the purchase of 10,500 shares of Common Stock at an exercise price equal to the fair market value on the date of grant, as follows: Messrs. Doyle, Moses and Thurow, $29.94 (December 7, 1997); Mr. Saviers, $27.19 (December 10, 1997); and Mr. Holliday, $33.125 (March 11, 1998). As of December 31, 1998, options for the purchase of a total of 290,500 shares of Common Stock net of forfeitures had been granted under the 1994 Director Plan.</w:t>
      </w:r>
    </w:p>
    <w:p>
      <w:pPr>
        <w:spacing w:after="0" w:line="73"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For information relating to amendment of the 1994 Director Option Plan to be voted upon at the Meeting, see "APPROVAL OF AMENDMENT TO 1994 DIRECTOR OPTION PLAN."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RELATED PARTIES</w:t>
      </w:r>
    </w:p>
    <w:p>
      <w:pPr>
        <w:spacing w:after="0" w:line="166"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The Company purchases certain products from DuPont. Mr. Holliday is President of DuPont. During fiscal 1998, the Company purchased an aggregate of approximately $403,000 of products from DuPont and its affiliates.</w:t>
      </w:r>
    </w:p>
    <w:p>
      <w:pPr>
        <w:spacing w:after="0" w:line="57" w:lineRule="exact"/>
        <w:rPr>
          <w:sz w:val="20"/>
          <w:szCs w:val="20"/>
          <w:color w:val="auto"/>
        </w:rPr>
      </w:pPr>
    </w:p>
    <w:p>
      <w:pPr>
        <w:ind w:right="3319" w:firstLine="437"/>
        <w:spacing w:after="0" w:line="298" w:lineRule="auto"/>
        <w:rPr>
          <w:sz w:val="20"/>
          <w:szCs w:val="20"/>
          <w:color w:val="auto"/>
        </w:rPr>
      </w:pPr>
      <w:r>
        <w:rPr>
          <w:rFonts w:ascii="Courier New" w:cs="Courier New" w:eastAsia="Courier New" w:hAnsi="Courier New"/>
          <w:sz w:val="14"/>
          <w:szCs w:val="14"/>
          <w:color w:val="auto"/>
        </w:rPr>
        <w:t>The Company sells certain products to Acacia Network, Inc. ("Acacia"). Mr. Stata is Chairman of the Board of Directors of Acacia and beneficially owns approximately 42.9% of Acacia's outstanding shares. During fiscal 1998, the Company sold an aggregate of approximately $361,000 of products to Acacia.</w:t>
      </w:r>
    </w:p>
    <w:p>
      <w:pPr>
        <w:spacing w:after="0" w:line="53"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During fiscal 1998, the Company completed the sale of its disk drive IC business to Adaptec. Mr. Saviers was Chairman, President and Chief Executive Officer of Adaptec until August 1998. Adaptec paid the Company a cash purchase price of approximately $27 million. After providing for the write-off of inventory, fixed assets and other costs incurred to complete the transaction, the Company recorded a net gain of approximately $13 million. The Company also entered into other arrangements with Adaptec that provide for payments to the Company aggregating $13 million, of which $10 million was earned in fiscal 1998, for assisting Adaptec in research and development efforts.</w:t>
      </w:r>
    </w:p>
    <w:p>
      <w:pPr>
        <w:spacing w:after="0" w:line="76"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The Company purchases certain products from Aware. Mr. Fishman was a director of Aware until May 1998. During fiscal 1998, the Company purchased an aggregate of approximately $2,729,000 of Aware products.</w:t>
      </w:r>
    </w:p>
    <w:p>
      <w:pPr>
        <w:spacing w:after="0" w:line="57"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During fiscal 1998, the Company made donations to MIT in the aggregate amount of approximately $464,000. Mr. Moses was Provost of MIT until December 1998 and Mr. Thurow is a professor at MIT.</w:t>
      </w:r>
    </w:p>
    <w:p>
      <w:pPr>
        <w:spacing w:after="0" w:line="57" w:lineRule="exact"/>
        <w:rPr>
          <w:sz w:val="20"/>
          <w:szCs w:val="20"/>
          <w:color w:val="auto"/>
        </w:rPr>
      </w:pPr>
    </w:p>
    <w:p>
      <w:pPr>
        <w:jc w:val="both"/>
        <w:ind w:right="3499" w:firstLine="437"/>
        <w:spacing w:after="0" w:line="290" w:lineRule="auto"/>
        <w:rPr>
          <w:sz w:val="20"/>
          <w:szCs w:val="20"/>
          <w:color w:val="auto"/>
        </w:rPr>
      </w:pPr>
      <w:r>
        <w:rPr>
          <w:rFonts w:ascii="Courier New" w:cs="Courier New" w:eastAsia="Courier New" w:hAnsi="Courier New"/>
          <w:sz w:val="15"/>
          <w:szCs w:val="15"/>
          <w:color w:val="auto"/>
        </w:rPr>
        <w:t>Mr. Stata was a director of Open Market Inc. ("Open Market") until April 1998. During fiscal 1998, the Company purchased an aggregate of approximately $69,000 of Open Market products and services.</w:t>
      </w:r>
    </w:p>
    <w:p>
      <w:pPr>
        <w:spacing w:after="0" w:line="57"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Management and the Board of Directors believe that the aforementioned business transactions with related parties were effected on terms that were no less favorable to the Company than could be obtained from unaffiliated third parties.</w:t>
      </w:r>
    </w:p>
    <w:p>
      <w:pPr>
        <w:spacing w:after="0" w:line="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Summary Compensation</w:t>
      </w:r>
    </w:p>
    <w:p>
      <w:pPr>
        <w:spacing w:after="0" w:line="166" w:lineRule="exact"/>
        <w:rPr>
          <w:sz w:val="20"/>
          <w:szCs w:val="20"/>
          <w:color w:val="auto"/>
        </w:rPr>
      </w:pPr>
    </w:p>
    <w:p>
      <w:pPr>
        <w:ind w:firstLine="437"/>
        <w:spacing w:after="0" w:line="264" w:lineRule="auto"/>
        <w:rPr>
          <w:sz w:val="20"/>
          <w:szCs w:val="20"/>
          <w:color w:val="auto"/>
        </w:rPr>
      </w:pPr>
      <w:r>
        <w:rPr>
          <w:rFonts w:ascii="Courier New" w:cs="Courier New" w:eastAsia="Courier New" w:hAnsi="Courier New"/>
          <w:sz w:val="15"/>
          <w:szCs w:val="15"/>
          <w:color w:val="auto"/>
        </w:rPr>
        <w:t>The following table sets forth certain information concerning the compensation for each of the last three fiscal years of the Company's Chief Executive Officer and the Company's four other most highly compensated executive officers who were serving as executive officers on October 31, 1998 (collectively, the "Named Executive Officers"):</w:t>
      </w:r>
    </w:p>
    <w:p>
      <w:pPr>
        <w:spacing w:after="0" w:line="7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ANNUAL COMPENSATION</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416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w:t>
            </w:r>
          </w:p>
        </w:tc>
        <w:tc>
          <w:tcPr>
            <w:tcW w:w="0" w:type="dxa"/>
            <w:vAlign w:val="bottom"/>
          </w:tcPr>
          <w:p>
            <w:pPr>
              <w:spacing w:after="0"/>
              <w:rPr>
                <w:sz w:val="1"/>
                <w:szCs w:val="1"/>
                <w:color w:val="auto"/>
              </w:rPr>
            </w:pPr>
          </w:p>
        </w:tc>
      </w:tr>
      <w:tr>
        <w:trPr>
          <w:trHeight w:val="168"/>
        </w:trPr>
        <w:tc>
          <w:tcPr>
            <w:tcW w:w="258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NAME AND</w:t>
            </w:r>
          </w:p>
        </w:tc>
        <w:tc>
          <w:tcPr>
            <w:tcW w:w="920" w:type="dxa"/>
            <w:vAlign w:val="bottom"/>
          </w:tcPr>
          <w:p>
            <w:pPr>
              <w:spacing w:after="0"/>
              <w:rPr>
                <w:sz w:val="14"/>
                <w:szCs w:val="14"/>
                <w:color w:val="auto"/>
              </w:rPr>
            </w:pPr>
          </w:p>
        </w:tc>
        <w:tc>
          <w:tcPr>
            <w:tcW w:w="9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SALARY</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BONUS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ANNUAL</w:t>
            </w:r>
          </w:p>
        </w:tc>
        <w:tc>
          <w:tcPr>
            <w:tcW w:w="0" w:type="dxa"/>
            <w:vAlign w:val="bottom"/>
          </w:tcPr>
          <w:p>
            <w:pPr>
              <w:spacing w:after="0"/>
              <w:rPr>
                <w:sz w:val="1"/>
                <w:szCs w:val="1"/>
                <w:color w:val="auto"/>
              </w:rPr>
            </w:pPr>
          </w:p>
        </w:tc>
      </w:tr>
      <w:tr>
        <w:trPr>
          <w:trHeight w:val="168"/>
        </w:trPr>
        <w:tc>
          <w:tcPr>
            <w:tcW w:w="2580" w:type="dxa"/>
            <w:vAlign w:val="bottom"/>
            <w:vMerge w:val="continue"/>
          </w:tcPr>
          <w:p>
            <w:pPr>
              <w:spacing w:after="0"/>
              <w:rPr>
                <w:sz w:val="14"/>
                <w:szCs w:val="14"/>
                <w:color w:val="auto"/>
              </w:rPr>
            </w:pPr>
          </w:p>
        </w:tc>
        <w:tc>
          <w:tcPr>
            <w:tcW w:w="9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YEAR</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COMPENSATION</w:t>
            </w:r>
          </w:p>
        </w:tc>
        <w:tc>
          <w:tcPr>
            <w:tcW w:w="0" w:type="dxa"/>
            <w:vAlign w:val="bottom"/>
          </w:tcPr>
          <w:p>
            <w:pPr>
              <w:spacing w:after="0"/>
              <w:rPr>
                <w:sz w:val="1"/>
                <w:szCs w:val="1"/>
                <w:color w:val="auto"/>
              </w:rPr>
            </w:pPr>
          </w:p>
        </w:tc>
      </w:tr>
      <w:tr>
        <w:trPr>
          <w:trHeight w:val="168"/>
        </w:trPr>
        <w:tc>
          <w:tcPr>
            <w:tcW w:w="25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920" w:type="dxa"/>
            <w:vAlign w:val="bottom"/>
            <w:vMerge w:val="continue"/>
          </w:tcPr>
          <w:p>
            <w:pPr>
              <w:spacing w:after="0"/>
              <w:rPr>
                <w:sz w:val="14"/>
                <w:szCs w:val="14"/>
                <w:color w:val="auto"/>
              </w:rPr>
            </w:pP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245"/>
        </w:trPr>
        <w:tc>
          <w:tcPr>
            <w:tcW w:w="25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726,277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204,019</w:t>
            </w:r>
          </w:p>
        </w:tc>
        <w:tc>
          <w:tcPr>
            <w:tcW w:w="1300" w:type="dxa"/>
            <w:vAlign w:val="bottom"/>
          </w:tcPr>
          <w:p>
            <w:pPr>
              <w:ind w:left="420"/>
              <w:spacing w:after="0"/>
              <w:rPr>
                <w:sz w:val="20"/>
                <w:szCs w:val="20"/>
                <w:color w:val="auto"/>
              </w:rPr>
            </w:pPr>
            <w:r>
              <w:rPr>
                <w:rFonts w:ascii="Courier New" w:cs="Courier New" w:eastAsia="Courier New" w:hAnsi="Courier New"/>
                <w:sz w:val="15"/>
                <w:szCs w:val="15"/>
                <w:color w:val="auto"/>
              </w:rPr>
              <w:t>211,266</w:t>
            </w:r>
          </w:p>
        </w:tc>
        <w:tc>
          <w:tcPr>
            <w:tcW w:w="0" w:type="dxa"/>
            <w:vAlign w:val="bottom"/>
          </w:tcPr>
          <w:p>
            <w:pPr>
              <w:spacing w:after="0"/>
              <w:rPr>
                <w:sz w:val="1"/>
                <w:szCs w:val="1"/>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660,253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494,684</w:t>
            </w:r>
          </w:p>
        </w:tc>
        <w:tc>
          <w:tcPr>
            <w:tcW w:w="13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129,314</w:t>
            </w:r>
          </w:p>
        </w:tc>
        <w:tc>
          <w:tcPr>
            <w:tcW w:w="0" w:type="dxa"/>
            <w:vAlign w:val="bottom"/>
          </w:tcPr>
          <w:p>
            <w:pPr>
              <w:spacing w:after="0"/>
              <w:rPr>
                <w:sz w:val="1"/>
                <w:szCs w:val="1"/>
                <w:color w:val="auto"/>
              </w:rPr>
            </w:pPr>
          </w:p>
        </w:tc>
      </w:tr>
      <w:tr>
        <w:trPr>
          <w:trHeight w:val="24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621,596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710,453</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52,845</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422,696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115,973</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507,958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349,091</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595,350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680,419</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349,511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60,625</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52,035</w:t>
            </w:r>
          </w:p>
        </w:tc>
        <w:tc>
          <w:tcPr>
            <w:tcW w:w="0" w:type="dxa"/>
            <w:vAlign w:val="bottom"/>
          </w:tcPr>
          <w:p>
            <w:pPr>
              <w:spacing w:after="0"/>
              <w:rPr>
                <w:sz w:val="1"/>
                <w:szCs w:val="1"/>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Sales</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323,622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149,147</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28,250</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310,475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236,569</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11,997</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327,787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56,857</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65,672</w:t>
            </w:r>
          </w:p>
        </w:tc>
        <w:tc>
          <w:tcPr>
            <w:tcW w:w="0" w:type="dxa"/>
            <w:vAlign w:val="bottom"/>
          </w:tcPr>
          <w:p>
            <w:pPr>
              <w:spacing w:after="0"/>
              <w:rPr>
                <w:sz w:val="1"/>
                <w:szCs w:val="1"/>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302,509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139,477</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27,099</w:t>
            </w:r>
          </w:p>
        </w:tc>
        <w:tc>
          <w:tcPr>
            <w:tcW w:w="0" w:type="dxa"/>
            <w:vAlign w:val="bottom"/>
          </w:tcPr>
          <w:p>
            <w:pPr>
              <w:spacing w:after="0"/>
              <w:rPr>
                <w:sz w:val="1"/>
                <w:szCs w:val="1"/>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Finance and Chief</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1996</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283,541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216,051</w:t>
            </w: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9,872</w:t>
            </w:r>
          </w:p>
        </w:tc>
        <w:tc>
          <w:tcPr>
            <w:tcW w:w="0" w:type="dxa"/>
            <w:vAlign w:val="bottom"/>
          </w:tcPr>
          <w:p>
            <w:pPr>
              <w:spacing w:after="0"/>
              <w:rPr>
                <w:sz w:val="1"/>
                <w:szCs w:val="1"/>
                <w:color w:val="auto"/>
              </w:rPr>
            </w:pPr>
          </w:p>
        </w:tc>
      </w:tr>
      <w:tr>
        <w:trPr>
          <w:trHeight w:val="24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Russell K. Johnsen</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263,373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45,529</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and</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239,430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110,393</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Manager</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1996</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225,410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150,285</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Communications Division</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line="320"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shown represent compensation earned by the Named Executive Officers in the fiscal years presented, including amounts contributed at the election of these officers to the Company's defined and deferred contribution plans.</w:t>
      </w:r>
    </w:p>
    <w:p>
      <w:pPr>
        <w:spacing w:after="0" w:line="38" w:lineRule="exact"/>
        <w:rPr>
          <w:rFonts w:ascii="Courier New" w:cs="Courier New" w:eastAsia="Courier New" w:hAnsi="Courier New"/>
          <w:sz w:val="14"/>
          <w:szCs w:val="14"/>
          <w:color w:val="auto"/>
        </w:rPr>
      </w:pPr>
    </w:p>
    <w:p>
      <w:pPr>
        <w:ind w:left="360" w:hanging="350"/>
        <w:spacing w:after="0" w:line="290"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"Other Annual Compensation" represent amounts earned by the Named Executive Officers at "above market" rates on deferred compensation for each fiscal year.</w:t>
      </w:r>
    </w:p>
    <w:p>
      <w:pPr>
        <w:spacing w:after="0" w:line="56" w:lineRule="exact"/>
        <w:rPr>
          <w:rFonts w:ascii="Courier New" w:cs="Courier New" w:eastAsia="Courier New" w:hAnsi="Courier New"/>
          <w:sz w:val="15"/>
          <w:szCs w:val="15"/>
          <w:color w:val="auto"/>
        </w:rPr>
      </w:pPr>
    </w:p>
    <w:p>
      <w:pPr>
        <w:ind w:left="360" w:hanging="350"/>
        <w:spacing w:after="0" w:line="258"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restricted stock awards was determined by multiplying the fair market value of the Company's Common Stock on the date of grant by the number of shares awarded. As of the end of fiscal 1998, the number and value of aggregate restricted stock holdings were as follows: 89,998 shares ($1,788,710) by Mr. McAloon, 89,998 shares ($1,788,710) by Mr. McDonough and 105,000 shares ($2,086,875) by Mr. Johnsen.</w:t>
      </w:r>
    </w:p>
    <w:p>
      <w:pPr>
        <w:spacing w:after="0" w:line="81" w:lineRule="exact"/>
        <w:rPr>
          <w:rFonts w:ascii="Courier New" w:cs="Courier New" w:eastAsia="Courier New" w:hAnsi="Courier New"/>
          <w:sz w:val="15"/>
          <w:szCs w:val="15"/>
          <w:color w:val="auto"/>
        </w:rPr>
      </w:pPr>
    </w:p>
    <w:p>
      <w:pPr>
        <w:ind w:left="360" w:right="160" w:hanging="350"/>
        <w:spacing w:after="0" w:line="258"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has an exercise price equal to the fair market value of the Company's Common Stock on the date of grant and generally becomes exercisable, subject to the optionee's continued service as an employee of the Company, in three equal installments, on a cumulative basis on the third, fourth and fifth anniversaries of the date of grant (except as set forth in notes (6) and (7) below).</w:t>
      </w:r>
    </w:p>
    <w:p>
      <w:pPr>
        <w:spacing w:after="0" w:line="81" w:lineRule="exact"/>
        <w:rPr>
          <w:rFonts w:ascii="Courier New" w:cs="Courier New" w:eastAsia="Courier New" w:hAnsi="Courier New"/>
          <w:sz w:val="15"/>
          <w:szCs w:val="15"/>
          <w:color w:val="auto"/>
        </w:rPr>
      </w:pPr>
    </w:p>
    <w:p>
      <w:pPr>
        <w:ind w:left="360" w:hanging="350"/>
        <w:spacing w:after="0" w:line="290"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"All Other Compensation" are amounts contributed or accrued by the Company for each fiscal year for the Named Executive Officers under the Company's retirement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4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LONG-TERM</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8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0" w:type="dxa"/>
            <w:vAlign w:val="bottom"/>
          </w:tcPr>
          <w:p>
            <w:pPr>
              <w:spacing w:after="0"/>
              <w:rPr>
                <w:sz w:val="14"/>
                <w:szCs w:val="14"/>
                <w:color w:val="auto"/>
              </w:rPr>
            </w:pPr>
          </w:p>
        </w:tc>
        <w:tc>
          <w:tcPr>
            <w:tcW w:w="162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w w:val="96"/>
              </w:rPr>
              <w:t>AWARDS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RESTRICTED</w:t>
            </w: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0" w:type="dxa"/>
            <w:vAlign w:val="bottom"/>
            <w:vMerge w:val="continue"/>
          </w:tcPr>
          <w:p>
            <w:pPr>
              <w:spacing w:after="0"/>
              <w:rPr>
                <w:sz w:val="14"/>
                <w:szCs w:val="14"/>
                <w:color w:val="auto"/>
              </w:rPr>
            </w:pP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1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68"/>
        </w:trPr>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w:t>
            </w:r>
          </w:p>
        </w:tc>
        <w:tc>
          <w:tcPr>
            <w:tcW w:w="16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OPTIONS/</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AWARDS</w:t>
            </w:r>
          </w:p>
        </w:tc>
        <w:tc>
          <w:tcPr>
            <w:tcW w:w="16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SARS</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0" w:type="dxa"/>
            <w:vAlign w:val="bottom"/>
          </w:tcPr>
          <w:p>
            <w:pPr>
              <w:spacing w:after="0"/>
              <w:rPr>
                <w:sz w:val="1"/>
                <w:szCs w:val="1"/>
                <w:color w:val="auto"/>
              </w:rPr>
            </w:pPr>
          </w:p>
        </w:tc>
      </w:tr>
      <w:tr>
        <w:trPr>
          <w:trHeight w:val="168"/>
        </w:trPr>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($)(5)</w:t>
            </w: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600,000(6)</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92,492</w:t>
            </w:r>
          </w:p>
        </w:tc>
        <w:tc>
          <w:tcPr>
            <w:tcW w:w="0" w:type="dxa"/>
            <w:vAlign w:val="bottom"/>
          </w:tcPr>
          <w:p>
            <w:pPr>
              <w:spacing w:after="0"/>
              <w:rPr>
                <w:sz w:val="1"/>
                <w:szCs w:val="1"/>
                <w:color w:val="auto"/>
              </w:rPr>
            </w:pPr>
          </w:p>
        </w:tc>
      </w:tr>
      <w:tr>
        <w:trPr>
          <w:trHeight w:val="168"/>
        </w:trPr>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270,000(7)</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90,208</w:t>
            </w:r>
          </w:p>
        </w:tc>
        <w:tc>
          <w:tcPr>
            <w:tcW w:w="0" w:type="dxa"/>
            <w:vAlign w:val="bottom"/>
          </w:tcPr>
          <w:p>
            <w:pPr>
              <w:spacing w:after="0"/>
              <w:rPr>
                <w:sz w:val="1"/>
                <w:szCs w:val="1"/>
                <w:color w:val="auto"/>
              </w:rPr>
            </w:pPr>
          </w:p>
        </w:tc>
      </w:tr>
      <w:tr>
        <w:trPr>
          <w:trHeight w:val="245"/>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300,000(7)</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90,913</w:t>
            </w:r>
          </w:p>
        </w:tc>
        <w:tc>
          <w:tcPr>
            <w:tcW w:w="0" w:type="dxa"/>
            <w:vAlign w:val="bottom"/>
          </w:tcPr>
          <w:p>
            <w:pPr>
              <w:spacing w:after="0"/>
              <w:rPr>
                <w:sz w:val="1"/>
                <w:szCs w:val="1"/>
                <w:color w:val="auto"/>
              </w:rPr>
            </w:pPr>
          </w:p>
        </w:tc>
      </w:tr>
      <w:tr>
        <w:trPr>
          <w:trHeight w:val="259"/>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200,000</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51,149</w:t>
            </w:r>
          </w:p>
        </w:tc>
        <w:tc>
          <w:tcPr>
            <w:tcW w:w="0" w:type="dxa"/>
            <w:vAlign w:val="bottom"/>
          </w:tcPr>
          <w:p>
            <w:pPr>
              <w:spacing w:after="0"/>
              <w:rPr>
                <w:sz w:val="1"/>
                <w:szCs w:val="1"/>
                <w:color w:val="auto"/>
              </w:rPr>
            </w:pPr>
          </w:p>
        </w:tc>
      </w:tr>
      <w:tr>
        <w:trPr>
          <w:trHeight w:val="168"/>
        </w:trPr>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69,546</w:t>
            </w:r>
          </w:p>
        </w:tc>
        <w:tc>
          <w:tcPr>
            <w:tcW w:w="0" w:type="dxa"/>
            <w:vAlign w:val="bottom"/>
          </w:tcPr>
          <w:p>
            <w:pPr>
              <w:spacing w:after="0"/>
              <w:rPr>
                <w:sz w:val="1"/>
                <w:szCs w:val="1"/>
                <w:color w:val="auto"/>
              </w:rPr>
            </w:pPr>
          </w:p>
        </w:tc>
      </w:tr>
      <w:tr>
        <w:trPr>
          <w:trHeight w:val="245"/>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200,000</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87,618</w:t>
            </w:r>
          </w:p>
        </w:tc>
        <w:tc>
          <w:tcPr>
            <w:tcW w:w="0" w:type="dxa"/>
            <w:vAlign w:val="bottom"/>
          </w:tcPr>
          <w:p>
            <w:pPr>
              <w:spacing w:after="0"/>
              <w:rPr>
                <w:sz w:val="1"/>
                <w:szCs w:val="1"/>
                <w:color w:val="auto"/>
              </w:rPr>
            </w:pPr>
          </w:p>
        </w:tc>
      </w:tr>
      <w:tr>
        <w:trPr>
          <w:trHeight w:val="259"/>
        </w:trPr>
        <w:tc>
          <w:tcPr>
            <w:tcW w:w="860" w:type="dxa"/>
            <w:vAlign w:val="bottom"/>
          </w:tcPr>
          <w:p>
            <w:pPr>
              <w:ind w:left="160"/>
              <w:spacing w:after="0"/>
              <w:rPr>
                <w:sz w:val="20"/>
                <w:szCs w:val="20"/>
                <w:color w:val="auto"/>
              </w:rPr>
            </w:pPr>
            <w:r>
              <w:rPr>
                <w:rFonts w:ascii="Courier New" w:cs="Courier New" w:eastAsia="Courier New" w:hAnsi="Courier New"/>
                <w:sz w:val="15"/>
                <w:szCs w:val="15"/>
                <w:color w:val="auto"/>
              </w:rPr>
              <w:t>466,375</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70,000</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37,799</w:t>
            </w:r>
          </w:p>
        </w:tc>
        <w:tc>
          <w:tcPr>
            <w:tcW w:w="0" w:type="dxa"/>
            <w:vAlign w:val="bottom"/>
          </w:tcPr>
          <w:p>
            <w:pPr>
              <w:spacing w:after="0"/>
              <w:rPr>
                <w:sz w:val="1"/>
                <w:szCs w:val="1"/>
                <w:color w:val="auto"/>
              </w:rPr>
            </w:pPr>
          </w:p>
        </w:tc>
      </w:tr>
      <w:tr>
        <w:trPr>
          <w:trHeight w:val="168"/>
        </w:trPr>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345,000</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27,000</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38,133</w:t>
            </w:r>
          </w:p>
        </w:tc>
        <w:tc>
          <w:tcPr>
            <w:tcW w:w="0" w:type="dxa"/>
            <w:vAlign w:val="bottom"/>
          </w:tcPr>
          <w:p>
            <w:pPr>
              <w:spacing w:after="0"/>
              <w:rPr>
                <w:sz w:val="1"/>
                <w:szCs w:val="1"/>
                <w:color w:val="auto"/>
              </w:rPr>
            </w:pPr>
          </w:p>
        </w:tc>
      </w:tr>
      <w:tr>
        <w:trPr>
          <w:trHeight w:val="245"/>
        </w:trPr>
        <w:tc>
          <w:tcPr>
            <w:tcW w:w="860" w:type="dxa"/>
            <w:vAlign w:val="bottom"/>
          </w:tcPr>
          <w:p>
            <w:pPr>
              <w:ind w:left="160"/>
              <w:spacing w:after="0"/>
              <w:rPr>
                <w:sz w:val="20"/>
                <w:szCs w:val="20"/>
                <w:color w:val="auto"/>
              </w:rPr>
            </w:pPr>
            <w:r>
              <w:rPr>
                <w:rFonts w:ascii="Courier New" w:cs="Courier New" w:eastAsia="Courier New" w:hAnsi="Courier New"/>
                <w:sz w:val="15"/>
                <w:szCs w:val="15"/>
                <w:color w:val="auto"/>
              </w:rPr>
              <w:t>325,000</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40,000</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37,813</w:t>
            </w:r>
          </w:p>
        </w:tc>
        <w:tc>
          <w:tcPr>
            <w:tcW w:w="0" w:type="dxa"/>
            <w:vAlign w:val="bottom"/>
          </w:tcPr>
          <w:p>
            <w:pPr>
              <w:spacing w:after="0"/>
              <w:rPr>
                <w:sz w:val="1"/>
                <w:szCs w:val="1"/>
                <w:color w:val="auto"/>
              </w:rPr>
            </w:pPr>
          </w:p>
        </w:tc>
      </w:tr>
      <w:tr>
        <w:trPr>
          <w:trHeight w:val="259"/>
        </w:trPr>
        <w:tc>
          <w:tcPr>
            <w:tcW w:w="860" w:type="dxa"/>
            <w:vAlign w:val="bottom"/>
          </w:tcPr>
          <w:p>
            <w:pPr>
              <w:ind w:left="160"/>
              <w:spacing w:after="0"/>
              <w:rPr>
                <w:sz w:val="20"/>
                <w:szCs w:val="20"/>
                <w:color w:val="auto"/>
              </w:rPr>
            </w:pPr>
            <w:r>
              <w:rPr>
                <w:rFonts w:ascii="Courier New" w:cs="Courier New" w:eastAsia="Courier New" w:hAnsi="Courier New"/>
                <w:sz w:val="15"/>
                <w:szCs w:val="15"/>
                <w:color w:val="auto"/>
              </w:rPr>
              <w:t>466,375</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70,000</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34,568</w:t>
            </w:r>
          </w:p>
        </w:tc>
        <w:tc>
          <w:tcPr>
            <w:tcW w:w="0" w:type="dxa"/>
            <w:vAlign w:val="bottom"/>
          </w:tcPr>
          <w:p>
            <w:pPr>
              <w:spacing w:after="0"/>
              <w:rPr>
                <w:sz w:val="1"/>
                <w:szCs w:val="1"/>
                <w:color w:val="auto"/>
              </w:rPr>
            </w:pPr>
          </w:p>
        </w:tc>
      </w:tr>
      <w:tr>
        <w:trPr>
          <w:trHeight w:val="168"/>
        </w:trPr>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345,000</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27,000</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34,166</w:t>
            </w:r>
          </w:p>
        </w:tc>
        <w:tc>
          <w:tcPr>
            <w:tcW w:w="0" w:type="dxa"/>
            <w:vAlign w:val="bottom"/>
          </w:tcPr>
          <w:p>
            <w:pPr>
              <w:spacing w:after="0"/>
              <w:rPr>
                <w:sz w:val="1"/>
                <w:szCs w:val="1"/>
                <w:color w:val="auto"/>
              </w:rPr>
            </w:pPr>
          </w:p>
        </w:tc>
      </w:tr>
      <w:tr>
        <w:trPr>
          <w:trHeight w:val="245"/>
        </w:trPr>
        <w:tc>
          <w:tcPr>
            <w:tcW w:w="860" w:type="dxa"/>
            <w:vAlign w:val="bottom"/>
          </w:tcPr>
          <w:p>
            <w:pPr>
              <w:ind w:left="160"/>
              <w:spacing w:after="0"/>
              <w:rPr>
                <w:sz w:val="20"/>
                <w:szCs w:val="20"/>
                <w:color w:val="auto"/>
              </w:rPr>
            </w:pPr>
            <w:r>
              <w:rPr>
                <w:rFonts w:ascii="Courier New" w:cs="Courier New" w:eastAsia="Courier New" w:hAnsi="Courier New"/>
                <w:sz w:val="15"/>
                <w:szCs w:val="15"/>
                <w:color w:val="auto"/>
              </w:rPr>
              <w:t>325,000</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40,000</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34,159</w:t>
            </w:r>
          </w:p>
        </w:tc>
        <w:tc>
          <w:tcPr>
            <w:tcW w:w="0" w:type="dxa"/>
            <w:vAlign w:val="bottom"/>
          </w:tcPr>
          <w:p>
            <w:pPr>
              <w:spacing w:after="0"/>
              <w:rPr>
                <w:sz w:val="1"/>
                <w:szCs w:val="1"/>
                <w:color w:val="auto"/>
              </w:rPr>
            </w:pPr>
          </w:p>
        </w:tc>
      </w:tr>
      <w:tr>
        <w:trPr>
          <w:trHeight w:val="427"/>
        </w:trPr>
        <w:tc>
          <w:tcPr>
            <w:tcW w:w="860" w:type="dxa"/>
            <w:vAlign w:val="bottom"/>
          </w:tcPr>
          <w:p>
            <w:pPr>
              <w:ind w:left="160"/>
              <w:spacing w:after="0"/>
              <w:rPr>
                <w:sz w:val="20"/>
                <w:szCs w:val="20"/>
                <w:color w:val="auto"/>
              </w:rPr>
            </w:pPr>
            <w:r>
              <w:rPr>
                <w:rFonts w:ascii="Courier New" w:cs="Courier New" w:eastAsia="Courier New" w:hAnsi="Courier New"/>
                <w:sz w:val="15"/>
                <w:szCs w:val="15"/>
                <w:color w:val="auto"/>
              </w:rPr>
              <w:t>466,375</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70,000</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26,058</w:t>
            </w:r>
          </w:p>
        </w:tc>
        <w:tc>
          <w:tcPr>
            <w:tcW w:w="0" w:type="dxa"/>
            <w:vAlign w:val="bottom"/>
          </w:tcPr>
          <w:p>
            <w:pPr>
              <w:spacing w:after="0"/>
              <w:rPr>
                <w:sz w:val="1"/>
                <w:szCs w:val="1"/>
                <w:color w:val="auto"/>
              </w:rPr>
            </w:pPr>
          </w:p>
        </w:tc>
      </w:tr>
      <w:tr>
        <w:trPr>
          <w:trHeight w:val="168"/>
        </w:trPr>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345,000</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27,000</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25,236</w:t>
            </w:r>
          </w:p>
        </w:tc>
        <w:tc>
          <w:tcPr>
            <w:tcW w:w="0" w:type="dxa"/>
            <w:vAlign w:val="bottom"/>
          </w:tcPr>
          <w:p>
            <w:pPr>
              <w:spacing w:after="0"/>
              <w:rPr>
                <w:sz w:val="1"/>
                <w:szCs w:val="1"/>
                <w:color w:val="auto"/>
              </w:rPr>
            </w:pPr>
          </w:p>
        </w:tc>
      </w:tr>
      <w:tr>
        <w:trPr>
          <w:trHeight w:val="245"/>
        </w:trPr>
        <w:tc>
          <w:tcPr>
            <w:tcW w:w="860" w:type="dxa"/>
            <w:vAlign w:val="bottom"/>
          </w:tcPr>
          <w:p>
            <w:pPr>
              <w:ind w:left="160"/>
              <w:spacing w:after="0"/>
              <w:rPr>
                <w:sz w:val="20"/>
                <w:szCs w:val="20"/>
                <w:color w:val="auto"/>
              </w:rPr>
            </w:pPr>
            <w:r>
              <w:rPr>
                <w:rFonts w:ascii="Courier New" w:cs="Courier New" w:eastAsia="Courier New" w:hAnsi="Courier New"/>
                <w:sz w:val="15"/>
                <w:szCs w:val="15"/>
                <w:color w:val="auto"/>
              </w:rPr>
              <w:t>325,000</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30,000</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25,211</w:t>
            </w:r>
          </w:p>
        </w:tc>
        <w:tc>
          <w:tcPr>
            <w:tcW w:w="0" w:type="dxa"/>
            <w:vAlign w:val="bottom"/>
          </w:tcPr>
          <w:p>
            <w:pPr>
              <w:spacing w:after="0"/>
              <w:rPr>
                <w:sz w:val="1"/>
                <w:szCs w:val="1"/>
                <w:color w:val="auto"/>
              </w:rPr>
            </w:pPr>
          </w:p>
        </w:tc>
      </w:tr>
    </w:tbl>
    <w:p>
      <w:pPr>
        <w:spacing w:after="0" w:line="5137" w:lineRule="exact"/>
        <w:rPr>
          <w:sz w:val="20"/>
          <w:szCs w:val="20"/>
          <w:color w:val="auto"/>
        </w:rPr>
      </w:pPr>
    </w:p>
    <w:p>
      <w:pPr>
        <w:sectPr>
          <w:pgSz w:w="11900" w:h="16838" w:orient="portrait"/>
          <w:cols w:equalWidth="0" w:num="2">
            <w:col w:w="7000" w:space="100"/>
            <w:col w:w="3660"/>
          </w:cols>
          <w:pgMar w:left="220" w:top="261" w:right="919" w:bottom="1440" w:gutter="0" w:footer="0" w:header="0"/>
        </w:sect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760"/>
          </w:cols>
          <w:pgMar w:left="220" w:top="261" w:right="919"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360" w:right="3239" w:hanging="350"/>
        <w:spacing w:after="0" w:line="264"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options with respect to 300,000 shares each, (a) the first of which becomes exercisable, subject to Mr. Fishman's continued service as an employee of the Company, in three equal installments, on a cumulative basis on the third, fourth and fifth anniversaries of the date of grant, and</w:t>
      </w:r>
    </w:p>
    <w:p>
      <w:pPr>
        <w:ind w:left="360" w:right="3319"/>
        <w:spacing w:after="0" w:line="277" w:lineRule="auto"/>
        <w:tabs>
          <w:tab w:leader="none" w:pos="71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second of which is not exercisable until the fifth anniversary of the date of grant, except that it becomes exercisable after three years (in three equal installments) in the event that the Company terminates Mr. Fishman's employment for any reason other than for cause after the third anniversary but prior to the fifth anniversary of the grant date.</w:t>
      </w:r>
    </w:p>
    <w:p>
      <w:pPr>
        <w:spacing w:after="0" w:line="67"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is not exercisable until the fifth anniversary of the date of grant.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 GRANT TABLE</w:t>
      </w:r>
    </w:p>
    <w:p>
      <w:pPr>
        <w:spacing w:after="0" w:line="166" w:lineRule="exact"/>
        <w:rPr>
          <w:sz w:val="20"/>
          <w:szCs w:val="20"/>
          <w:color w:val="auto"/>
        </w:rPr>
      </w:pPr>
    </w:p>
    <w:p>
      <w:pPr>
        <w:ind w:right="3679" w:firstLine="437"/>
        <w:spacing w:after="0" w:line="290" w:lineRule="auto"/>
        <w:rPr>
          <w:sz w:val="20"/>
          <w:szCs w:val="20"/>
          <w:color w:val="auto"/>
        </w:rPr>
      </w:pPr>
      <w:r>
        <w:rPr>
          <w:rFonts w:ascii="Courier New" w:cs="Courier New" w:eastAsia="Courier New" w:hAnsi="Courier New"/>
          <w:sz w:val="15"/>
          <w:szCs w:val="15"/>
          <w:color w:val="auto"/>
        </w:rPr>
        <w:t>The following table sets forth certain information regarding options granted during the fiscal year ended October 31, 1998 by the Company to the Named Executive Officers:</w:t>
      </w:r>
    </w:p>
    <w:p>
      <w:pPr>
        <w:spacing w:after="0" w:line="5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INDIVIDUAL GRANTS</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6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PERCENT OF</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2"/>
          </w:tcPr>
          <w:p>
            <w:pPr>
              <w:jc w:val="center"/>
              <w:ind w:left="48"/>
              <w:spacing w:after="0" w:line="168" w:lineRule="exact"/>
              <w:rPr>
                <w:sz w:val="20"/>
                <w:szCs w:val="20"/>
                <w:color w:val="auto"/>
              </w:rPr>
            </w:pPr>
            <w:r>
              <w:rPr>
                <w:rFonts w:ascii="Courier New" w:cs="Courier New" w:eastAsia="Courier New" w:hAnsi="Courier New"/>
                <w:sz w:val="15"/>
                <w:szCs w:val="15"/>
                <w:color w:val="auto"/>
                <w:w w:val="96"/>
              </w:rPr>
              <w:t>POTENTIAL REALIZABLE</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80" w:type="dxa"/>
            <w:vAlign w:val="bottom"/>
            <w:vMerge w:val="restart"/>
          </w:tcPr>
          <w:p>
            <w:pPr>
              <w:jc w:val="center"/>
              <w:ind w:right="127"/>
              <w:spacing w:after="0"/>
              <w:rPr>
                <w:sz w:val="20"/>
                <w:szCs w:val="20"/>
                <w:color w:val="auto"/>
              </w:rPr>
            </w:pPr>
            <w:r>
              <w:rPr>
                <w:rFonts w:ascii="Courier New" w:cs="Courier New" w:eastAsia="Courier New" w:hAnsi="Courier New"/>
                <w:sz w:val="15"/>
                <w:szCs w:val="15"/>
                <w:color w:val="auto"/>
                <w:w w:val="96"/>
              </w:rPr>
              <w:t>NUMBER OF</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TOTAL</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2"/>
          </w:tcPr>
          <w:p>
            <w:pPr>
              <w:jc w:val="center"/>
              <w:ind w:left="48"/>
              <w:spacing w:after="0" w:line="168" w:lineRule="exact"/>
              <w:rPr>
                <w:sz w:val="20"/>
                <w:szCs w:val="20"/>
                <w:color w:val="auto"/>
              </w:rPr>
            </w:pPr>
            <w:r>
              <w:rPr>
                <w:rFonts w:ascii="Courier New" w:cs="Courier New" w:eastAsia="Courier New" w:hAnsi="Courier New"/>
                <w:sz w:val="15"/>
                <w:szCs w:val="15"/>
                <w:color w:val="auto"/>
                <w:w w:val="97"/>
              </w:rPr>
              <w:t>VALUE AT</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OPTIONS/</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2"/>
          </w:tcPr>
          <w:p>
            <w:pPr>
              <w:jc w:val="center"/>
              <w:ind w:left="48"/>
              <w:spacing w:after="0" w:line="168" w:lineRule="exact"/>
              <w:rPr>
                <w:sz w:val="20"/>
                <w:szCs w:val="20"/>
                <w:color w:val="auto"/>
              </w:rPr>
            </w:pPr>
            <w:r>
              <w:rPr>
                <w:rFonts w:ascii="Courier New" w:cs="Courier New" w:eastAsia="Courier New" w:hAnsi="Courier New"/>
                <w:sz w:val="15"/>
                <w:szCs w:val="15"/>
                <w:color w:val="auto"/>
                <w:w w:val="96"/>
              </w:rPr>
              <w:t>ASSUMED ANNUAL</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SARS</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2"/>
          </w:tcPr>
          <w:p>
            <w:pPr>
              <w:jc w:val="center"/>
              <w:ind w:left="48"/>
              <w:spacing w:after="0" w:line="168" w:lineRule="exact"/>
              <w:rPr>
                <w:sz w:val="20"/>
                <w:szCs w:val="20"/>
                <w:color w:val="auto"/>
              </w:rPr>
            </w:pPr>
            <w:r>
              <w:rPr>
                <w:rFonts w:ascii="Courier New" w:cs="Courier New" w:eastAsia="Courier New" w:hAnsi="Courier New"/>
                <w:sz w:val="15"/>
                <w:szCs w:val="15"/>
                <w:color w:val="auto"/>
                <w:w w:val="96"/>
              </w:rPr>
              <w:t>RATES OF STOCK</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UNDERLYING</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GRANTED</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EXERCISE</w:t>
            </w:r>
          </w:p>
        </w:tc>
        <w:tc>
          <w:tcPr>
            <w:tcW w:w="1180" w:type="dxa"/>
            <w:vAlign w:val="bottom"/>
          </w:tcPr>
          <w:p>
            <w:pPr>
              <w:spacing w:after="0"/>
              <w:rPr>
                <w:sz w:val="14"/>
                <w:szCs w:val="14"/>
                <w:color w:val="auto"/>
              </w:rPr>
            </w:pPr>
          </w:p>
        </w:tc>
        <w:tc>
          <w:tcPr>
            <w:tcW w:w="2060" w:type="dxa"/>
            <w:vAlign w:val="bottom"/>
            <w:gridSpan w:val="2"/>
          </w:tcPr>
          <w:p>
            <w:pPr>
              <w:jc w:val="center"/>
              <w:ind w:left="48"/>
              <w:spacing w:after="0" w:line="168" w:lineRule="exact"/>
              <w:rPr>
                <w:sz w:val="20"/>
                <w:szCs w:val="20"/>
                <w:color w:val="auto"/>
              </w:rPr>
            </w:pPr>
            <w:r>
              <w:rPr>
                <w:rFonts w:ascii="Courier New" w:cs="Courier New" w:eastAsia="Courier New" w:hAnsi="Courier New"/>
                <w:sz w:val="15"/>
                <w:szCs w:val="15"/>
                <w:color w:val="auto"/>
                <w:w w:val="97"/>
              </w:rPr>
              <w:t>PRICE APPRECIATION</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OPTIONS/</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TO</w:t>
            </w:r>
          </w:p>
        </w:tc>
        <w:tc>
          <w:tcPr>
            <w:tcW w:w="11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2"/>
          </w:tcPr>
          <w:p>
            <w:pPr>
              <w:jc w:val="center"/>
              <w:ind w:left="48"/>
              <w:spacing w:after="0" w:line="168" w:lineRule="exact"/>
              <w:rPr>
                <w:sz w:val="20"/>
                <w:szCs w:val="20"/>
                <w:color w:val="auto"/>
              </w:rPr>
            </w:pPr>
            <w:r>
              <w:rPr>
                <w:rFonts w:ascii="Courier New" w:cs="Courier New" w:eastAsia="Courier New" w:hAnsi="Courier New"/>
                <w:sz w:val="15"/>
                <w:szCs w:val="15"/>
                <w:color w:val="auto"/>
                <w:w w:val="95"/>
              </w:rPr>
              <w:t>FOR OPTION</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SARS</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EMPLOYEES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OR BASE</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5"/>
              </w:rPr>
              <w:t>EXPIRATION</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TERM(3)</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GRANTED</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IN FISCAL</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PRICE</w:t>
            </w:r>
          </w:p>
        </w:tc>
        <w:tc>
          <w:tcPr>
            <w:tcW w:w="1180" w:type="dxa"/>
            <w:vAlign w:val="bottom"/>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bscript"/>
              </w:rPr>
              <w:t>5%($)</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YEAR(1)</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($/SH)(2)</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1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1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Jerald G. Fishman...........</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300,000(4)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2.57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13.25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10/4/08</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2,525,873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6,416,210</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300,000(5)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2.57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14.75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12/16/07</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2,531,074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6,282,165</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Ray Stata...................</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0.86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13.25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10/4/08</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841,958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2,138,737</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0.86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14.75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12/16/07</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843,691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2,094,055</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Brian P. McAloon............</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35,000(4)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0.30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13.25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10/4/08</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294,685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748,558</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35,000(5)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0.30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14.75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12/16/07</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295,292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732,919</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Joseph E. McDonough.........</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35,000(4)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0.30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13.25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10/4/08</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294,685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748,558</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35,000(5)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0.30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14.75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12/16/07</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295,292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732,919</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Russell K. Johnsen..........</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35,000(4)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0.30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13.25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10/4/08</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294,685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748,558</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35,000(5)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0.30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3"/>
              </w:rPr>
              <w:t>14.75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12/16/07</w:t>
            </w:r>
          </w:p>
        </w:tc>
        <w:tc>
          <w:tcPr>
            <w:tcW w:w="12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295,292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732,919</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319" w:hanging="350"/>
        <w:spacing w:after="0" w:line="381"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based on an aggregate of 11,701,500 options granted under the Company's 1988 and 1998 Stock Option Plans to employees during fiscal 1998.</w:t>
      </w:r>
    </w:p>
    <w:p>
      <w:pPr>
        <w:spacing w:after="0" w:line="1" w:lineRule="exact"/>
        <w:rPr>
          <w:rFonts w:ascii="Courier New" w:cs="Courier New" w:eastAsia="Courier New" w:hAnsi="Courier New"/>
          <w:sz w:val="14"/>
          <w:szCs w:val="14"/>
          <w:color w:val="auto"/>
        </w:rPr>
      </w:pPr>
    </w:p>
    <w:p>
      <w:pPr>
        <w:ind w:left="360" w:right="3239" w:hanging="350"/>
        <w:spacing w:after="0" w:line="270"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is equal to the fair market value of the Company's Common Stock on the date of grant. The Company granted options to employees on two occasions during fiscal 1998. The first occasion was on December 16, 1997 and the second on September 4, 1998. With respect to the options granted on the first occasion, on September 8, 1998, the Board of Directors approved a stock option repricing program pursuant to which the exercise price of all stock options granted during the period beginning December 1, 1996 and ending on August 3, 1998 was reduced to $14.75 per share. See "Report of Directors on Repricing of Stock Options."</w:t>
      </w:r>
    </w:p>
    <w:p>
      <w:pPr>
        <w:spacing w:after="0" w:line="76" w:lineRule="exact"/>
        <w:rPr>
          <w:rFonts w:ascii="Courier New" w:cs="Courier New" w:eastAsia="Courier New" w:hAnsi="Courier New"/>
          <w:sz w:val="14"/>
          <w:szCs w:val="14"/>
          <w:color w:val="auto"/>
        </w:rPr>
      </w:pPr>
    </w:p>
    <w:p>
      <w:pPr>
        <w:ind w:left="360" w:right="3399" w:hanging="350"/>
        <w:spacing w:after="0" w:line="264"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realizable value is based on an assumption that the market price of the stock will appreciate at the stated rate, compounded annually, from the date of grant until the end of the option term. These values are calculated based on rules promulgated by the Commission and do not reflect the Company's</w:t>
      </w:r>
    </w:p>
    <w:p>
      <w:pPr>
        <w:spacing w:after="0" w:line="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360" w:right="3319"/>
        <w:spacing w:after="0" w:line="290" w:lineRule="auto"/>
        <w:rPr>
          <w:sz w:val="20"/>
          <w:szCs w:val="20"/>
          <w:color w:val="auto"/>
        </w:rPr>
      </w:pPr>
      <w:r>
        <w:rPr>
          <w:rFonts w:ascii="Courier New" w:cs="Courier New" w:eastAsia="Courier New" w:hAnsi="Courier New"/>
          <w:sz w:val="15"/>
          <w:szCs w:val="15"/>
          <w:color w:val="auto"/>
        </w:rPr>
        <w:t>estimate or projection of future stock prices. Actual gains, if any, on stock option exercises will be dependent upon the future performance of the price of the Company's Common Stock.</w:t>
      </w:r>
    </w:p>
    <w:p>
      <w:pPr>
        <w:spacing w:after="0" w:line="57" w:lineRule="exact"/>
        <w:rPr>
          <w:sz w:val="20"/>
          <w:szCs w:val="20"/>
          <w:color w:val="auto"/>
        </w:rPr>
      </w:pPr>
    </w:p>
    <w:p>
      <w:pPr>
        <w:ind w:left="360" w:right="3239" w:hanging="350"/>
        <w:spacing w:after="0" w:line="264"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granted pursuant to the Company's 1998 Stock Option Plan. Options granted to Messrs. Fishman, Stata, McAloon, McDonough and Johnsen become exercisable on a cumulative basis with respect to one-third of the shares subject to the option on each of the third, fourth and fifth anniversaries of the date of grant.</w:t>
      </w:r>
    </w:p>
    <w:p>
      <w:pPr>
        <w:spacing w:after="0" w:line="74" w:lineRule="exact"/>
        <w:rPr>
          <w:rFonts w:ascii="Courier New" w:cs="Courier New" w:eastAsia="Courier New" w:hAnsi="Courier New"/>
          <w:sz w:val="15"/>
          <w:szCs w:val="15"/>
          <w:color w:val="auto"/>
        </w:rPr>
      </w:pPr>
    </w:p>
    <w:p>
      <w:pPr>
        <w:ind w:left="360" w:right="3239" w:hanging="350"/>
        <w:spacing w:after="0" w:line="249"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granted pursuant to the Company's 1988 Stock Option Plan. The option granted to Mr. Fishman first becomes exercisable in its entirety on the fifth anniversary of the date of grant, except that it becomes exercisable after three years (in three equal installments) in the event that the Company terminates Mr. Fishman's employment for any reason other than for cause after the third anniversary but prior to the fifth anniversary of the grant date. Options granted to Messrs. Stata, McAloon, McDonough and Johnsen become exercisable on a cumulative basis with respect to one-third of the shares subject to the option on each of the third, fourth and fifth anniversaries of the date of grant.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EXERCISES AND YEAR-END VALUES</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The following table sets forth certain information concerning the exercise of stock options during the fiscal year ended October 31, 1998 by each of the Named Executive Officers and the number and value of unexercised options held by each of the Named Executive Officers on October 31, 1998:</w:t>
      </w:r>
    </w:p>
    <w:p>
      <w:pPr>
        <w:spacing w:after="0" w:line="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OPTION/SAR EXERCISES IN LAST FISCAL YEAR</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 FISCAL YEAR-END OPTION/SAR VALUES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VALUE OF</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gridSpan w:val="2"/>
            <w:vMerge w:val="restart"/>
          </w:tcPr>
          <w:p>
            <w:pPr>
              <w:jc w:val="center"/>
              <w:spacing w:after="0"/>
              <w:rPr>
                <w:sz w:val="20"/>
                <w:szCs w:val="20"/>
                <w:color w:val="auto"/>
              </w:rPr>
            </w:pPr>
            <w:r>
              <w:rPr>
                <w:rFonts w:ascii="Courier New" w:cs="Courier New" w:eastAsia="Courier New" w:hAnsi="Courier New"/>
                <w:sz w:val="15"/>
                <w:szCs w:val="15"/>
                <w:color w:val="auto"/>
                <w:w w:val="96"/>
              </w:rPr>
              <w:t>NUMBER OF</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UNEXERCISED</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IN-THE-MONEY</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96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9"/>
              </w:rPr>
              <w:t>SHARES</w:t>
            </w:r>
          </w:p>
        </w:tc>
        <w:tc>
          <w:tcPr>
            <w:tcW w:w="1140" w:type="dxa"/>
            <w:vAlign w:val="bottom"/>
          </w:tcPr>
          <w:p>
            <w:pPr>
              <w:spacing w:after="0"/>
              <w:rPr>
                <w:sz w:val="14"/>
                <w:szCs w:val="14"/>
                <w:color w:val="auto"/>
              </w:rPr>
            </w:pP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UNEXERCISED</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OPTIONS</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OPTIONS AT FISCAL</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AT FISCAL YEAR-END</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VALUE</w:t>
            </w: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YEAR-END</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($)(2)</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ON</w:t>
            </w:r>
          </w:p>
        </w:tc>
        <w:tc>
          <w:tcPr>
            <w:tcW w:w="1140" w:type="dxa"/>
            <w:vAlign w:val="bottom"/>
            <w:vMerge w:val="continue"/>
          </w:tcPr>
          <w:p>
            <w:pPr>
              <w:spacing w:after="0"/>
              <w:rPr>
                <w:sz w:val="14"/>
                <w:szCs w:val="14"/>
                <w:color w:val="auto"/>
              </w:rPr>
            </w:pPr>
          </w:p>
        </w:tc>
        <w:tc>
          <w:tcPr>
            <w:tcW w:w="1780" w:type="dxa"/>
            <w:vAlign w:val="bottom"/>
            <w:gridSpan w:val="2"/>
            <w:vMerge w:val="restart"/>
          </w:tcPr>
          <w:p>
            <w:pPr>
              <w:jc w:val="center"/>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20"/>
                <w:szCs w:val="20"/>
                <w:color w:val="auto"/>
                <w:w w:val="72"/>
                <w:vertAlign w:val="subscript"/>
              </w:rPr>
              <w:t>EXERCISABLE/</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8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9"/>
              </w:rPr>
              <w:t>NAME</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REALIZED</w:t>
            </w:r>
          </w:p>
        </w:tc>
        <w:tc>
          <w:tcPr>
            <w:tcW w:w="1780" w:type="dxa"/>
            <w:vAlign w:val="bottom"/>
            <w:gridSpan w:val="2"/>
            <w:vMerge w:val="continue"/>
          </w:tcPr>
          <w:p>
            <w:pPr>
              <w:spacing w:after="0"/>
              <w:rPr>
                <w:sz w:val="14"/>
                <w:szCs w:val="14"/>
                <w:color w:val="auto"/>
              </w:rPr>
            </w:pP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EXERCISABLE/</w:t>
            </w:r>
          </w:p>
        </w:tc>
        <w:tc>
          <w:tcPr>
            <w:tcW w:w="0" w:type="dxa"/>
            <w:vAlign w:val="bottom"/>
          </w:tcPr>
          <w:p>
            <w:pPr>
              <w:spacing w:after="0"/>
              <w:rPr>
                <w:sz w:val="1"/>
                <w:szCs w:val="1"/>
                <w:color w:val="auto"/>
              </w:rPr>
            </w:pPr>
          </w:p>
        </w:tc>
      </w:tr>
      <w:tr>
        <w:trPr>
          <w:trHeight w:val="168"/>
        </w:trPr>
        <w:tc>
          <w:tcPr>
            <w:tcW w:w="3080" w:type="dxa"/>
            <w:vAlign w:val="bottom"/>
            <w:vMerge w:val="continue"/>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UNEXERCISABLE</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UNEXERCISABLE</w:t>
            </w:r>
          </w:p>
        </w:tc>
        <w:tc>
          <w:tcPr>
            <w:tcW w:w="0" w:type="dxa"/>
            <w:vAlign w:val="bottom"/>
          </w:tcPr>
          <w:p>
            <w:pPr>
              <w:spacing w:after="0"/>
              <w:rPr>
                <w:sz w:val="1"/>
                <w:szCs w:val="1"/>
                <w:color w:val="auto"/>
              </w:rPr>
            </w:pPr>
          </w:p>
        </w:tc>
      </w:tr>
      <w:tr>
        <w:trPr>
          <w:trHeight w:val="245"/>
        </w:trPr>
        <w:tc>
          <w:tcPr>
            <w:tcW w:w="30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Jerald G. Fishman.................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31,166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905,951</w:t>
            </w:r>
          </w:p>
        </w:tc>
        <w:tc>
          <w:tcPr>
            <w:tcW w:w="17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22,014/1,680,000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365,102/11,675,400</w:t>
            </w:r>
          </w:p>
        </w:tc>
        <w:tc>
          <w:tcPr>
            <w:tcW w:w="0" w:type="dxa"/>
            <w:vAlign w:val="bottom"/>
          </w:tcPr>
          <w:p>
            <w:pPr>
              <w:spacing w:after="0"/>
              <w:rPr>
                <w:sz w:val="1"/>
                <w:szCs w:val="1"/>
                <w:color w:val="auto"/>
              </w:rPr>
            </w:pPr>
          </w:p>
        </w:tc>
      </w:tr>
      <w:tr>
        <w:trPr>
          <w:trHeight w:val="168"/>
        </w:trPr>
        <w:tc>
          <w:tcPr>
            <w:tcW w:w="30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Ray Stata.........................</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2,816,900</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90,000/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920,000</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866,250/ 7,225,400</w:t>
            </w:r>
          </w:p>
        </w:tc>
        <w:tc>
          <w:tcPr>
            <w:tcW w:w="0" w:type="dxa"/>
            <w:vAlign w:val="bottom"/>
          </w:tcPr>
          <w:p>
            <w:pPr>
              <w:spacing w:after="0"/>
              <w:rPr>
                <w:sz w:val="1"/>
                <w:szCs w:val="1"/>
                <w:color w:val="auto"/>
              </w:rPr>
            </w:pPr>
          </w:p>
        </w:tc>
      </w:tr>
      <w:tr>
        <w:trPr>
          <w:trHeight w:val="168"/>
        </w:trPr>
        <w:tc>
          <w:tcPr>
            <w:tcW w:w="30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Brian P. McAloon..................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571,250</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31,002/</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222,000</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388,318/ 1,560,900</w:t>
            </w:r>
          </w:p>
        </w:tc>
        <w:tc>
          <w:tcPr>
            <w:tcW w:w="0" w:type="dxa"/>
            <w:vAlign w:val="bottom"/>
          </w:tcPr>
          <w:p>
            <w:pPr>
              <w:spacing w:after="0"/>
              <w:rPr>
                <w:sz w:val="1"/>
                <w:szCs w:val="1"/>
                <w:color w:val="auto"/>
              </w:rPr>
            </w:pPr>
          </w:p>
        </w:tc>
      </w:tr>
      <w:tr>
        <w:trPr>
          <w:trHeight w:val="168"/>
        </w:trPr>
        <w:tc>
          <w:tcPr>
            <w:tcW w:w="30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Joseph E. McDonough...............</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964,500</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207,000</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1,400,475</w:t>
            </w:r>
          </w:p>
        </w:tc>
        <w:tc>
          <w:tcPr>
            <w:tcW w:w="0" w:type="dxa"/>
            <w:vAlign w:val="bottom"/>
          </w:tcPr>
          <w:p>
            <w:pPr>
              <w:spacing w:after="0"/>
              <w:rPr>
                <w:sz w:val="1"/>
                <w:szCs w:val="1"/>
                <w:color w:val="auto"/>
              </w:rPr>
            </w:pPr>
          </w:p>
        </w:tc>
      </w:tr>
      <w:tr>
        <w:trPr>
          <w:trHeight w:val="245"/>
        </w:trPr>
        <w:tc>
          <w:tcPr>
            <w:tcW w:w="30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Russell K. Johnsen................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167,650</w:t>
            </w:r>
          </w:p>
        </w:tc>
        <w:tc>
          <w:tcPr>
            <w:tcW w:w="9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42,500/</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192,000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456,313/ 1,324,500</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jc w:val="both"/>
        <w:ind w:left="360" w:right="3679" w:hanging="350"/>
        <w:spacing w:after="0" w:line="290"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represents the difference between the closing price of the Common Stock on the date of exercise and the exercise price, multiplied by the number of shares acquired on exercise.</w:t>
      </w:r>
    </w:p>
    <w:p>
      <w:pPr>
        <w:spacing w:after="0" w:line="56" w:lineRule="exact"/>
        <w:rPr>
          <w:rFonts w:ascii="Courier New" w:cs="Courier New" w:eastAsia="Courier New" w:hAnsi="Courier New"/>
          <w:sz w:val="15"/>
          <w:szCs w:val="15"/>
          <w:color w:val="auto"/>
        </w:rPr>
      </w:pPr>
    </w:p>
    <w:p>
      <w:pPr>
        <w:ind w:left="360" w:right="3319" w:hanging="350"/>
        <w:spacing w:after="0" w:line="273"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represents the difference between the closing price of the Company's Common Stock on the last business day of fiscal 1998 and the exercise price of the option, multiplied by the number of shares subject to the option.</w:t>
      </w:r>
    </w:p>
    <w:p>
      <w:pPr>
        <w:spacing w:after="0" w:line="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REPRICING OF OPTIONS</w:t>
      </w:r>
    </w:p>
    <w:p>
      <w:pPr>
        <w:spacing w:after="0" w:line="166"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The following table sets forth certain information concerning the repricing of stock options held by the Named Executive Officers:</w:t>
      </w:r>
    </w:p>
    <w:p>
      <w:pPr>
        <w:spacing w:after="0" w:line="1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TEN-YEAR OPTION/SAR REPRICINGS</w:t>
      </w:r>
    </w:p>
    <w:p>
      <w:pPr>
        <w:spacing w:after="0" w:line="200" w:lineRule="exact"/>
        <w:rPr>
          <w:sz w:val="20"/>
          <w:szCs w:val="20"/>
          <w:color w:val="auto"/>
        </w:rPr>
      </w:pP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MARKET</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LENGTH OF</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NUMBER OF</w:t>
            </w:r>
          </w:p>
        </w:tc>
        <w:tc>
          <w:tcPr>
            <w:tcW w:w="1320" w:type="dxa"/>
            <w:vAlign w:val="bottom"/>
            <w:vMerge w:val="continue"/>
          </w:tcPr>
          <w:p>
            <w:pPr>
              <w:spacing w:after="0"/>
              <w:rPr>
                <w:sz w:val="14"/>
                <w:szCs w:val="14"/>
                <w:color w:val="auto"/>
              </w:rPr>
            </w:pPr>
          </w:p>
        </w:tc>
        <w:tc>
          <w:tcPr>
            <w:tcW w:w="13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EXERCISE</w:t>
            </w:r>
          </w:p>
        </w:tc>
        <w:tc>
          <w:tcPr>
            <w:tcW w:w="960" w:type="dxa"/>
            <w:vAlign w:val="bottom"/>
          </w:tcPr>
          <w:p>
            <w:pPr>
              <w:spacing w:after="0"/>
              <w:rPr>
                <w:sz w:val="14"/>
                <w:szCs w:val="14"/>
                <w:color w:val="auto"/>
              </w:rPr>
            </w:pPr>
          </w:p>
        </w:tc>
        <w:tc>
          <w:tcPr>
            <w:tcW w:w="12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ORIGINAL</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PRICE OF</w:t>
            </w: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OPTION TERM</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SECURITIES</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STOCK AT</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PRICE AT</w:t>
            </w:r>
          </w:p>
        </w:tc>
        <w:tc>
          <w:tcPr>
            <w:tcW w:w="9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NEW</w:t>
            </w:r>
          </w:p>
        </w:tc>
        <w:tc>
          <w:tcPr>
            <w:tcW w:w="12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REMAINING AT</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UNDERLYING</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TIME OF</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TIME OF</w:t>
            </w:r>
          </w:p>
        </w:tc>
        <w:tc>
          <w:tcPr>
            <w:tcW w:w="960" w:type="dxa"/>
            <w:vAlign w:val="bottom"/>
            <w:vMerge w:val="continue"/>
          </w:tcPr>
          <w:p>
            <w:pPr>
              <w:spacing w:after="0"/>
              <w:rPr>
                <w:sz w:val="14"/>
                <w:szCs w:val="14"/>
                <w:color w:val="auto"/>
              </w:rPr>
            </w:pPr>
          </w:p>
        </w:tc>
        <w:tc>
          <w:tcPr>
            <w:tcW w:w="12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DATE OF</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OPTIONS/SARS</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REPRICING OR</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REPRICING OR</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EXERCISE</w:t>
            </w:r>
          </w:p>
        </w:tc>
        <w:tc>
          <w:tcPr>
            <w:tcW w:w="12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REPRICING OR</w:t>
            </w:r>
          </w:p>
        </w:tc>
        <w:tc>
          <w:tcPr>
            <w:tcW w:w="0" w:type="dxa"/>
            <w:vAlign w:val="bottom"/>
          </w:tcPr>
          <w:p>
            <w:pPr>
              <w:spacing w:after="0"/>
              <w:rPr>
                <w:sz w:val="1"/>
                <w:szCs w:val="1"/>
                <w:color w:val="auto"/>
              </w:rPr>
            </w:pPr>
          </w:p>
        </w:tc>
      </w:tr>
      <w:tr>
        <w:trPr>
          <w:trHeight w:val="168"/>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26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DATE</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REPRICED OR</w:t>
            </w:r>
          </w:p>
        </w:tc>
        <w:tc>
          <w:tcPr>
            <w:tcW w:w="13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AMENDMENT</w:t>
            </w:r>
          </w:p>
        </w:tc>
        <w:tc>
          <w:tcPr>
            <w:tcW w:w="13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AMENDMENT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PRICE</w:t>
            </w:r>
          </w:p>
        </w:tc>
        <w:tc>
          <w:tcPr>
            <w:tcW w:w="12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0" w:type="dxa"/>
            <w:vAlign w:val="bottom"/>
          </w:tcPr>
          <w:p>
            <w:pPr>
              <w:spacing w:after="0"/>
              <w:rPr>
                <w:sz w:val="1"/>
                <w:szCs w:val="1"/>
                <w:color w:val="auto"/>
              </w:rPr>
            </w:pPr>
          </w:p>
        </w:tc>
      </w:tr>
      <w:tr>
        <w:trPr>
          <w:trHeight w:val="194"/>
        </w:trPr>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AMENDED(#)</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(IN MONTHS)</w:t>
            </w:r>
          </w:p>
        </w:tc>
        <w:tc>
          <w:tcPr>
            <w:tcW w:w="0" w:type="dxa"/>
            <w:vAlign w:val="bottom"/>
          </w:tcPr>
          <w:p>
            <w:pPr>
              <w:spacing w:after="0"/>
              <w:rPr>
                <w:sz w:val="1"/>
                <w:szCs w:val="1"/>
                <w:color w:val="auto"/>
              </w:rPr>
            </w:pPr>
          </w:p>
        </w:tc>
      </w:tr>
    </w:tbl>
    <w:p>
      <w:pPr>
        <w:ind w:left="2900" w:hanging="1753"/>
        <w:spacing w:after="0"/>
        <w:tabs>
          <w:tab w:leader="none" w:pos="29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Jerald</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G. Fishman..............</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300,000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24.06</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68"/>
        </w:trPr>
        <w:tc>
          <w:tcPr>
            <w:tcW w:w="2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270,000</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245"/>
        </w:trPr>
        <w:tc>
          <w:tcPr>
            <w:tcW w:w="2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9"/>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Ray Stata......................</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100,000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24.06</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245"/>
        </w:trPr>
        <w:tc>
          <w:tcPr>
            <w:tcW w:w="2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100,000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259"/>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Brian P. McAloon...............</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35,000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24.06</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245"/>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Vice</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President, Sales</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27,000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259"/>
        </w:trPr>
        <w:tc>
          <w:tcPr>
            <w:tcW w:w="580" w:type="dxa"/>
            <w:vAlign w:val="bottom"/>
          </w:tcPr>
          <w:p>
            <w:pPr>
              <w:spacing w:after="0"/>
              <w:rPr>
                <w:sz w:val="20"/>
                <w:szCs w:val="20"/>
                <w:color w:val="auto"/>
              </w:rPr>
            </w:pPr>
            <w:r>
              <w:rPr>
                <w:rFonts w:ascii="Courier New" w:cs="Courier New" w:eastAsia="Courier New" w:hAnsi="Courier New"/>
                <w:sz w:val="15"/>
                <w:szCs w:val="15"/>
                <w:color w:val="auto"/>
              </w:rPr>
              <w:t>Joseph</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E. McDonough............</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35,000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24.06</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68"/>
        </w:trPr>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Finance and</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27,000</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245"/>
        </w:trPr>
        <w:tc>
          <w:tcPr>
            <w:tcW w:w="2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Chief Financial Officer</w:t>
            </w: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9"/>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Russell K. Johnsen.............</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35,000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24.06</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94"/>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Vice</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President and General</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27,000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bl>
    <w:p>
      <w:pPr>
        <w:ind w:left="180"/>
        <w:spacing w:after="0" w:line="237" w:lineRule="auto"/>
        <w:rPr>
          <w:sz w:val="20"/>
          <w:szCs w:val="20"/>
          <w:color w:val="auto"/>
        </w:rPr>
      </w:pPr>
      <w:r>
        <w:rPr>
          <w:rFonts w:ascii="Courier New" w:cs="Courier New" w:eastAsia="Courier New" w:hAnsi="Courier New"/>
          <w:sz w:val="15"/>
          <w:szCs w:val="15"/>
          <w:color w:val="auto"/>
        </w:rPr>
        <w:t>Manager, Communications</w:t>
      </w:r>
    </w:p>
    <w:p>
      <w:pPr>
        <w:ind w:left="180"/>
        <w:spacing w:after="0"/>
        <w:rPr>
          <w:sz w:val="20"/>
          <w:szCs w:val="20"/>
          <w:color w:val="auto"/>
        </w:rPr>
      </w:pPr>
      <w:r>
        <w:rPr>
          <w:rFonts w:ascii="Courier New" w:cs="Courier New" w:eastAsia="Courier New" w:hAnsi="Courier New"/>
          <w:sz w:val="15"/>
          <w:szCs w:val="15"/>
          <w:color w:val="auto"/>
        </w:rPr>
        <w:t>Division</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DIRECTORS ON REPRICING OF STOCK OPTIONS</w:t>
      </w:r>
    </w:p>
    <w:p>
      <w:pPr>
        <w:spacing w:after="0" w:line="166"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The only repricing of stock options by the Company during the past 10 fiscal years occurred on September 8, 1998, when the Board of Directors of the Company authorized the following:</w:t>
      </w:r>
    </w:p>
    <w:p>
      <w:pPr>
        <w:spacing w:after="0" w:line="57" w:lineRule="exact"/>
        <w:rPr>
          <w:sz w:val="20"/>
          <w:szCs w:val="20"/>
          <w:color w:val="auto"/>
        </w:rPr>
      </w:pPr>
    </w:p>
    <w:p>
      <w:pPr>
        <w:ind w:left="620" w:right="3239" w:hanging="173"/>
        <w:spacing w:after="0" w:line="255"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agreed to reprice all stock options granted to employees during the period beginning December 1, 1996 and ending August 3, 1998 (the "Affected Options"), at such employees' election, by reducing the stock option exercise price to $14.75, the closing price of the Company's Common Stock on the New York Stock Exchange on September 8, 1998. The original stock option exercise prices of the Affected Options ranged from $22.25 to $34.25 per share.</w:t>
      </w:r>
    </w:p>
    <w:p>
      <w:pPr>
        <w:spacing w:after="0" w:line="81" w:lineRule="exact"/>
        <w:rPr>
          <w:rFonts w:ascii="Courier New" w:cs="Courier New" w:eastAsia="Courier New" w:hAnsi="Courier New"/>
          <w:sz w:val="15"/>
          <w:szCs w:val="15"/>
          <w:color w:val="auto"/>
        </w:rPr>
      </w:pPr>
    </w:p>
    <w:p>
      <w:pPr>
        <w:ind w:left="620" w:right="3239" w:hanging="173"/>
        <w:spacing w:after="0" w:line="290"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vesting schedule for the Affected Options was reset so that one-third of the shares subject to the Affected Options would vest on each of September 8, 2001, September 8, 2002 and September 8, 2003.</w:t>
      </w:r>
    </w:p>
    <w:p>
      <w:pPr>
        <w:spacing w:after="0" w:line="56" w:lineRule="exact"/>
        <w:rPr>
          <w:rFonts w:ascii="Courier New" w:cs="Courier New" w:eastAsia="Courier New" w:hAnsi="Courier New"/>
          <w:sz w:val="15"/>
          <w:szCs w:val="15"/>
          <w:color w:val="auto"/>
        </w:rPr>
      </w:pPr>
    </w:p>
    <w:p>
      <w:pPr>
        <w:ind w:left="620" w:right="3399" w:hanging="173"/>
        <w:spacing w:after="0" w:line="320"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Affected Options continued to entitle the holders to purchase the same number of shares covered by the original option grant and remained exercisable for a period of 10 years from the original grant date.</w:t>
      </w:r>
    </w:p>
    <w:p>
      <w:pPr>
        <w:spacing w:after="0" w:line="38"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Upon the recommendation of the Compensation Committee, the Board of Directors authorized the repricing at its meeting held on September 8, 1998. The Board of Directors determined that the repricing was necessary to continue to retain and motivate its employees. During the fall of 1998, the financial markets experienced widespread volatility, and as a result the potential value of stock options previously granted to the</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Company's employees and the economic incentives expected from the grant of stock options were significantly diminished.</w:t>
      </w:r>
    </w:p>
    <w:p>
      <w:pPr>
        <w:spacing w:after="0" w:line="17"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Historically, the Company's stock options have embodied a long-term focus. Options therefore have generally not been exercisable until the third year after the grant date and then only in one-third increments after the third, fourth and fifth years following the grant date. Although the Company has viewed stock options as a long-term investment, the substantial drop in the value of the Company's Common Stock during the fall created a significant risk, in the opinion of Management and the Board of Directors, that key employees would seek employment at other high technology companies, including competitors, whose stock prices had also declined, and thereby benefit from the grant of stock options by their new employers at the then attractive lower price of their stock. Accordingly, the Board of Directors determined that it was in the best interests of the Company and its stockholders and employees to reduce the stock option price for all outstanding stock options, while at the same time restarting the vesting period for all repriced options so that none of the repriced options can be exercised until the third year after the repricing date.</w:t>
      </w:r>
    </w:p>
    <w:p>
      <w:pPr>
        <w:spacing w:after="0" w:line="8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Compensation Committee,</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Charles O. Holliday, Jr., Chairman</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F. Grant Saviers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AND OTHER AGREEMENTS</w:t>
      </w:r>
    </w:p>
    <w:p>
      <w:pPr>
        <w:spacing w:after="0" w:line="166" w:lineRule="exact"/>
        <w:rPr>
          <w:sz w:val="20"/>
          <w:szCs w:val="20"/>
          <w:color w:val="auto"/>
        </w:rPr>
      </w:pPr>
    </w:p>
    <w:p>
      <w:pPr>
        <w:ind w:right="3319" w:firstLine="437"/>
        <w:spacing w:after="0" w:line="262" w:lineRule="auto"/>
        <w:rPr>
          <w:sz w:val="20"/>
          <w:szCs w:val="20"/>
          <w:color w:val="auto"/>
        </w:rPr>
      </w:pPr>
      <w:r>
        <w:rPr>
          <w:rFonts w:ascii="Courier New" w:cs="Courier New" w:eastAsia="Courier New" w:hAnsi="Courier New"/>
          <w:sz w:val="14"/>
          <w:szCs w:val="14"/>
          <w:color w:val="auto"/>
        </w:rPr>
        <w:t>The Company has Employee Retention Agreements (the "Agreements") with each of its 12 current executive officers and with 22 additional key managers. The Retention Agreements are automatically extended on an annual basis unless the Company provides at least three months' notice that an agreement will not be extended. The Retention Agreements provide for severance benefits if either (i) the employment of the employee is terminated by the Company (other than for cause or by reason of his death or disability) or by the employee for Good Reason (as defined in the Retention Agreements) within 24 months after a Change in Control (as defined in the Retention Agreements) which is approved by the Board of Directors; or (ii) the employment of the employee terminates or is terminated for any reason (other than for cause or by reason of his death or disability) within 12 months after a Change in Control which is not approved by the Board of Directors. Each Retention Agreement provides that, in the event of a Potential Change in Control (as defined in the Retention Agreements), the employee shall not voluntarily resign as an employee, subject to certain conditions, for at least six months after the occurrence of such Potential Change in Control.</w:t>
      </w:r>
    </w:p>
    <w:p>
      <w:pPr>
        <w:spacing w:after="0" w:line="257"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The Retention Agreements provide for the following severance benefits: (i) a lump-sum payment equal to 200% of the sum of the employee's annual base salary plus the aggregate cash bonuses paid or awarded to him in respect of the four fiscal quarters preceding his termination (299% in the case of 11 of the 34 employees who are parties to such agreements, including Messrs. Stata, Fishman, McAloon, McDonough and Johnsen); and (ii) the continuation of life, disability, dental, accident and group health insurance benefits for a period of 24 months. In addition, to the extent that payments to the employee pursuant to his Retention Agreement (together with any other payments or benefits, such as the accelerated vesting of stock options or restricted stock awards, received by the employee in connection with a Change in Control) would result in the triggering of the provisions of Sections 280G and 4999 of the Internal Revenue Code of 1986, as amended (the "Code"), the Retention Agreement provides for the payment of an additional amount such that the employee receives, net of excise taxes, the amount he would have been entitled to receive in the absence of the excise tax provided in Section 4999 of the Code.</w:t>
      </w:r>
    </w:p>
    <w:p>
      <w:pPr>
        <w:spacing w:after="0" w:line="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6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right="3239" w:firstLine="437"/>
        <w:spacing w:after="0" w:line="267" w:lineRule="auto"/>
        <w:rPr>
          <w:sz w:val="20"/>
          <w:szCs w:val="20"/>
          <w:color w:val="auto"/>
        </w:rPr>
      </w:pPr>
      <w:r>
        <w:rPr>
          <w:rFonts w:ascii="Courier New" w:cs="Courier New" w:eastAsia="Courier New" w:hAnsi="Courier New"/>
          <w:sz w:val="14"/>
          <w:szCs w:val="14"/>
          <w:color w:val="auto"/>
        </w:rPr>
        <w:t>The Company's Employee Change in Control Severance Policy and Senior Management Change in Control Severance Policy provide each employee of the Company (other than those who are party to Retention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five years of service) to a maximum of 104 weeks of base salary plus an amount equal to the aggregate cash bonuses paid or awarded to the employee in respect of the four fiscal quarters preceding termination (for a senior management employee with at least 21 years of service).</w:t>
      </w:r>
    </w:p>
    <w:p>
      <w:pPr>
        <w:spacing w:after="0" w:line="78"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In addition to the foregoing agreements and policies, certain of the Company's stock option and restricted stock awards provide for immediate vesting of some or all outstanding awards upon any "Change in Control" (as defined in such plans) of the Company.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1998 as they affected each of the executive officers.</w:t>
      </w:r>
    </w:p>
    <w:p>
      <w:pPr>
        <w:spacing w:after="0" w:line="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Philosophy</w:t>
      </w:r>
    </w:p>
    <w:p>
      <w:pPr>
        <w:spacing w:after="0" w:line="166"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promote longer-term focus, to help retain key contributors and to more closely align their interests with those of stockholders.</w:t>
      </w:r>
    </w:p>
    <w:p>
      <w:pPr>
        <w:spacing w:after="0" w:line="7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In executing its compensation policy, the Company seeks to relate compensation with the Company's financial performance and business objectives, reward high levels of individual performance and tie a significant portion of total executive compensation to both the annual and long-term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pacing w:after="0" w:line="8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Compensation Program</w:t>
      </w:r>
    </w:p>
    <w:p>
      <w:pPr>
        <w:spacing w:after="0" w:line="166" w:lineRule="exact"/>
        <w:rPr>
          <w:sz w:val="20"/>
          <w:szCs w:val="20"/>
          <w:color w:val="auto"/>
        </w:rPr>
      </w:pPr>
    </w:p>
    <w:p>
      <w:pPr>
        <w:ind w:right="3679" w:firstLine="437"/>
        <w:spacing w:after="0" w:line="290" w:lineRule="auto"/>
        <w:rPr>
          <w:sz w:val="20"/>
          <w:szCs w:val="20"/>
          <w:color w:val="auto"/>
        </w:rPr>
      </w:pPr>
      <w:r>
        <w:rPr>
          <w:rFonts w:ascii="Courier New" w:cs="Courier New" w:eastAsia="Courier New" w:hAnsi="Courier New"/>
          <w:sz w:val="15"/>
          <w:szCs w:val="15"/>
          <w:color w:val="auto"/>
        </w:rPr>
        <w:t>Annual compensation for the Company's executives consists of three principal elements: base salary, cash bonus and equity in the form of stock options and restricted stock awards.</w:t>
      </w:r>
    </w:p>
    <w:p>
      <w:pPr>
        <w:spacing w:after="0" w:line="57" w:lineRule="exact"/>
        <w:rPr>
          <w:sz w:val="20"/>
          <w:szCs w:val="20"/>
          <w:color w:val="auto"/>
        </w:rPr>
      </w:pPr>
    </w:p>
    <w:p>
      <w:pPr>
        <w:ind w:left="700" w:hanging="253"/>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COMPENSATION</w:t>
      </w:r>
    </w:p>
    <w:p>
      <w:pPr>
        <w:spacing w:after="0" w:line="166" w:lineRule="exact"/>
        <w:rPr>
          <w:sz w:val="20"/>
          <w:szCs w:val="20"/>
          <w:color w:val="auto"/>
        </w:rPr>
      </w:pPr>
    </w:p>
    <w:p>
      <w:pPr>
        <w:ind w:left="440" w:right="3319" w:firstLine="437"/>
        <w:spacing w:after="0" w:line="298" w:lineRule="auto"/>
        <w:rPr>
          <w:sz w:val="20"/>
          <w:szCs w:val="20"/>
          <w:color w:val="auto"/>
        </w:rPr>
      </w:pPr>
      <w:r>
        <w:rPr>
          <w:rFonts w:ascii="Courier New" w:cs="Courier New" w:eastAsia="Courier New" w:hAnsi="Courier New"/>
          <w:sz w:val="14"/>
          <w:szCs w:val="14"/>
          <w:color w:val="auto"/>
        </w:rPr>
        <w:t>Annual cash compensation consists of two elements: base salary and bonus. In setting the annual cash compensation for Company executives, the Compensation Committee reviews compensation for comparable positions in a group of approximately 20 companies selected by the Committee for</w:t>
      </w:r>
    </w:p>
    <w:p>
      <w:pPr>
        <w:spacing w:after="0" w:line="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6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left="160" w:right="3239"/>
        <w:spacing w:after="0" w:line="273" w:lineRule="auto"/>
        <w:rPr>
          <w:sz w:val="20"/>
          <w:szCs w:val="20"/>
          <w:color w:val="auto"/>
        </w:rPr>
      </w:pPr>
      <w:r>
        <w:rPr>
          <w:rFonts w:ascii="Courier New" w:cs="Courier New" w:eastAsia="Courier New" w:hAnsi="Courier New"/>
          <w:sz w:val="15"/>
          <w:szCs w:val="15"/>
          <w:color w:val="auto"/>
        </w:rPr>
        <w:t>comparison 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68" w:lineRule="exact"/>
        <w:rPr>
          <w:sz w:val="20"/>
          <w:szCs w:val="20"/>
          <w:color w:val="auto"/>
        </w:rPr>
      </w:pPr>
    </w:p>
    <w:p>
      <w:pPr>
        <w:ind w:left="160" w:right="3239" w:firstLine="437"/>
        <w:spacing w:after="0" w:line="258" w:lineRule="auto"/>
        <w:rPr>
          <w:sz w:val="20"/>
          <w:szCs w:val="20"/>
          <w:color w:val="auto"/>
        </w:rPr>
      </w:pPr>
      <w:r>
        <w:rPr>
          <w:rFonts w:ascii="Courier New" w:cs="Courier New" w:eastAsia="Courier New" w:hAnsi="Courier New"/>
          <w:sz w:val="15"/>
          <w:szCs w:val="15"/>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81" w:lineRule="exact"/>
        <w:rPr>
          <w:sz w:val="20"/>
          <w:szCs w:val="20"/>
          <w:color w:val="auto"/>
        </w:rPr>
      </w:pPr>
    </w:p>
    <w:p>
      <w:pPr>
        <w:ind w:left="160" w:right="3319" w:firstLine="437"/>
        <w:spacing w:after="0" w:line="280" w:lineRule="auto"/>
        <w:rPr>
          <w:sz w:val="20"/>
          <w:szCs w:val="20"/>
          <w:color w:val="auto"/>
        </w:rPr>
      </w:pPr>
      <w:r>
        <w:rPr>
          <w:rFonts w:ascii="Courier New" w:cs="Courier New" w:eastAsia="Courier New" w:hAnsi="Courier New"/>
          <w:sz w:val="14"/>
          <w:szCs w:val="14"/>
          <w:color w:val="auto"/>
        </w:rPr>
        <w:t>The cash bonus is tied directly to the attainment of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w:t>
      </w:r>
    </w:p>
    <w:p>
      <w:pPr>
        <w:spacing w:after="0" w:line="67" w:lineRule="exact"/>
        <w:rPr>
          <w:sz w:val="20"/>
          <w:szCs w:val="20"/>
          <w:color w:val="auto"/>
        </w:rPr>
      </w:pPr>
    </w:p>
    <w:p>
      <w:pPr>
        <w:ind w:left="160" w:right="3239" w:firstLine="437"/>
        <w:spacing w:after="0" w:line="265" w:lineRule="auto"/>
        <w:rPr>
          <w:sz w:val="20"/>
          <w:szCs w:val="20"/>
          <w:color w:val="auto"/>
        </w:rPr>
      </w:pPr>
      <w:r>
        <w:rPr>
          <w:rFonts w:ascii="Courier New" w:cs="Courier New" w:eastAsia="Courier New" w:hAnsi="Courier New"/>
          <w:sz w:val="14"/>
          <w:szCs w:val="14"/>
          <w:color w:val="auto"/>
        </w:rPr>
        <w:t>All of the Company's employees, including its executive officers, participated in the Company's bonus plan (the "Bonus Plan") in fiscal 1998, except those employees on commission plans or in some non-U.S. locations. The purpose of the Bonus Plan is to recognize and reward the contribution of all employees in achieving the Company's goals and objectives. In fiscal 1998, the Bonus Plan provided for the payment of a semi-annual cash bonus based on the average of the Company's revenue growth over the same period in the prior year and the Company's Operating Profit Before Taxes ("OPBT") as a percentage of sales. Each employee, including executives, is assigned a Bonus Target, calculated as a percentage of such employee's base salary, determined by comparing competitive data by position. Depending on revenue growth and OPBT levels achieved, the cash bonus is paid as a multiple of the Bonus Target, ranging from zero to a maximum of 2.5.</w:t>
      </w:r>
    </w:p>
    <w:p>
      <w:pPr>
        <w:spacing w:after="0" w:line="78" w:lineRule="exact"/>
        <w:rPr>
          <w:sz w:val="20"/>
          <w:szCs w:val="20"/>
          <w:color w:val="auto"/>
        </w:rPr>
      </w:pPr>
    </w:p>
    <w:p>
      <w:pPr>
        <w:ind w:left="420" w:hanging="253"/>
        <w:spacing w:after="0"/>
        <w:tabs>
          <w:tab w:leader="none" w:pos="4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OWNERSHIP</w:t>
      </w:r>
    </w:p>
    <w:p>
      <w:pPr>
        <w:spacing w:after="0" w:line="166" w:lineRule="exact"/>
        <w:rPr>
          <w:sz w:val="20"/>
          <w:szCs w:val="20"/>
          <w:color w:val="auto"/>
        </w:rPr>
      </w:pPr>
    </w:p>
    <w:p>
      <w:pPr>
        <w:ind w:left="160" w:right="3239" w:firstLine="437"/>
        <w:spacing w:after="0" w:line="255" w:lineRule="auto"/>
        <w:rPr>
          <w:sz w:val="20"/>
          <w:szCs w:val="20"/>
          <w:color w:val="auto"/>
        </w:rPr>
      </w:pPr>
      <w:r>
        <w:rPr>
          <w:rFonts w:ascii="Courier New" w:cs="Courier New" w:eastAsia="Courier New" w:hAnsi="Courier New"/>
          <w:sz w:val="15"/>
          <w:szCs w:val="15"/>
          <w:color w:val="auto"/>
        </w:rPr>
        <w:t>Total compensation at the executive level also includes long-term incentives afforded by stock options and restricted stock awards. The purpose of the Company's stock ownership program is to (i) reinforce the mutuality of long-term interests between employees and the stockholders; and (ii) to assist in the attraction and retention of critically important key executives, managers and individual contributors, mostly engineers, who are essential to the Company's success.</w:t>
      </w:r>
    </w:p>
    <w:p>
      <w:pPr>
        <w:spacing w:after="0" w:line="82" w:lineRule="exact"/>
        <w:rPr>
          <w:sz w:val="20"/>
          <w:szCs w:val="20"/>
          <w:color w:val="auto"/>
        </w:rPr>
      </w:pPr>
    </w:p>
    <w:p>
      <w:pPr>
        <w:ind w:left="160" w:right="3239" w:firstLine="437"/>
        <w:spacing w:after="0" w:line="269" w:lineRule="auto"/>
        <w:rPr>
          <w:sz w:val="20"/>
          <w:szCs w:val="20"/>
          <w:color w:val="auto"/>
        </w:rPr>
      </w:pPr>
      <w:r>
        <w:rPr>
          <w:rFonts w:ascii="Courier New" w:cs="Courier New" w:eastAsia="Courier New" w:hAnsi="Courier New"/>
          <w:sz w:val="14"/>
          <w:szCs w:val="14"/>
          <w:color w:val="auto"/>
        </w:rPr>
        <w:t>The design of the Company's stock programs includes longer vesting periods to optimize the retention value of these options and to orient the Company's managers to longer-term success. Generally, stock options vest in three equal installments on a cumulative basis on the third, fourth and fifth anniversaries of the date of grant. Restricted stock awards vest 100% after five years. Generally,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w:t>
      </w:r>
    </w:p>
    <w:p>
      <w:pPr>
        <w:spacing w:after="0" w:line="73" w:lineRule="exact"/>
        <w:rPr>
          <w:sz w:val="20"/>
          <w:szCs w:val="20"/>
          <w:color w:val="auto"/>
        </w:rPr>
      </w:pPr>
    </w:p>
    <w:p>
      <w:pPr>
        <w:ind w:left="160" w:right="3239" w:firstLine="437"/>
        <w:spacing w:after="0" w:line="247" w:lineRule="auto"/>
        <w:rPr>
          <w:sz w:val="20"/>
          <w:szCs w:val="20"/>
          <w:color w:val="auto"/>
        </w:rPr>
      </w:pPr>
      <w:r>
        <w:rPr>
          <w:rFonts w:ascii="Courier New" w:cs="Courier New" w:eastAsia="Courier New" w:hAnsi="Courier New"/>
          <w:sz w:val="15"/>
          <w:szCs w:val="15"/>
          <w:color w:val="auto"/>
        </w:rPr>
        <w:t>The size of stock option awards is generally intended to reflect the significance of the executive's current and anticipated contributions to the Company. The exercise price of options granted by the Company is set at 100% of the fair market value per share on the date of grant. Prior to determining the fiscal 1998 option grants to the Company's executives (as described below), the Compensation Committee reviewed survey information of the stock option programs of competitors and other companies with comparable capitalizations. The value realizable from exercisable options is dependent upon the extent to which the Company's performance is reflected in the price of the Company's Common Stock at any particular point in time. However, the decision as to whether such value will be realized</w:t>
      </w:r>
    </w:p>
    <w:p>
      <w:pPr>
        <w:spacing w:after="0" w:line="8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6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440" w:right="3499"/>
        <w:spacing w:after="0" w:line="290" w:lineRule="auto"/>
        <w:rPr>
          <w:sz w:val="20"/>
          <w:szCs w:val="20"/>
          <w:color w:val="auto"/>
        </w:rPr>
      </w:pPr>
      <w:r>
        <w:rPr>
          <w:rFonts w:ascii="Courier New" w:cs="Courier New" w:eastAsia="Courier New" w:hAnsi="Courier New"/>
          <w:sz w:val="15"/>
          <w:szCs w:val="15"/>
          <w:color w:val="auto"/>
        </w:rPr>
        <w:t>through the exercise of an option in any particular year is primarily determined by each individual within the limits of the vesting schedule, and not by the Compensation Committee.</w:t>
      </w:r>
    </w:p>
    <w:p>
      <w:pPr>
        <w:spacing w:after="0" w:line="57" w:lineRule="exact"/>
        <w:rPr>
          <w:sz w:val="20"/>
          <w:szCs w:val="20"/>
          <w:color w:val="auto"/>
        </w:rPr>
      </w:pPr>
    </w:p>
    <w:p>
      <w:pPr>
        <w:ind w:left="440" w:right="3239" w:firstLine="437"/>
        <w:spacing w:after="0" w:line="247" w:lineRule="auto"/>
        <w:rPr>
          <w:sz w:val="20"/>
          <w:szCs w:val="20"/>
          <w:color w:val="auto"/>
        </w:rPr>
      </w:pPr>
      <w:r>
        <w:rPr>
          <w:rFonts w:ascii="Courier New" w:cs="Courier New" w:eastAsia="Courier New" w:hAnsi="Courier New"/>
          <w:sz w:val="15"/>
          <w:szCs w:val="15"/>
          <w:color w:val="auto"/>
        </w:rPr>
        <w:t>The Company's 1991 Restricted Stock Plan provides for the award of restricted stock for a nominal, if any, purchase price. Shares awarded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must be offered promptly for resale by the recipient to the Company at the original purchase price per share. Since the restricted shares are issued at nominal consideration, the entire value of the shares will constitute additional compensation to the individual at the time of vesting.</w:t>
      </w:r>
    </w:p>
    <w:p>
      <w:pPr>
        <w:spacing w:after="0" w:line="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Executive Officer Fiscal 1998 Compensation</w:t>
      </w:r>
    </w:p>
    <w:p>
      <w:pPr>
        <w:spacing w:after="0" w:line="166" w:lineRule="exact"/>
        <w:rPr>
          <w:sz w:val="20"/>
          <w:szCs w:val="20"/>
          <w:color w:val="auto"/>
        </w:rPr>
      </w:pPr>
    </w:p>
    <w:p>
      <w:pPr>
        <w:ind w:right="3319" w:firstLine="437"/>
        <w:spacing w:after="0" w:line="280" w:lineRule="auto"/>
        <w:rPr>
          <w:sz w:val="20"/>
          <w:szCs w:val="20"/>
          <w:color w:val="auto"/>
        </w:rPr>
      </w:pPr>
      <w:r>
        <w:rPr>
          <w:rFonts w:ascii="Courier New" w:cs="Courier New" w:eastAsia="Courier New" w:hAnsi="Courier New"/>
          <w:sz w:val="14"/>
          <w:szCs w:val="14"/>
          <w:color w:val="auto"/>
        </w:rPr>
        <w:t>Mr. Fishman, in his capacity as President and Chief Executive Officer, is also eligible to participate in the same executive compensation program available to the Company's other senior executives. The Compensation Committee has set Mr. Fishman's total annual compensation, including compensation derived from the Company's bonus program and stock option program, at a level it believes to be competitive with other companies in the industry.</w:t>
      </w:r>
    </w:p>
    <w:p>
      <w:pPr>
        <w:spacing w:after="0" w:line="67" w:lineRule="exact"/>
        <w:rPr>
          <w:sz w:val="20"/>
          <w:szCs w:val="20"/>
          <w:color w:val="auto"/>
        </w:rPr>
      </w:pPr>
    </w:p>
    <w:p>
      <w:pPr>
        <w:ind w:right="3239" w:firstLine="437"/>
        <w:spacing w:after="0" w:line="280" w:lineRule="auto"/>
        <w:rPr>
          <w:sz w:val="20"/>
          <w:szCs w:val="20"/>
          <w:color w:val="auto"/>
        </w:rPr>
      </w:pPr>
      <w:r>
        <w:rPr>
          <w:rFonts w:ascii="Courier New" w:cs="Courier New" w:eastAsia="Courier New" w:hAnsi="Courier New"/>
          <w:sz w:val="14"/>
          <w:szCs w:val="14"/>
          <w:color w:val="auto"/>
        </w:rPr>
        <w:t>During fiscal 1998, Mr. Fishman's annual base salary was increased $67,200 from $672,000 to $739,200. He was awarded a fiscal 1998 bonus of $204,019 which represented approximately 43% of his Bonus Target (based on a target bonus of 65% of his base salary received during fiscal 1998), reflecting the Company's attainment of revenue growth of 12% and OPBT of 10% for the first half of fiscal 1998. No bonus was paid during the second half of fiscal 1998.</w:t>
      </w:r>
    </w:p>
    <w:p>
      <w:pPr>
        <w:spacing w:after="0" w:line="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66" w:lineRule="exact"/>
        <w:rPr>
          <w:sz w:val="20"/>
          <w:szCs w:val="20"/>
          <w:color w:val="auto"/>
        </w:rPr>
      </w:pPr>
    </w:p>
    <w:p>
      <w:pPr>
        <w:jc w:val="both"/>
        <w:ind w:right="3399" w:firstLine="437"/>
        <w:spacing w:after="0" w:line="267" w:lineRule="auto"/>
        <w:rPr>
          <w:sz w:val="20"/>
          <w:szCs w:val="20"/>
          <w:color w:val="auto"/>
        </w:rPr>
      </w:pPr>
      <w:r>
        <w:rPr>
          <w:rFonts w:ascii="Courier New" w:cs="Courier New" w:eastAsia="Courier New" w:hAnsi="Courier New"/>
          <w:sz w:val="14"/>
          <w:szCs w:val="14"/>
          <w:color w:val="auto"/>
        </w:rPr>
        <w:t>Section 162(m) of the Code generally disallows a tax deduction to public companies for compensation over $1 million paid to its chief executive officer or any one of its four other most highly compensated executive officers.</w:t>
      </w:r>
    </w:p>
    <w:p>
      <w:pPr>
        <w:spacing w:after="0" w:line="1"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Qualifying performance-based compensation is not subject to the deduction limit if certain requirements are met. The Company has limited the number of shares subject to stock options which may be granted to Company employees in a manner that complies with the performance-based requirements of Section 162(m). While the Committee does not currently intend to qualify the Bonus Plan as a performance-based plan, it will continue to monitor the impact of Section 162(m) on the Company.</w:t>
      </w:r>
    </w:p>
    <w:p>
      <w:pPr>
        <w:spacing w:after="0" w:line="8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Compensation Committee,</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Charles O. Holliday, Jr., Chairman</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F. Grant Saviers</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6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6" w:lineRule="exact"/>
        <w:rPr>
          <w:sz w:val="20"/>
          <w:szCs w:val="20"/>
          <w:color w:val="auto"/>
        </w:rPr>
      </w:pPr>
    </w:p>
    <w:p>
      <w:pPr>
        <w:ind w:right="3239" w:firstLine="437"/>
        <w:spacing w:after="0" w:line="381" w:lineRule="auto"/>
        <w:rPr>
          <w:sz w:val="20"/>
          <w:szCs w:val="20"/>
          <w:color w:val="auto"/>
        </w:rPr>
      </w:pPr>
      <w:r>
        <w:rPr>
          <w:rFonts w:ascii="Courier New" w:cs="Courier New" w:eastAsia="Courier New" w:hAnsi="Courier New"/>
          <w:sz w:val="14"/>
          <w:szCs w:val="14"/>
          <w:color w:val="auto"/>
        </w:rPr>
        <w:t>The members of the Compensation Committee are Messrs. Holliday and Saviers, neither of whom has been an officer or employee of the Company at any time.</w:t>
      </w:r>
    </w:p>
    <w:p>
      <w:pPr>
        <w:spacing w:after="0" w:line="1"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The Company purchases certain products from DuPont. During fiscal 1998, Mr. Holliday was President and Chief Executive Officer of DuPont and is now Chairman and Chief Executive Officer of DuPont. During fiscal 1998, the Company purchased an aggregate of approximately $403,000 of products from DuPont and its affiliates.</w:t>
      </w:r>
    </w:p>
    <w:p>
      <w:pPr>
        <w:spacing w:after="0" w:line="75"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During fiscal 1998, the Company completed the sale of its disk drive IC business to Adaptec. Mr. Saviers was Chairman, President and Chief Executive Officer of Adaptec until August 1998. Adaptec paid the Company a cash purchase price of approximately $27 million. After providing for the write-off of inventory, fixed assets and other costs incurred to complete the transaction, the Company recorded a net gain of approximately $13 million. The Company also entered into other arrangements with Adaptec that provide for payments to the Company aggregating $13 million, of which $10 million was earned in fiscal 1998, for assisting Adaptec in research and development efforts.</w:t>
      </w:r>
    </w:p>
    <w:p>
      <w:pPr>
        <w:spacing w:after="0" w:line="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No executive officer of the Company serves as a member of the board of directors or compensation committee of any entity that has one or more executive officers serving as a member of the Company's Board of Directors or Compensation Committee, except that Mr. Stata serves as a member of the Executive Committee and the Salary Subcommittee of the Executive Committee of MIT and Mr. Moses, who was Provost of MIT until December 1998, serves as a member of the Company's Board of Directors.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66"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Based solely on its review of copies of reports filed pursuant to Section 16(a) of the Securities Exchange Act of 1934, as amended (the "Exchange Act"), or written representations from persons required to file such reports ("Reporting Persons"), the Company believes that all such filings required to be made by such Reporting Persons were timely made in accordance with the requirements of the Exchange Act, except that Mr. Doyle and Mr. Holliday each failed to file one report on a timely basis with respect to one transaction.</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6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PERFORMANCE GRAPH</w:t>
      </w:r>
    </w:p>
    <w:p>
      <w:pPr>
        <w:spacing w:after="0" w:line="166" w:lineRule="exact"/>
        <w:rPr>
          <w:sz w:val="20"/>
          <w:szCs w:val="20"/>
          <w:color w:val="auto"/>
        </w:rPr>
      </w:pPr>
    </w:p>
    <w:p>
      <w:pPr>
        <w:ind w:right="4120" w:firstLine="437"/>
        <w:spacing w:after="0" w:line="255" w:lineRule="auto"/>
        <w:rPr>
          <w:sz w:val="20"/>
          <w:szCs w:val="20"/>
          <w:color w:val="auto"/>
        </w:rPr>
      </w:pPr>
      <w:r>
        <w:rPr>
          <w:rFonts w:ascii="Courier New" w:cs="Courier New" w:eastAsia="Courier New" w:hAnsi="Courier New"/>
          <w:sz w:val="15"/>
          <w:szCs w:val="15"/>
          <w:color w:val="auto"/>
        </w:rPr>
        <w:t>The following graph compares cumulative total stockholder return on the Company's Common Stock since October 31, 1993 with the cumulative total return for the Standard &amp; Poor's 500 Index and the Standard &amp; Poor's Technology Sector Index. This graph assumes the investment of $100 on October 30, 1993 in the Company's Common Stock, the Standard &amp; Poor's 500 Index and the Standard &amp; Poor's Technology Sector Index and assumes dividends are reinvested. Measurement points are at October 31 for each respective year.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COMPARISON OF FIVE YEAR CUMULATIVE TOTAL</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RETURN</w:t>
            </w:r>
          </w:p>
        </w:tc>
        <w:tc>
          <w:tcPr>
            <w:tcW w:w="1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AMONG ANALOG DEVICES, INC., THE S&amp;P 500</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INDEX</w:t>
            </w:r>
          </w:p>
        </w:tc>
        <w:tc>
          <w:tcPr>
            <w:tcW w:w="1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45"/>
        </w:trPr>
        <w:tc>
          <w:tcPr>
            <w:tcW w:w="4960" w:type="dxa"/>
            <w:vAlign w:val="bottom"/>
          </w:tcPr>
          <w:p>
            <w:pPr>
              <w:jc w:val="center"/>
              <w:ind w:left="1907"/>
              <w:spacing w:after="0"/>
              <w:rPr>
                <w:sz w:val="20"/>
                <w:szCs w:val="20"/>
                <w:color w:val="auto"/>
              </w:rPr>
            </w:pPr>
            <w:r>
              <w:rPr>
                <w:rFonts w:ascii="Courier New" w:cs="Courier New" w:eastAsia="Courier New" w:hAnsi="Courier New"/>
                <w:sz w:val="15"/>
                <w:szCs w:val="15"/>
                <w:color w:val="auto"/>
                <w:w w:val="96"/>
              </w:rPr>
              <w:t>AND S&amp;P TECHNOLOGY SECTOR</w:t>
            </w:r>
          </w:p>
        </w:tc>
        <w:tc>
          <w:tcPr>
            <w:tcW w:w="1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336"/>
        </w:trPr>
        <w:tc>
          <w:tcPr>
            <w:tcW w:w="68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[ANALOG DEVICES INC. PERFORMANCE GRAPH]</w:t>
            </w:r>
          </w:p>
        </w:tc>
        <w:tc>
          <w:tcPr>
            <w:tcW w:w="18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596"/>
        </w:trPr>
        <w:tc>
          <w:tcPr>
            <w:tcW w:w="6840" w:type="dxa"/>
            <w:vAlign w:val="bottom"/>
            <w:gridSpan w:val="2"/>
          </w:tcPr>
          <w:p>
            <w:pPr>
              <w:ind w:left="4300"/>
              <w:spacing w:after="0"/>
              <w:rPr>
                <w:sz w:val="20"/>
                <w:szCs w:val="20"/>
                <w:color w:val="auto"/>
              </w:rPr>
            </w:pPr>
            <w:r>
              <w:rPr>
                <w:rFonts w:ascii="Courier New" w:cs="Courier New" w:eastAsia="Courier New" w:hAnsi="Courier New"/>
                <w:sz w:val="15"/>
                <w:szCs w:val="15"/>
                <w:color w:val="auto"/>
              </w:rPr>
              <w:t>'ANALOG DEVICES, INC.'</w:t>
            </w:r>
          </w:p>
        </w:tc>
        <w:tc>
          <w:tcPr>
            <w:tcW w:w="1820" w:type="dxa"/>
            <w:vAlign w:val="bottom"/>
          </w:tcPr>
          <w:p>
            <w:pPr>
              <w:ind w:left="600"/>
              <w:spacing w:after="0"/>
              <w:rPr>
                <w:sz w:val="20"/>
                <w:szCs w:val="20"/>
                <w:color w:val="auto"/>
              </w:rPr>
            </w:pPr>
            <w:r>
              <w:rPr>
                <w:rFonts w:ascii="Courier New" w:cs="Courier New" w:eastAsia="Courier New" w:hAnsi="Courier New"/>
                <w:sz w:val="15"/>
                <w:szCs w:val="15"/>
                <w:color w:val="auto"/>
              </w:rPr>
              <w:t>S&amp;P 500</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S&amp;P TECHNOLOGY SECTOR</w:t>
            </w:r>
          </w:p>
        </w:tc>
      </w:tr>
      <w:tr>
        <w:trPr>
          <w:trHeight w:val="245"/>
        </w:trPr>
        <w:tc>
          <w:tcPr>
            <w:tcW w:w="6840" w:type="dxa"/>
            <w:vAlign w:val="bottom"/>
            <w:gridSpan w:val="2"/>
          </w:tcPr>
          <w:p>
            <w:pPr>
              <w:jc w:val="center"/>
              <w:ind w:left="3607"/>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4960" w:type="dxa"/>
            <w:vAlign w:val="bottom"/>
          </w:tcPr>
          <w:p>
            <w:pPr>
              <w:jc w:val="right"/>
              <w:ind w:right="4187"/>
              <w:spacing w:after="0"/>
              <w:rPr>
                <w:sz w:val="20"/>
                <w:szCs w:val="20"/>
                <w:color w:val="auto"/>
              </w:rPr>
            </w:pPr>
            <w:r>
              <w:rPr>
                <w:rFonts w:ascii="Courier New" w:cs="Courier New" w:eastAsia="Courier New" w:hAnsi="Courier New"/>
                <w:sz w:val="15"/>
                <w:szCs w:val="15"/>
                <w:color w:val="auto"/>
                <w:w w:val="94"/>
              </w:rPr>
              <w:t>10/31/93</w:t>
            </w:r>
          </w:p>
        </w:tc>
        <w:tc>
          <w:tcPr>
            <w:tcW w:w="1880" w:type="dxa"/>
            <w:vAlign w:val="bottom"/>
          </w:tcPr>
          <w:p>
            <w:pPr>
              <w:jc w:val="center"/>
              <w:ind w:right="1207"/>
              <w:spacing w:after="0"/>
              <w:rPr>
                <w:sz w:val="20"/>
                <w:szCs w:val="20"/>
                <w:color w:val="auto"/>
              </w:rPr>
            </w:pPr>
            <w:r>
              <w:rPr>
                <w:rFonts w:ascii="Courier New" w:cs="Courier New" w:eastAsia="Courier New" w:hAnsi="Courier New"/>
                <w:sz w:val="15"/>
                <w:szCs w:val="15"/>
                <w:color w:val="auto"/>
                <w:w w:val="96"/>
              </w:rPr>
              <w:t>100.00</w:t>
            </w:r>
          </w:p>
        </w:tc>
        <w:tc>
          <w:tcPr>
            <w:tcW w:w="1820" w:type="dxa"/>
            <w:vAlign w:val="bottom"/>
          </w:tcPr>
          <w:p>
            <w:pPr>
              <w:ind w:left="600"/>
              <w:spacing w:after="0"/>
              <w:rPr>
                <w:sz w:val="20"/>
                <w:szCs w:val="20"/>
                <w:color w:val="auto"/>
              </w:rPr>
            </w:pPr>
            <w:r>
              <w:rPr>
                <w:rFonts w:ascii="Courier New" w:cs="Courier New" w:eastAsia="Courier New" w:hAnsi="Courier New"/>
                <w:sz w:val="15"/>
                <w:szCs w:val="15"/>
                <w:color w:val="auto"/>
              </w:rPr>
              <w:t>100.00</w:t>
            </w:r>
          </w:p>
        </w:tc>
        <w:tc>
          <w:tcPr>
            <w:tcW w:w="2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4960" w:type="dxa"/>
            <w:vAlign w:val="bottom"/>
          </w:tcPr>
          <w:p>
            <w:pPr>
              <w:jc w:val="right"/>
              <w:ind w:right="4187"/>
              <w:spacing w:after="0" w:line="168" w:lineRule="exact"/>
              <w:rPr>
                <w:sz w:val="20"/>
                <w:szCs w:val="20"/>
                <w:color w:val="auto"/>
              </w:rPr>
            </w:pPr>
            <w:r>
              <w:rPr>
                <w:rFonts w:ascii="Courier New" w:cs="Courier New" w:eastAsia="Courier New" w:hAnsi="Courier New"/>
                <w:sz w:val="15"/>
                <w:szCs w:val="15"/>
                <w:color w:val="auto"/>
                <w:w w:val="94"/>
              </w:rPr>
              <w:t>10/31/94</w:t>
            </w:r>
          </w:p>
        </w:tc>
        <w:tc>
          <w:tcPr>
            <w:tcW w:w="1880" w:type="dxa"/>
            <w:vAlign w:val="bottom"/>
          </w:tcPr>
          <w:p>
            <w:pPr>
              <w:jc w:val="center"/>
              <w:ind w:right="1207"/>
              <w:spacing w:after="0" w:line="168" w:lineRule="exact"/>
              <w:rPr>
                <w:sz w:val="20"/>
                <w:szCs w:val="20"/>
                <w:color w:val="auto"/>
              </w:rPr>
            </w:pPr>
            <w:r>
              <w:rPr>
                <w:rFonts w:ascii="Courier New" w:cs="Courier New" w:eastAsia="Courier New" w:hAnsi="Courier New"/>
                <w:sz w:val="15"/>
                <w:szCs w:val="15"/>
                <w:color w:val="auto"/>
                <w:w w:val="96"/>
              </w:rPr>
              <w:t>160.67</w:t>
            </w:r>
          </w:p>
        </w:tc>
        <w:tc>
          <w:tcPr>
            <w:tcW w:w="18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103.87</w:t>
            </w:r>
          </w:p>
        </w:tc>
        <w:tc>
          <w:tcPr>
            <w:tcW w:w="2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121.38</w:t>
            </w:r>
          </w:p>
        </w:tc>
      </w:tr>
      <w:tr>
        <w:trPr>
          <w:trHeight w:val="168"/>
        </w:trPr>
        <w:tc>
          <w:tcPr>
            <w:tcW w:w="4960" w:type="dxa"/>
            <w:vAlign w:val="bottom"/>
          </w:tcPr>
          <w:p>
            <w:pPr>
              <w:jc w:val="right"/>
              <w:ind w:right="4187"/>
              <w:spacing w:after="0" w:line="168" w:lineRule="exact"/>
              <w:rPr>
                <w:sz w:val="20"/>
                <w:szCs w:val="20"/>
                <w:color w:val="auto"/>
              </w:rPr>
            </w:pPr>
            <w:r>
              <w:rPr>
                <w:rFonts w:ascii="Courier New" w:cs="Courier New" w:eastAsia="Courier New" w:hAnsi="Courier New"/>
                <w:sz w:val="15"/>
                <w:szCs w:val="15"/>
                <w:color w:val="auto"/>
                <w:w w:val="94"/>
              </w:rPr>
              <w:t>10/31/95</w:t>
            </w:r>
          </w:p>
        </w:tc>
        <w:tc>
          <w:tcPr>
            <w:tcW w:w="1880" w:type="dxa"/>
            <w:vAlign w:val="bottom"/>
          </w:tcPr>
          <w:p>
            <w:pPr>
              <w:jc w:val="center"/>
              <w:ind w:right="1207"/>
              <w:spacing w:after="0" w:line="168" w:lineRule="exact"/>
              <w:rPr>
                <w:sz w:val="20"/>
                <w:szCs w:val="20"/>
                <w:color w:val="auto"/>
              </w:rPr>
            </w:pPr>
            <w:r>
              <w:rPr>
                <w:rFonts w:ascii="Courier New" w:cs="Courier New" w:eastAsia="Courier New" w:hAnsi="Courier New"/>
                <w:sz w:val="15"/>
                <w:szCs w:val="15"/>
                <w:color w:val="auto"/>
                <w:w w:val="96"/>
              </w:rPr>
              <w:t>243.54</w:t>
            </w:r>
          </w:p>
        </w:tc>
        <w:tc>
          <w:tcPr>
            <w:tcW w:w="18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131.33</w:t>
            </w:r>
          </w:p>
        </w:tc>
        <w:tc>
          <w:tcPr>
            <w:tcW w:w="2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183.82</w:t>
            </w:r>
          </w:p>
        </w:tc>
      </w:tr>
      <w:tr>
        <w:trPr>
          <w:trHeight w:val="168"/>
        </w:trPr>
        <w:tc>
          <w:tcPr>
            <w:tcW w:w="4960" w:type="dxa"/>
            <w:vAlign w:val="bottom"/>
          </w:tcPr>
          <w:p>
            <w:pPr>
              <w:jc w:val="right"/>
              <w:ind w:right="4187"/>
              <w:spacing w:after="0" w:line="168" w:lineRule="exact"/>
              <w:rPr>
                <w:sz w:val="20"/>
                <w:szCs w:val="20"/>
                <w:color w:val="auto"/>
              </w:rPr>
            </w:pPr>
            <w:r>
              <w:rPr>
                <w:rFonts w:ascii="Courier New" w:cs="Courier New" w:eastAsia="Courier New" w:hAnsi="Courier New"/>
                <w:sz w:val="15"/>
                <w:szCs w:val="15"/>
                <w:color w:val="auto"/>
                <w:w w:val="94"/>
              </w:rPr>
              <w:t>10/31/96</w:t>
            </w:r>
          </w:p>
        </w:tc>
        <w:tc>
          <w:tcPr>
            <w:tcW w:w="1880" w:type="dxa"/>
            <w:vAlign w:val="bottom"/>
          </w:tcPr>
          <w:p>
            <w:pPr>
              <w:jc w:val="center"/>
              <w:ind w:right="1207"/>
              <w:spacing w:after="0" w:line="168" w:lineRule="exact"/>
              <w:rPr>
                <w:sz w:val="20"/>
                <w:szCs w:val="20"/>
                <w:color w:val="auto"/>
              </w:rPr>
            </w:pPr>
            <w:r>
              <w:rPr>
                <w:rFonts w:ascii="Courier New" w:cs="Courier New" w:eastAsia="Courier New" w:hAnsi="Courier New"/>
                <w:sz w:val="15"/>
                <w:szCs w:val="15"/>
                <w:color w:val="auto"/>
                <w:w w:val="96"/>
              </w:rPr>
              <w:t>262.92</w:t>
            </w:r>
          </w:p>
        </w:tc>
        <w:tc>
          <w:tcPr>
            <w:tcW w:w="18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162.98</w:t>
            </w:r>
          </w:p>
        </w:tc>
        <w:tc>
          <w:tcPr>
            <w:tcW w:w="2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222.40</w:t>
            </w:r>
          </w:p>
        </w:tc>
      </w:tr>
      <w:tr>
        <w:trPr>
          <w:trHeight w:val="168"/>
        </w:trPr>
        <w:tc>
          <w:tcPr>
            <w:tcW w:w="4960" w:type="dxa"/>
            <w:vAlign w:val="bottom"/>
          </w:tcPr>
          <w:p>
            <w:pPr>
              <w:jc w:val="right"/>
              <w:ind w:right="4187"/>
              <w:spacing w:after="0" w:line="168" w:lineRule="exact"/>
              <w:rPr>
                <w:sz w:val="20"/>
                <w:szCs w:val="20"/>
                <w:color w:val="auto"/>
              </w:rPr>
            </w:pPr>
            <w:r>
              <w:rPr>
                <w:rFonts w:ascii="Courier New" w:cs="Courier New" w:eastAsia="Courier New" w:hAnsi="Courier New"/>
                <w:sz w:val="15"/>
                <w:szCs w:val="15"/>
                <w:color w:val="auto"/>
                <w:w w:val="94"/>
              </w:rPr>
              <w:t>10/31/97</w:t>
            </w:r>
          </w:p>
        </w:tc>
        <w:tc>
          <w:tcPr>
            <w:tcW w:w="1880" w:type="dxa"/>
            <w:vAlign w:val="bottom"/>
          </w:tcPr>
          <w:p>
            <w:pPr>
              <w:jc w:val="center"/>
              <w:ind w:right="1207"/>
              <w:spacing w:after="0" w:line="168" w:lineRule="exact"/>
              <w:rPr>
                <w:sz w:val="20"/>
                <w:szCs w:val="20"/>
                <w:color w:val="auto"/>
              </w:rPr>
            </w:pPr>
            <w:r>
              <w:rPr>
                <w:rFonts w:ascii="Courier New" w:cs="Courier New" w:eastAsia="Courier New" w:hAnsi="Courier New"/>
                <w:sz w:val="15"/>
                <w:szCs w:val="15"/>
                <w:color w:val="auto"/>
                <w:w w:val="96"/>
              </w:rPr>
              <w:t>412.08</w:t>
            </w:r>
          </w:p>
        </w:tc>
        <w:tc>
          <w:tcPr>
            <w:tcW w:w="18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215.32</w:t>
            </w:r>
          </w:p>
        </w:tc>
        <w:tc>
          <w:tcPr>
            <w:tcW w:w="2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324.28</w:t>
            </w:r>
          </w:p>
        </w:tc>
      </w:tr>
      <w:tr>
        <w:trPr>
          <w:trHeight w:val="245"/>
        </w:trPr>
        <w:tc>
          <w:tcPr>
            <w:tcW w:w="4960" w:type="dxa"/>
            <w:vAlign w:val="bottom"/>
          </w:tcPr>
          <w:p>
            <w:pPr>
              <w:jc w:val="right"/>
              <w:ind w:right="4187"/>
              <w:spacing w:after="0"/>
              <w:rPr>
                <w:sz w:val="20"/>
                <w:szCs w:val="20"/>
                <w:color w:val="auto"/>
              </w:rPr>
            </w:pPr>
            <w:r>
              <w:rPr>
                <w:rFonts w:ascii="Courier New" w:cs="Courier New" w:eastAsia="Courier New" w:hAnsi="Courier New"/>
                <w:sz w:val="15"/>
                <w:szCs w:val="15"/>
                <w:color w:val="auto"/>
                <w:w w:val="94"/>
              </w:rPr>
              <w:t>10/31/98</w:t>
            </w:r>
          </w:p>
        </w:tc>
        <w:tc>
          <w:tcPr>
            <w:tcW w:w="1880" w:type="dxa"/>
            <w:vAlign w:val="bottom"/>
          </w:tcPr>
          <w:p>
            <w:pPr>
              <w:jc w:val="center"/>
              <w:ind w:right="1207"/>
              <w:spacing w:after="0"/>
              <w:rPr>
                <w:sz w:val="20"/>
                <w:szCs w:val="20"/>
                <w:color w:val="auto"/>
              </w:rPr>
            </w:pPr>
            <w:r>
              <w:rPr>
                <w:rFonts w:ascii="Courier New" w:cs="Courier New" w:eastAsia="Courier New" w:hAnsi="Courier New"/>
                <w:sz w:val="15"/>
                <w:szCs w:val="15"/>
                <w:color w:val="auto"/>
                <w:w w:val="96"/>
              </w:rPr>
              <w:t>267.98</w:t>
            </w:r>
          </w:p>
        </w:tc>
        <w:tc>
          <w:tcPr>
            <w:tcW w:w="1820" w:type="dxa"/>
            <w:vAlign w:val="bottom"/>
          </w:tcPr>
          <w:p>
            <w:pPr>
              <w:ind w:left="600"/>
              <w:spacing w:after="0"/>
              <w:rPr>
                <w:sz w:val="20"/>
                <w:szCs w:val="20"/>
                <w:color w:val="auto"/>
              </w:rPr>
            </w:pPr>
            <w:r>
              <w:rPr>
                <w:rFonts w:ascii="Courier New" w:cs="Courier New" w:eastAsia="Courier New" w:hAnsi="Courier New"/>
                <w:sz w:val="15"/>
                <w:szCs w:val="15"/>
                <w:color w:val="auto"/>
              </w:rPr>
              <w:t>262.66</w:t>
            </w:r>
          </w:p>
        </w:tc>
        <w:tc>
          <w:tcPr>
            <w:tcW w:w="2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430.47</w:t>
            </w:r>
          </w:p>
        </w:tc>
      </w:tr>
    </w:tbl>
    <w:p>
      <w:pPr>
        <w:spacing w:after="0" w:line="25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97"/>
              </w:rPr>
              <w:t>* $100 INVESTED ON 10/31/93</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w w:val="95"/>
              </w:rPr>
              <w:t>IN STOCK OR INDEX -</w:t>
            </w:r>
          </w:p>
        </w:tc>
      </w:tr>
      <w:tr>
        <w:trPr>
          <w:trHeight w:val="168"/>
        </w:trPr>
        <w:tc>
          <w:tcPr>
            <w:tcW w:w="2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INCLUDING REINVESTMENT OF</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DIVIDENDS.</w:t>
            </w:r>
          </w:p>
        </w:tc>
      </w:tr>
      <w:tr>
        <w:trPr>
          <w:trHeight w:val="245"/>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FISCAL YEAR ENDED OCTOBER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336"/>
        </w:trPr>
        <w:tc>
          <w:tcPr>
            <w:tcW w:w="2420" w:type="dxa"/>
            <w:vAlign w:val="bottom"/>
          </w:tcPr>
          <w:p>
            <w:pPr>
              <w:spacing w:after="0"/>
              <w:rPr>
                <w:sz w:val="24"/>
                <w:szCs w:val="24"/>
                <w:color w:val="auto"/>
              </w:rPr>
            </w:pPr>
          </w:p>
        </w:tc>
        <w:tc>
          <w:tcPr>
            <w:tcW w:w="17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1120"/>
          </w:cols>
          <w:pgMar w:left="220" w:top="261" w:right="559"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APPROVAL OF AMENDMENT TO 1992 EMPLOYEE</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STOCK PURCHASE PLAN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AMENDMENT</w:t>
      </w:r>
    </w:p>
    <w:p>
      <w:pPr>
        <w:spacing w:after="0" w:line="166" w:lineRule="exact"/>
        <w:rPr>
          <w:sz w:val="20"/>
          <w:szCs w:val="20"/>
          <w:color w:val="auto"/>
        </w:rPr>
      </w:pPr>
    </w:p>
    <w:p>
      <w:pPr>
        <w:ind w:right="3319" w:firstLine="437"/>
        <w:spacing w:after="0" w:line="246" w:lineRule="auto"/>
        <w:rPr>
          <w:sz w:val="20"/>
          <w:szCs w:val="20"/>
          <w:color w:val="auto"/>
        </w:rPr>
      </w:pPr>
      <w:r>
        <w:rPr>
          <w:rFonts w:ascii="Courier New" w:cs="Courier New" w:eastAsia="Courier New" w:hAnsi="Courier New"/>
          <w:sz w:val="15"/>
          <w:szCs w:val="15"/>
          <w:color w:val="auto"/>
        </w:rPr>
        <w:t>The 1992 Employee Stock Purchase Plan (the "Purchase Plan") allows the Company to encourage stock ownership by its employees who reside in the United States. The Company also has an International Employee Stock Purchase Plan (the "International Plan") which provides similar opportunities for the Company's employees who reside outside the United States. On December 9, 1998, the Board of Directors adopted, subject to stockholder approval, an amendment to the Purchase Plan which would increase the number of shares reserved for issuance thereunder from 4,800,000 to 6,800,000. As of December 31, 1998, 4,442,636 shares had been issued under the Purchase Plan, leaving a balance of 357,364 shares. The Company has 500,000 shares reserved for issuance under its International Plan. The Board of Directors believes it is in the best interest of the Company to continue to encourage employee stock ownership by its employees.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 AND ELIGIBILITY</w:t>
      </w:r>
    </w:p>
    <w:p>
      <w:pPr>
        <w:spacing w:after="0" w:line="166"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The Purchase Plan is administered by the Compensation Committee, which is authorized to designate subsidiaries entitled to participate in the plan, to decide questions of eligibility and to make rules and regulations for the administration and interpretation of the plan.</w:t>
      </w:r>
    </w:p>
    <w:p>
      <w:pPr>
        <w:spacing w:after="0" w:line="6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With certain exceptions, all employees who reside in the United States, including officers, employed by the Company or its subsidiaries for at least three months on the applicable offering commencement date are eligible to participate in the Purchase Plan. The Company currently has approximately 3,700 eligible employees residing in the United States. No nominee for director (who is not also an employee) or any other Non-Employee Director is eligible to purchase shares under the plan.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OFFERINGS AND PURCHASE PRICE OF SHARES</w:t>
      </w:r>
    </w:p>
    <w:p>
      <w:pPr>
        <w:spacing w:after="0" w:line="166" w:lineRule="exact"/>
        <w:rPr>
          <w:sz w:val="20"/>
          <w:szCs w:val="20"/>
          <w:color w:val="auto"/>
        </w:rPr>
      </w:pPr>
    </w:p>
    <w:p>
      <w:pPr>
        <w:ind w:right="3239" w:firstLine="437"/>
        <w:spacing w:after="0" w:line="243" w:lineRule="auto"/>
        <w:rPr>
          <w:sz w:val="20"/>
          <w:szCs w:val="20"/>
          <w:color w:val="auto"/>
        </w:rPr>
      </w:pPr>
      <w:r>
        <w:rPr>
          <w:rFonts w:ascii="Courier New" w:cs="Courier New" w:eastAsia="Courier New" w:hAnsi="Courier New"/>
          <w:sz w:val="15"/>
          <w:szCs w:val="15"/>
          <w:color w:val="auto"/>
        </w:rPr>
        <w:t>The Company has made seven annual offerings under the Purchase Plan and the Board of Directors has approved two additional annual offering periods which will commence, respectively, on June 1, 1999 and June 1, 2000. During each annual offering, the maximum number of shares which may be purchased by a participating employee is determined on the first day of the offering period under a formula whereby 85% of the market value of a share of Common Stock on the first day of the offering period is divided into an amount equal to 12% of such employee's current regular salary (annualized). Although all offerings to date have been made on an annual basis, the Purchase Plan allows for semiannual offering periods. In the event of a semiannual offering, the maximum number of shares which could be purchased by a participating employee would be determined on the first day of the offering period under a formula whereby 85% of the market value of a share of Common Stock on the first day of the offering period would be divided into an amount equal to 6% of such employee's current regular salary (annualized). An employee may elect to have up to 10% deducted from his or her regular salary (as adjusted) for this purpose. The price at which the employee's option is exercised is the lower of (i) 85% of the closing price of the Common Stock on the New York Stock Exchange on the day that an offering commences or (ii) 85% of the closing price on the day that the offering terminates.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PURCHASE PLAN</w:t>
      </w:r>
    </w:p>
    <w:p>
      <w:pPr>
        <w:spacing w:after="0" w:line="166" w:lineRule="exact"/>
        <w:rPr>
          <w:sz w:val="20"/>
          <w:szCs w:val="20"/>
          <w:color w:val="auto"/>
        </w:rPr>
      </w:pPr>
    </w:p>
    <w:p>
      <w:pPr>
        <w:ind w:right="3239" w:firstLine="437"/>
        <w:spacing w:after="0" w:line="298" w:lineRule="auto"/>
        <w:rPr>
          <w:sz w:val="20"/>
          <w:szCs w:val="20"/>
          <w:color w:val="auto"/>
        </w:rPr>
      </w:pPr>
      <w:r>
        <w:rPr>
          <w:rFonts w:ascii="Courier New" w:cs="Courier New" w:eastAsia="Courier New" w:hAnsi="Courier New"/>
          <w:sz w:val="14"/>
          <w:szCs w:val="14"/>
          <w:color w:val="auto"/>
        </w:rPr>
        <w:t>The Board of Directors may modify or amend the Purchase Plan in any respect without stockholder approval, unless such stockholder approval is required (i) under Section 423 of the Code, (ii) under Rule 16b-3 of the Securities Exchange Act of 1934, or (iii) under any applicable listing requirements.</w:t>
      </w:r>
    </w:p>
    <w:p>
      <w:pPr>
        <w:spacing w:after="0" w:line="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6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following is a summary of the United States federal income tax consequences that generally will arise with respect to purchases made under the Purchase Plan and with respect to the sale of Common Stock acquired under the Purchase Plan.</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 to Participants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4"/>
          <w:szCs w:val="14"/>
          <w:color w:val="auto"/>
        </w:rPr>
        <w:t>In general, a participant will not recognize taxable income upon enrolling in the Purchase Plan or upon purchasing shares of Common Stock at the end of an offering. Instead, if a participant sells Common Stock acquired under the Purchase Plan at a sale price that exceeds the price at which the participant purchased the Common Stock, then the participant will recognize taxable income in an amount equal to the excess of the sale price of the Common Stock over the price at which the participant purchased the Common Stock. A portion of that taxable income will be ordinary income, and a portion may be capital gain.</w:t>
      </w:r>
    </w:p>
    <w:p>
      <w:pPr>
        <w:spacing w:after="0" w:line="71"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If the participant sells the Common Stock more than one year after acquiring it and more than two years after the date on which the offering commenced (the "Grant Date"), then the participant will be taxed as follows. If the sale price of the Common Stock is higher than the price at which the participant purchased the Common Stock, then the participant will recognize ordinary compensation income in an amount equal to the lesser of:</w:t>
      </w:r>
    </w:p>
    <w:p>
      <w:pPr>
        <w:spacing w:after="0" w:line="81" w:lineRule="exact"/>
        <w:rPr>
          <w:sz w:val="20"/>
          <w:szCs w:val="20"/>
          <w:color w:val="auto"/>
        </w:rPr>
      </w:pPr>
    </w:p>
    <w:p>
      <w:pPr>
        <w:ind w:left="440" w:right="3499" w:firstLine="444"/>
        <w:spacing w:after="0" w:line="344" w:lineRule="auto"/>
        <w:tabs>
          <w:tab w:leader="none" w:pos="122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fifteen percent of the fair market value of the Common Stock on the Grant Date; and</w:t>
      </w:r>
    </w:p>
    <w:p>
      <w:pPr>
        <w:spacing w:after="0" w:line="17" w:lineRule="exact"/>
        <w:rPr>
          <w:rFonts w:ascii="Courier New" w:cs="Courier New" w:eastAsia="Courier New" w:hAnsi="Courier New"/>
          <w:sz w:val="15"/>
          <w:szCs w:val="15"/>
          <w:color w:val="auto"/>
        </w:rPr>
      </w:pPr>
    </w:p>
    <w:p>
      <w:pPr>
        <w:ind w:left="440" w:right="3399" w:firstLine="444"/>
        <w:spacing w:after="0" w:line="344" w:lineRule="auto"/>
        <w:tabs>
          <w:tab w:leader="none" w:pos="131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sale price of the Common Stock over the price at which the participant purchased the Common Stock.</w:t>
      </w:r>
    </w:p>
    <w:p>
      <w:pPr>
        <w:spacing w:after="0" w:line="17"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Any further income will be long-term capital gain. If the sale price of the Common Stock is less than the price at which the participant purchased the Common Stock, then the participant will recognize long-term capital loss in an amount equal to the excess of the price at which the participant purchased the Common Stock over the sale price of the Common Stock.</w:t>
      </w:r>
    </w:p>
    <w:p>
      <w:pPr>
        <w:spacing w:after="0" w:line="75"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4"/>
          <w:szCs w:val="14"/>
          <w:color w:val="auto"/>
        </w:rPr>
        <w:t>If the participant sells the Common Stock within one year after acquiring it or within two years after the Grant Date (a "Disqualifying Disposition"), then the participant will recognize ordinary compensation income in an amount equal to the excess of the fair market value of the Common Stock on the date that it was purchased over the price at which the participant purchased the Common Stock. The participant will also recognize capital gain in an amount equal to the excess of the sale price of the Common Stock over the fair market value of the Common Stock on the date that it was purchased, or capital loss in an amount equal to the excess of the fair market value of the Common Stock on the date that it was purchased over the sale price of the Common Stock. This capital gain or loss will be a long-term capital gain or loss if the participant has held the Common Stock for more than one year prior to the date of the sale and will be a short-term capital gain or loss if the participant has held the Common Stock for a shorter period.</w:t>
      </w:r>
    </w:p>
    <w:p>
      <w:pPr>
        <w:spacing w:after="0" w:line="2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 to the Company</w:t>
      </w:r>
    </w:p>
    <w:p>
      <w:pPr>
        <w:spacing w:after="0" w:line="166" w:lineRule="exact"/>
        <w:rPr>
          <w:sz w:val="20"/>
          <w:szCs w:val="20"/>
          <w:color w:val="auto"/>
        </w:rPr>
      </w:pPr>
    </w:p>
    <w:p>
      <w:pPr>
        <w:ind w:right="3319" w:firstLine="437"/>
        <w:spacing w:after="0" w:line="276" w:lineRule="auto"/>
        <w:rPr>
          <w:sz w:val="20"/>
          <w:szCs w:val="20"/>
          <w:color w:val="auto"/>
        </w:rPr>
      </w:pPr>
      <w:r>
        <w:rPr>
          <w:rFonts w:ascii="Courier New" w:cs="Courier New" w:eastAsia="Courier New" w:hAnsi="Courier New"/>
          <w:sz w:val="14"/>
          <w:szCs w:val="14"/>
          <w:color w:val="auto"/>
        </w:rPr>
        <w:t>The offering of Common Stock under the Purchase Plan will have no tax consequences to the Company. Moreover, in general, neither the purchase nor the sale of Common Stock acquired under the Purchase Plan will have any tax consequences to the Company except that the Company will be entitled to a business-expense deduction with respect to any ordinary compensation income recognized by a participant upon making a Disqualifying Disposition. Any such deduction will be subject to the limitations of Section 162(m) of the Code.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6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RECOMMENDATION</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The Board of Directors believes approval of the amendment to the Purchase Plan is in the best interests of the Company and its stockholders and recommends a vote FOR its approval.</w:t>
      </w:r>
    </w:p>
    <w:p>
      <w:pPr>
        <w:spacing w:after="0" w:line="5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APPROVAL OF AMENDMENT TO 1994 DIRECTOR OPTION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AMENDMENT</w:t>
      </w:r>
    </w:p>
    <w:p>
      <w:pPr>
        <w:spacing w:after="0" w:line="16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Under the terms of the 1994 Director Option Plan (the "1994 Director Plan") each newly elected non-employee director ("Non-Employee Director") receives a grant of a stock option to purchase 10,500 shares of Common Stock ("Initial Grant") upon his or her election to the Board. On December 9, 1998, the Board of Directors adopted, subject to stockholder approval, an amendment to the 1994 Director Plan which would increase the number of shares of Common Stock underlying the Initial Grant from 10,500 to 30,000. The Board of Directors believes that the amendment is in the best interest of the Company in that it will enhance the Company's ability to attract qualified candidates to serve as Non-Employee Directors.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 ELIGIBILITY AND NUMBER OF SHARES</w:t>
      </w:r>
    </w:p>
    <w:p>
      <w:pPr>
        <w:spacing w:after="0" w:line="166"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The Board supervises and administers the 1994 Director Plan. Directors of the Company who are not employees of the Company or any subsidiary of the Company are eligible to participate in the 1994 Director Plan.</w:t>
      </w:r>
    </w:p>
    <w:p>
      <w:pPr>
        <w:spacing w:after="0" w:line="57"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4"/>
          <w:szCs w:val="14"/>
          <w:color w:val="auto"/>
        </w:rPr>
        <w:t>Under the terms of the 1994 Director Plan each Non-Employee Director in office on December 7, 1994 was granted an option to purchase 10,500 shares of Common Stock and each Non-Employee Director elected thereafter received an Initial Grant to purchase 10,500 shares of Common Stock on the date of his election to the Board of Directors. Each Non-Employee Director also receives an annual option grant to purchase an additional 10,500 shares of Common Stock on each anniversary of his initial option grant. The proposed amendment will not affect the annual option grant which will continue at 10,500 shares.</w:t>
      </w:r>
    </w:p>
    <w:p>
      <w:pPr>
        <w:spacing w:after="0" w:line="71"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A total of 550,000 shares of Common Stock is authorized to be issued under the 1994 Director Plan. Options for an aggregate of 290,500 shares of Common Stock, net of forfeitures, have been granted under the 1994 Director Plan since the adoption of the Plan on December 7, 1994, leaving a balance of 259,500 shares of Common Stock available for future option grants.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OPTIONS</w:t>
      </w:r>
    </w:p>
    <w:p>
      <w:pPr>
        <w:spacing w:after="0" w:line="166" w:lineRule="exact"/>
        <w:rPr>
          <w:sz w:val="20"/>
          <w:szCs w:val="20"/>
          <w:color w:val="auto"/>
        </w:rPr>
      </w:pPr>
    </w:p>
    <w:p>
      <w:pPr>
        <w:ind w:right="3319" w:firstLine="437"/>
        <w:spacing w:after="0" w:line="276" w:lineRule="auto"/>
        <w:rPr>
          <w:sz w:val="20"/>
          <w:szCs w:val="20"/>
          <w:color w:val="auto"/>
        </w:rPr>
      </w:pPr>
      <w:r>
        <w:rPr>
          <w:rFonts w:ascii="Courier New" w:cs="Courier New" w:eastAsia="Courier New" w:hAnsi="Courier New"/>
          <w:sz w:val="14"/>
          <w:szCs w:val="14"/>
          <w:color w:val="auto"/>
        </w:rPr>
        <w:t>Each option granted under the 1994 Director Plan has an exercise price equal to the fair market value of the Common Stock on the date of grant and is exercisable on a cumulative basis in annual installments of one-third each on the succeeding three anniversaries of the date of grant. The exercisability of an option is conditioned upon continuous service as a director, or employee of the Company in the event that a Non-Employee Director terminates his service as a director to become an employee of the Company.</w:t>
      </w:r>
    </w:p>
    <w:p>
      <w:pPr>
        <w:spacing w:after="0" w:line="69" w:lineRule="exact"/>
        <w:rPr>
          <w:sz w:val="20"/>
          <w:szCs w:val="20"/>
          <w:color w:val="auto"/>
        </w:rPr>
      </w:pPr>
    </w:p>
    <w:p>
      <w:pPr>
        <w:ind w:right="3239" w:firstLine="437"/>
        <w:spacing w:after="0"/>
        <w:rPr>
          <w:sz w:val="20"/>
          <w:szCs w:val="20"/>
          <w:color w:val="auto"/>
        </w:rPr>
      </w:pPr>
      <w:r>
        <w:rPr>
          <w:rFonts w:ascii="Courier New" w:cs="Courier New" w:eastAsia="Courier New" w:hAnsi="Courier New"/>
          <w:sz w:val="15"/>
          <w:szCs w:val="15"/>
          <w:color w:val="auto"/>
        </w:rPr>
        <w:t>The exercise price of each option may be paid in cash or check payable to the order of the Company, by the delivery of Common Stock of the Company already owned by the optionee having a fair market value equal in amount to the exercise price of the options being exercised, or a combination of such methods of payment. Each option granted is not transferable except by the laws of descent and distribution or pursuant to a qualified domestic relations order (as defined in the Code). If the optionee becomes disabled or dies while serving as a director, the option will vest in full and the optionee or his or her representative may exercise the option in full during the year following his or her disability or death. If the optionee ceases to be a director by reason of retirement of the optionee as a director at the retirement age determined by the Company or by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6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reason of the Company's failure to nominate the optionee for reelection as a director (excluding such director's refusal to serve as a director), each option granted under the 1994 Director Plan then held by such director will be exercisable for the number of shares then vested and exercisable plus the shares which would otherwise become vested and exercisable at the date of the next succeeding anniversary of the date of grant. No option may be exercised more than ten years after the date of grant.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w:t>
      </w:r>
    </w:p>
    <w:p>
      <w:pPr>
        <w:spacing w:after="0" w:line="166" w:lineRule="exact"/>
        <w:rPr>
          <w:sz w:val="20"/>
          <w:szCs w:val="20"/>
          <w:color w:val="auto"/>
        </w:rPr>
      </w:pPr>
    </w:p>
    <w:p>
      <w:pPr>
        <w:ind w:right="3239" w:firstLine="437"/>
        <w:spacing w:after="0" w:line="257" w:lineRule="auto"/>
        <w:rPr>
          <w:sz w:val="20"/>
          <w:szCs w:val="20"/>
          <w:color w:val="auto"/>
        </w:rPr>
      </w:pPr>
      <w:r>
        <w:rPr>
          <w:rFonts w:ascii="Courier New" w:cs="Courier New" w:eastAsia="Courier New" w:hAnsi="Courier New"/>
          <w:sz w:val="14"/>
          <w:szCs w:val="14"/>
          <w:color w:val="auto"/>
        </w:rPr>
        <w:t>The 1994 Director Plan provides that in the event of a Change in Control of the Company, all options outstanding as of the date that such Change in Control occurs shall become exercisable in full, including non-vested options. A Change in Control occurs if: (i) any person becomes a beneficial owner of 50% or more of the Company's outstanding shares of Common Stock, subject to certain specified exceptions; (ii) if and when a majority of the members of the Board is comprised of individuals who were not members of the Board on July 1, 1992 ("Controlling Directors") or who were not nominated or elected subsequent to that date by at least a majority of the Controlling Directors; (iii) the Company's stockholders approve (A) a merger or consolidation involving the Company unless the owners of the Company's voting stock immediately prior to such event own more than 50% of the surviving company's outstanding voting stock immediately after such event; (B) a merger or consolidation effected to implement a recapitalization unless no person acquires 30% or more of the outstanding voting power of the Company; (C) a plan of complete liquidation; or</w:t>
      </w:r>
    </w:p>
    <w:p>
      <w:pPr>
        <w:spacing w:after="0" w:line="1" w:lineRule="exact"/>
        <w:rPr>
          <w:sz w:val="20"/>
          <w:szCs w:val="20"/>
          <w:color w:val="auto"/>
        </w:rPr>
      </w:pPr>
    </w:p>
    <w:p>
      <w:pPr>
        <w:ind w:right="3319" w:firstLine="10"/>
        <w:spacing w:after="0" w:line="307"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for the sale or disposition of all or substantially all of the Company's assets.</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PLAN</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The Board of Directors may suspend or discontinue the 1994 Director Plan or review or amend it in any respect whatsoever; provided, however, that without approval of the stockholders of the Company no revision or amendment by the Board may change the number of shares subject to the 1994 Director Plan, change the designation of the class of directors eligible to receive options, or materially increase the benefits accruing to participants under the 1994 Director Plan. The Plan may not be amended more than once in any six-month period.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The following is a summary of the United States federal income tax consequences that generally will arise with respect to options granted under the 1994 Director Plan and with respect to the sale of Common Stock acquired under the 1994 Director Plan.</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 to Participants</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A participant will not recognize taxable income upon the grant of an option under the 1994 Director Plan. Nevertheless, a participant generally will recognize ordinary compensation income upon the exercise of the option in an amount equal to the excess of the fair market value of the Common Stock acquired through the exercise of the option (the "Option Stock") on the exercise date over the exercise price.</w:t>
      </w:r>
    </w:p>
    <w:p>
      <w:pPr>
        <w:spacing w:after="0" w:line="81"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A participant will have a tax basis for any Option Stock equal to the exercise price plus any income recognized with respect to the option. Upon selling Option Stock, a participant generally will recognize capital gain or loss in an amount equal to the difference between the sale price of the Option Stock and the participant's tax basis in the Option Stock. This capital gain or loss will be a long-term capital gain or loss if the participant has held the Option Stock for more than one year prior to the date of the sale and will be a short-term capital gain or loss if the participant has held the Option Stock for a shorter period.</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6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 to the Company</w:t>
      </w:r>
    </w:p>
    <w:p>
      <w:pPr>
        <w:spacing w:after="0" w:line="166" w:lineRule="exact"/>
        <w:rPr>
          <w:sz w:val="20"/>
          <w:szCs w:val="20"/>
          <w:color w:val="auto"/>
        </w:rPr>
      </w:pPr>
    </w:p>
    <w:p>
      <w:pPr>
        <w:ind w:right="3399" w:firstLine="437"/>
        <w:spacing w:after="0" w:line="298" w:lineRule="auto"/>
        <w:rPr>
          <w:sz w:val="20"/>
          <w:szCs w:val="20"/>
          <w:color w:val="auto"/>
        </w:rPr>
      </w:pPr>
      <w:r>
        <w:rPr>
          <w:rFonts w:ascii="Courier New" w:cs="Courier New" w:eastAsia="Courier New" w:hAnsi="Courier New"/>
          <w:sz w:val="14"/>
          <w:szCs w:val="14"/>
          <w:color w:val="auto"/>
        </w:rPr>
        <w:t>The grant of an option under the 1994 Director Plan will have no tax consequences to the Company. The Company generally will be entitled to a business-expense deduction, however, with respect to any ordinary compensation income recognized by a participant under the 1994 Director Plan.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RECOMMENDATION</w:t>
      </w:r>
    </w:p>
    <w:p>
      <w:pPr>
        <w:spacing w:after="0" w:line="166"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The Board of Directors believes that the approval of the amendment to the 1994 Director Plan is in the best interests of the Company and its stockholders and recommends a vote FOR its approval.</w:t>
      </w:r>
    </w:p>
    <w:p>
      <w:pPr>
        <w:spacing w:after="0" w:line="5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RATIFICATION OF SELECTION OF INDEPENDENT AUDITORS</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The Board of Directors, on the recommendation of its Audit Committee, has selected the firm of Ernst &amp; Young LLP, independent auditors, as auditors of the Company for the fiscal year ending October 30, 1999. Although stockholder approval of the Board of Directors' selection of Ernst &amp; Young LLP is not required by law, the Board of Directors believes that it is advisable to give stockholders an opportunity to ratify this selection. If this proposal is not approved at the Meeting, the Board of Directors will reconsider its selection of Ernst &amp; Young LLP.</w:t>
      </w:r>
    </w:p>
    <w:p>
      <w:pPr>
        <w:spacing w:after="0" w:line="8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Representatives of Ernst &amp; Young LLP are expected to be present at the Meeting. They will have the opportunity to make a statement if they desire to do so and will also be available to respond to appropriate questions from stockholders.</w:t>
      </w:r>
    </w:p>
    <w:p>
      <w:pPr>
        <w:spacing w:after="0" w:line="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OTHER MATTERS</w:t>
      </w:r>
    </w:p>
    <w:p>
      <w:pPr>
        <w:spacing w:after="0" w:line="166" w:lineRule="exact"/>
        <w:rPr>
          <w:sz w:val="20"/>
          <w:szCs w:val="20"/>
          <w:color w:val="auto"/>
        </w:rPr>
      </w:pPr>
    </w:p>
    <w:p>
      <w:pPr>
        <w:ind w:right="3319" w:firstLine="437"/>
        <w:spacing w:after="0" w:line="298" w:lineRule="auto"/>
        <w:rPr>
          <w:sz w:val="20"/>
          <w:szCs w:val="20"/>
          <w:color w:val="auto"/>
        </w:rPr>
      </w:pPr>
      <w:r>
        <w:rPr>
          <w:rFonts w:ascii="Courier New" w:cs="Courier New" w:eastAsia="Courier New" w:hAnsi="Courier New"/>
          <w:sz w:val="14"/>
          <w:szCs w:val="14"/>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53" w:lineRule="exact"/>
        <w:rPr>
          <w:sz w:val="20"/>
          <w:szCs w:val="20"/>
          <w:color w:val="auto"/>
        </w:rPr>
      </w:pPr>
    </w:p>
    <w:p>
      <w:pPr>
        <w:ind w:right="3499" w:firstLine="437"/>
        <w:spacing w:after="0" w:line="269" w:lineRule="auto"/>
        <w:rPr>
          <w:sz w:val="20"/>
          <w:szCs w:val="20"/>
          <w:color w:val="auto"/>
        </w:rPr>
      </w:pPr>
      <w:r>
        <w:rPr>
          <w:rFonts w:ascii="Courier New" w:cs="Courier New" w:eastAsia="Courier New" w:hAnsi="Courier New"/>
          <w:sz w:val="14"/>
          <w:szCs w:val="14"/>
          <w:color w:val="auto"/>
        </w:rPr>
        <w:t>All costs of solicitation of proxies will be borne by the Company. The Company has engaged Corporate Investor Communications, Inc. ("CIC") to assist with the solicitation of proxies. The Company expects to pay CIC less than $10,000 for such services. In addition to solicitations by mail, CIC and the Company's directors, officers and regular employees, without additional remuneration, may solicit proxies by telephone, telegraph and personal interviews. Brokers, custodians and fiduciaries will be requested to forward proxy soliciting material to the owners of stock held in their names. The Company will reimburse banks and brokers for their reasonable out-of-pocket expenses incurred in connection with the distribution of proxy materials.</w:t>
      </w:r>
    </w:p>
    <w:p>
      <w:pPr>
        <w:spacing w:after="0" w:line="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6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DEADLINE FOR SUBMISSION OF STOCKHOLDER PROPOSALS FOR THE 2000 ANNUAL MEETING</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Proposals of stockholders intended to be presented at the 2000 Annual Meeting of Stockholders must be received by the Company at its principal office in Norwood, Massachusetts not later than October 9, 1999 for inclusion in the proxy statement for that meeting.</w:t>
      </w:r>
    </w:p>
    <w:p>
      <w:pPr>
        <w:spacing w:after="0" w:line="68" w:lineRule="exact"/>
        <w:rPr>
          <w:sz w:val="20"/>
          <w:szCs w:val="20"/>
          <w:color w:val="auto"/>
        </w:rPr>
      </w:pPr>
    </w:p>
    <w:p>
      <w:pPr>
        <w:ind w:right="3239" w:firstLine="437"/>
        <w:spacing w:after="0" w:line="280" w:lineRule="auto"/>
        <w:rPr>
          <w:sz w:val="20"/>
          <w:szCs w:val="20"/>
          <w:color w:val="auto"/>
        </w:rPr>
      </w:pPr>
      <w:r>
        <w:rPr>
          <w:rFonts w:ascii="Courier New" w:cs="Courier New" w:eastAsia="Courier New" w:hAnsi="Courier New"/>
          <w:sz w:val="14"/>
          <w:szCs w:val="14"/>
          <w:color w:val="auto"/>
        </w:rPr>
        <w:t>In connection with the 2000 Annual Meeting of Stockholders, if the Company does not receive notice of a matter or proposal to be considered by December 23, 1999, then the persons appointed by the Board of Directors to act as the proxies for such annual meeting will be allowed to use their discretionary voting authority with respect to any such matter or proposal at such annual meeting, if such matter or proposal is raised at such annual meeting.</w:t>
      </w:r>
    </w:p>
    <w:p>
      <w:pPr>
        <w:spacing w:after="0" w:line="67"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PAUL P. BROUNTAS, Clerk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5, 1999</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6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6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6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6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SKU #520-PS-99</w:t>
      </w:r>
    </w:p>
    <w:p>
      <w:pPr>
        <w:sectPr>
          <w:pgSz w:w="11900" w:h="16838" w:orient="portrait"/>
          <w:cols w:equalWidth="0" w:num="1">
            <w:col w:w="9959"/>
          </w:cols>
          <w:pgMar w:left="500" w:top="26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24"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ANAO7B</w:t>
      </w:r>
      <w:r>
        <w:rPr>
          <w:sz w:val="20"/>
          <w:szCs w:val="20"/>
          <w:color w:val="auto"/>
        </w:rPr>
        <w:tab/>
      </w:r>
      <w:r>
        <w:rPr>
          <w:rFonts w:ascii="Courier New" w:cs="Courier New" w:eastAsia="Courier New" w:hAnsi="Courier New"/>
          <w:sz w:val="15"/>
          <w:szCs w:val="15"/>
          <w:color w:val="auto"/>
        </w:rPr>
        <w:t>DETACH HERE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PROXY</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ANNUAL MEETING OF STOCKHOLDERS - MARCH 9, 1999</w:t>
      </w:r>
    </w:p>
    <w:p>
      <w:pPr>
        <w:spacing w:after="0" w:line="200" w:lineRule="exact"/>
        <w:rPr>
          <w:sz w:val="20"/>
          <w:szCs w:val="20"/>
          <w:color w:val="auto"/>
        </w:rPr>
      </w:pPr>
    </w:p>
    <w:p>
      <w:pPr>
        <w:spacing w:after="0" w:line="303" w:lineRule="exact"/>
        <w:rPr>
          <w:sz w:val="20"/>
          <w:szCs w:val="20"/>
          <w:color w:val="auto"/>
        </w:rPr>
      </w:pPr>
    </w:p>
    <w:p>
      <w:pPr>
        <w:ind w:right="3319" w:firstLine="437"/>
        <w:spacing w:after="0" w:line="252" w:lineRule="auto"/>
        <w:rPr>
          <w:sz w:val="20"/>
          <w:szCs w:val="20"/>
          <w:color w:val="auto"/>
        </w:rPr>
      </w:pPr>
      <w:r>
        <w:rPr>
          <w:rFonts w:ascii="Courier New" w:cs="Courier New" w:eastAsia="Courier New" w:hAnsi="Courier New"/>
          <w:sz w:val="15"/>
          <w:szCs w:val="15"/>
          <w:color w:val="auto"/>
        </w:rPr>
        <w:t>The undersigned, revoking all prior proxies, hereby appoints Ray Stata, Jerald G. Fishman and Paul P. Brountas, and each of them, with full power of substitution, as proxies to represent and vote as designated hereon, all shares of stock of Analog Devices, Inc. which the undersigned would be entitled to vote if personally present at the Annual Meeting of Stockholders of the Company to be held at the Hilton at Dedham Place, 25 Allied Drive, Dedham, Massachusetts 02026, on Tuesday, March 9, 1999, at 10:00 a.m. (Local Time) and at any adjournment thereof.</w:t>
      </w:r>
    </w:p>
    <w:p>
      <w:pPr>
        <w:spacing w:after="0" w:line="86" w:lineRule="exact"/>
        <w:rPr>
          <w:sz w:val="20"/>
          <w:szCs w:val="20"/>
          <w:color w:val="auto"/>
        </w:rPr>
      </w:pPr>
    </w:p>
    <w:p>
      <w:pPr>
        <w:ind w:left="180" w:right="3399" w:firstLine="175"/>
        <w:spacing w:after="0" w:line="385" w:lineRule="auto"/>
        <w:rPr>
          <w:sz w:val="20"/>
          <w:szCs w:val="20"/>
          <w:color w:val="auto"/>
        </w:rPr>
      </w:pPr>
      <w:r>
        <w:rPr>
          <w:rFonts w:ascii="Courier New" w:cs="Courier New" w:eastAsia="Courier New" w:hAnsi="Courier New"/>
          <w:sz w:val="14"/>
          <w:szCs w:val="14"/>
          <w:color w:val="auto"/>
        </w:rPr>
        <w:t>IN THEIR DISCRETION, THE PROXIES ARE AUTHORIZED TO VOTE UPON SUCH OTHER MATTERS AS MAY PROPERLY COME BEFORE THE MEETING, OR ANY ADJOURNMENT THEREOF.</w:t>
      </w:r>
    </w:p>
    <w:p>
      <w:pPr>
        <w:spacing w:after="0" w:line="16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PLEASE FILL IN, DATE, SIGN AND MAIL THIS PROXY IN THE ENCLOSED POSTAGE-PAID</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RETURN ENVELOPE.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 xml:space="preserve">- </w:t>
            </w:r>
            <w:r>
              <w:rPr>
                <w:rFonts w:ascii="Courier New" w:cs="Courier New" w:eastAsia="Courier New" w:hAnsi="Courier New"/>
                <w:sz w:val="29"/>
                <w:szCs w:val="29"/>
                <w:color w:val="auto"/>
                <w:vertAlign w:val="subscript"/>
              </w:rPr>
              <w:t>SEE</w:t>
            </w: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REVERSE</w:t>
            </w:r>
          </w:p>
        </w:tc>
        <w:tc>
          <w:tcPr>
            <w:tcW w:w="3460" w:type="dxa"/>
            <w:vAlign w:val="bottom"/>
          </w:tcPr>
          <w:p>
            <w:pPr>
              <w:ind w:left="2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640" w:type="dxa"/>
            <w:vAlign w:val="bottom"/>
            <w:vMerge w:val="continue"/>
          </w:tcPr>
          <w:p>
            <w:pPr>
              <w:spacing w:after="0"/>
              <w:rPr>
                <w:sz w:val="14"/>
                <w:szCs w:val="14"/>
                <w:color w:val="auto"/>
              </w:rPr>
            </w:pPr>
          </w:p>
        </w:tc>
        <w:tc>
          <w:tcPr>
            <w:tcW w:w="3460" w:type="dxa"/>
            <w:vAlign w:val="bottom"/>
          </w:tcPr>
          <w:p>
            <w:pPr>
              <w:ind w:left="2140"/>
              <w:spacing w:after="0" w:line="168" w:lineRule="exact"/>
              <w:rPr>
                <w:sz w:val="20"/>
                <w:szCs w:val="20"/>
                <w:color w:val="auto"/>
              </w:rPr>
            </w:pPr>
            <w:r>
              <w:rPr>
                <w:rFonts w:ascii="Courier New" w:cs="Courier New" w:eastAsia="Courier New" w:hAnsi="Courier New"/>
                <w:sz w:val="15"/>
                <w:szCs w:val="15"/>
                <w:color w:val="auto"/>
              </w:rPr>
              <w:t>SEE REVERSE</w:t>
            </w:r>
          </w:p>
        </w:tc>
        <w:tc>
          <w:tcPr>
            <w:tcW w:w="0" w:type="dxa"/>
            <w:vAlign w:val="bottom"/>
          </w:tcPr>
          <w:p>
            <w:pPr>
              <w:spacing w:after="0"/>
              <w:rPr>
                <w:sz w:val="1"/>
                <w:szCs w:val="1"/>
                <w:color w:val="auto"/>
              </w:rPr>
            </w:pP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SIDE</w:t>
            </w:r>
          </w:p>
        </w:tc>
        <w:tc>
          <w:tcPr>
            <w:tcW w:w="3460" w:type="dxa"/>
            <w:vAlign w:val="bottom"/>
          </w:tcPr>
          <w:p>
            <w:pPr>
              <w:ind w:left="2400"/>
              <w:spacing w:after="0" w:line="168" w:lineRule="exact"/>
              <w:rPr>
                <w:sz w:val="20"/>
                <w:szCs w:val="20"/>
                <w:color w:val="auto"/>
              </w:rPr>
            </w:pPr>
            <w:r>
              <w:rPr>
                <w:rFonts w:ascii="Courier New" w:cs="Courier New" w:eastAsia="Courier New" w:hAnsi="Courier New"/>
                <w:sz w:val="15"/>
                <w:szCs w:val="15"/>
                <w:color w:val="auto"/>
              </w:rPr>
              <w:t>SIDE</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ind w:left="2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ind w:left="100"/>
        <w:spacing w:after="0" w:line="237" w:lineRule="auto"/>
        <w:rPr>
          <w:sz w:val="20"/>
          <w:szCs w:val="20"/>
          <w:color w:val="auto"/>
        </w:rPr>
      </w:pPr>
      <w:r>
        <w:rPr>
          <w:rFonts w:ascii="Courier New" w:cs="Courier New" w:eastAsia="Courier New" w:hAnsi="Courier New"/>
          <w:sz w:val="15"/>
          <w:szCs w:val="15"/>
          <w:color w:val="auto"/>
        </w:rPr>
        <w:t>One Technology Way</w:t>
      </w:r>
    </w:p>
    <w:p>
      <w:pPr>
        <w:ind w:left="100"/>
        <w:spacing w:after="0" w:line="238" w:lineRule="auto"/>
        <w:rPr>
          <w:sz w:val="20"/>
          <w:szCs w:val="20"/>
          <w:color w:val="auto"/>
        </w:rPr>
      </w:pPr>
      <w:r>
        <w:rPr>
          <w:rFonts w:ascii="Courier New" w:cs="Courier New" w:eastAsia="Courier New" w:hAnsi="Courier New"/>
          <w:sz w:val="15"/>
          <w:szCs w:val="15"/>
          <w:color w:val="auto"/>
        </w:rPr>
        <w:t>P.O. Box 9106</w:t>
      </w:r>
    </w:p>
    <w:p>
      <w:pPr>
        <w:ind w:left="100"/>
        <w:spacing w:after="0"/>
        <w:rPr>
          <w:sz w:val="20"/>
          <w:szCs w:val="20"/>
          <w:color w:val="auto"/>
        </w:rPr>
      </w:pPr>
      <w:r>
        <w:rPr>
          <w:rFonts w:ascii="Courier New" w:cs="Courier New" w:eastAsia="Courier New" w:hAnsi="Courier New"/>
          <w:sz w:val="15"/>
          <w:szCs w:val="15"/>
          <w:color w:val="auto"/>
        </w:rPr>
        <w:t>Norwood, MA 02062-9106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ANAO7A</w:t>
      </w:r>
      <w:r>
        <w:rPr>
          <w:sz w:val="20"/>
          <w:szCs w:val="20"/>
          <w:color w:val="auto"/>
        </w:rPr>
        <w:tab/>
      </w:r>
      <w:r>
        <w:rPr>
          <w:rFonts w:ascii="Courier New" w:cs="Courier New" w:eastAsia="Courier New" w:hAnsi="Courier New"/>
          <w:sz w:val="15"/>
          <w:szCs w:val="15"/>
          <w:color w:val="auto"/>
        </w:rPr>
        <w:t>DETACH HERE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360" w:right="10040" w:hanging="350"/>
        <w:spacing w:after="0" w:line="320"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VOTES AS IN THIS EXAMPLE.</w:t>
      </w:r>
    </w:p>
    <w:p>
      <w:pPr>
        <w:spacing w:after="0" w:line="207" w:lineRule="exact"/>
        <w:rPr>
          <w:sz w:val="20"/>
          <w:szCs w:val="20"/>
          <w:color w:val="auto"/>
        </w:rPr>
      </w:pPr>
    </w:p>
    <w:p>
      <w:pPr>
        <w:ind w:left="100" w:right="5400"/>
        <w:spacing w:after="0" w:line="344" w:lineRule="auto"/>
        <w:rPr>
          <w:sz w:val="20"/>
          <w:szCs w:val="20"/>
          <w:color w:val="auto"/>
        </w:rPr>
      </w:pPr>
      <w:r>
        <w:rPr>
          <w:rFonts w:ascii="Courier New" w:cs="Courier New" w:eastAsia="Courier New" w:hAnsi="Courier New"/>
          <w:sz w:val="15"/>
          <w:szCs w:val="15"/>
          <w:color w:val="auto"/>
        </w:rPr>
        <w:t>UNLESS OTHERWISE INSTRUCTED, THIS PROXY WILL BE VOTED IN FAVOR OF THE PROPOSALS SET FORTH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gridSpan w:val="3"/>
            <w:vMerge w:val="restart"/>
          </w:tcPr>
          <w:p>
            <w:pPr>
              <w:jc w:val="right"/>
              <w:ind w:right="147"/>
              <w:spacing w:after="0"/>
              <w:rPr>
                <w:sz w:val="20"/>
                <w:szCs w:val="20"/>
                <w:color w:val="auto"/>
              </w:rPr>
            </w:pPr>
            <w:r>
              <w:rPr>
                <w:rFonts w:ascii="Courier New" w:cs="Courier New" w:eastAsia="Courier New" w:hAnsi="Courier New"/>
                <w:sz w:val="15"/>
                <w:szCs w:val="15"/>
                <w:color w:val="auto"/>
                <w:w w:val="97"/>
              </w:rPr>
              <w:t>1. Election of Class III Directors for a term of three</w:t>
            </w:r>
          </w:p>
        </w:tc>
        <w:tc>
          <w:tcPr>
            <w:tcW w:w="700" w:type="dxa"/>
            <w:vAlign w:val="bottom"/>
          </w:tcPr>
          <w:p>
            <w:pPr>
              <w:spacing w:after="0"/>
              <w:rPr>
                <w:sz w:val="21"/>
                <w:szCs w:val="21"/>
                <w:color w:val="auto"/>
              </w:rPr>
            </w:pPr>
          </w:p>
        </w:tc>
        <w:tc>
          <w:tcPr>
            <w:tcW w:w="35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2. To approve an amendment to the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AGAINST</w:t>
            </w:r>
          </w:p>
        </w:tc>
        <w:tc>
          <w:tcPr>
            <w:tcW w:w="6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5"/>
              </w:rPr>
              <w:t>ABSTAIN</w:t>
            </w:r>
          </w:p>
        </w:tc>
        <w:tc>
          <w:tcPr>
            <w:tcW w:w="0" w:type="dxa"/>
            <w:vAlign w:val="bottom"/>
          </w:tcPr>
          <w:p>
            <w:pPr>
              <w:spacing w:after="0"/>
              <w:rPr>
                <w:sz w:val="1"/>
                <w:szCs w:val="1"/>
                <w:color w:val="auto"/>
              </w:rPr>
            </w:pPr>
          </w:p>
        </w:tc>
      </w:tr>
      <w:tr>
        <w:trPr>
          <w:trHeight w:val="91"/>
        </w:trPr>
        <w:tc>
          <w:tcPr>
            <w:tcW w:w="49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 ]</w:t>
            </w:r>
          </w:p>
        </w:tc>
        <w:tc>
          <w:tcPr>
            <w:tcW w:w="106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6"/>
              </w:rPr>
              <w:t>[ ]</w:t>
            </w:r>
          </w:p>
        </w:tc>
        <w:tc>
          <w:tcPr>
            <w:tcW w:w="6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168"/>
        </w:trPr>
        <w:tc>
          <w:tcPr>
            <w:tcW w:w="49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years (for all nominees except as marked below).</w:t>
            </w: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Company's 1992 Employee Stock</w:t>
            </w:r>
          </w:p>
        </w:tc>
        <w:tc>
          <w:tcPr>
            <w:tcW w:w="5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gridSpan w:val="2"/>
            <w:vMerge w:val="restart"/>
          </w:tcPr>
          <w:p>
            <w:pPr>
              <w:ind w:left="280"/>
              <w:spacing w:after="0"/>
              <w:rPr>
                <w:sz w:val="20"/>
                <w:szCs w:val="20"/>
                <w:color w:val="auto"/>
              </w:rPr>
            </w:pPr>
            <w:r>
              <w:rPr>
                <w:rFonts w:ascii="Courier New" w:cs="Courier New" w:eastAsia="Courier New" w:hAnsi="Courier New"/>
                <w:sz w:val="15"/>
                <w:szCs w:val="15"/>
                <w:color w:val="auto"/>
              </w:rPr>
              <w:t>Nominees : John L. Doyle and Ray Stata</w:t>
            </w: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Purchase Plan to Increase the number</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shares reserved for issuance</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FOR</w:t>
            </w:r>
          </w:p>
        </w:tc>
        <w:tc>
          <w:tcPr>
            <w:tcW w:w="18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WITHHELD</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MARK HERE</w:t>
            </w: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thereunder from 4,800,00 to</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6,800,000.</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 ]</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IF YOU PLAN TO</w:t>
            </w:r>
          </w:p>
        </w:tc>
        <w:tc>
          <w:tcPr>
            <w:tcW w:w="7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w:t>
            </w:r>
          </w:p>
        </w:tc>
        <w:tc>
          <w:tcPr>
            <w:tcW w:w="3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vMerge w:val="continue"/>
          </w:tcPr>
          <w:p>
            <w:pPr>
              <w:spacing w:after="0"/>
              <w:rPr>
                <w:sz w:val="14"/>
                <w:szCs w:val="14"/>
                <w:color w:val="auto"/>
              </w:rPr>
            </w:pPr>
          </w:p>
        </w:tc>
        <w:tc>
          <w:tcPr>
            <w:tcW w:w="18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ATTEND THE</w:t>
            </w:r>
          </w:p>
        </w:tc>
        <w:tc>
          <w:tcPr>
            <w:tcW w:w="70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FOR</w:t>
            </w:r>
          </w:p>
        </w:tc>
        <w:tc>
          <w:tcPr>
            <w:tcW w:w="106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8"/>
              </w:rPr>
              <w:t>AGAINST</w:t>
            </w:r>
          </w:p>
        </w:tc>
        <w:tc>
          <w:tcPr>
            <w:tcW w:w="680" w:type="dxa"/>
            <w:vAlign w:val="bottom"/>
            <w:vMerge w:val="restart"/>
          </w:tcPr>
          <w:p>
            <w:pPr>
              <w:jc w:val="center"/>
              <w:ind w:left="7"/>
              <w:spacing w:after="0"/>
              <w:rPr>
                <w:sz w:val="20"/>
                <w:szCs w:val="20"/>
                <w:color w:val="auto"/>
              </w:rPr>
            </w:pPr>
            <w:r>
              <w:rPr>
                <w:rFonts w:ascii="Courier New" w:cs="Courier New" w:eastAsia="Courier New" w:hAnsi="Courier New"/>
                <w:sz w:val="15"/>
                <w:szCs w:val="15"/>
                <w:color w:val="auto"/>
                <w:w w:val="95"/>
              </w:rPr>
              <w:t>ABSTAIN</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MEETING</w:t>
            </w:r>
          </w:p>
        </w:tc>
        <w:tc>
          <w:tcPr>
            <w:tcW w:w="700" w:type="dxa"/>
            <w:vAlign w:val="bottom"/>
          </w:tcPr>
          <w:p>
            <w:pPr>
              <w:spacing w:after="0"/>
              <w:rPr>
                <w:sz w:val="21"/>
                <w:szCs w:val="21"/>
                <w:color w:val="auto"/>
              </w:rPr>
            </w:pPr>
          </w:p>
        </w:tc>
        <w:tc>
          <w:tcPr>
            <w:tcW w:w="35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3. To approve an amendment to the</w:t>
            </w:r>
          </w:p>
        </w:tc>
        <w:tc>
          <w:tcPr>
            <w:tcW w:w="5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0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MARK HERE</w:t>
            </w:r>
          </w:p>
        </w:tc>
        <w:tc>
          <w:tcPr>
            <w:tcW w:w="7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 ]</w:t>
            </w:r>
          </w:p>
        </w:tc>
        <w:tc>
          <w:tcPr>
            <w:tcW w:w="106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6"/>
              </w:rPr>
              <w:t>[ ]</w:t>
            </w:r>
          </w:p>
        </w:tc>
        <w:tc>
          <w:tcPr>
            <w:tcW w:w="6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7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w:t>
            </w: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Company's 1994 Director Option Plan</w:t>
            </w:r>
          </w:p>
        </w:tc>
        <w:tc>
          <w:tcPr>
            <w:tcW w:w="5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29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FOR ADDRESS</w:t>
            </w:r>
          </w:p>
        </w:tc>
        <w:tc>
          <w:tcPr>
            <w:tcW w:w="700" w:type="dxa"/>
            <w:vAlign w:val="bottom"/>
            <w:vMerge w:val="continue"/>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 increase the number of shares of</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CHANGE AND</w:t>
            </w: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 Stock underlying the initial</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NOTE BELOW</w:t>
            </w: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option grant to newly elected</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non-employee directors from 10,500 to</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30,000.</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FOR</w:t>
            </w:r>
          </w:p>
        </w:tc>
        <w:tc>
          <w:tcPr>
            <w:tcW w:w="106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8"/>
              </w:rPr>
              <w:t>AGAINST</w:t>
            </w:r>
          </w:p>
        </w:tc>
        <w:tc>
          <w:tcPr>
            <w:tcW w:w="680" w:type="dxa"/>
            <w:vAlign w:val="bottom"/>
            <w:vMerge w:val="restart"/>
          </w:tcPr>
          <w:p>
            <w:pPr>
              <w:jc w:val="center"/>
              <w:ind w:left="7"/>
              <w:spacing w:after="0"/>
              <w:rPr>
                <w:sz w:val="20"/>
                <w:szCs w:val="20"/>
                <w:color w:val="auto"/>
              </w:rPr>
            </w:pPr>
            <w:r>
              <w:rPr>
                <w:rFonts w:ascii="Courier New" w:cs="Courier New" w:eastAsia="Courier New" w:hAnsi="Courier New"/>
                <w:sz w:val="15"/>
                <w:szCs w:val="15"/>
                <w:color w:val="auto"/>
                <w:w w:val="95"/>
              </w:rPr>
              <w:t>ABSTAIN</w:t>
            </w:r>
          </w:p>
        </w:tc>
        <w:tc>
          <w:tcPr>
            <w:tcW w:w="0" w:type="dxa"/>
            <w:vAlign w:val="bottom"/>
          </w:tcPr>
          <w:p>
            <w:pPr>
              <w:spacing w:after="0"/>
              <w:rPr>
                <w:sz w:val="1"/>
                <w:szCs w:val="1"/>
                <w:color w:val="auto"/>
              </w:rPr>
            </w:pPr>
          </w:p>
        </w:tc>
      </w:tr>
      <w:tr>
        <w:trPr>
          <w:trHeight w:val="245"/>
        </w:trPr>
        <w:tc>
          <w:tcPr>
            <w:tcW w:w="38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For both nominees except as noted above</w:t>
            </w: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4. To ratify the selection by the Board</w:t>
            </w:r>
          </w:p>
        </w:tc>
        <w:tc>
          <w:tcPr>
            <w:tcW w:w="5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0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 ]</w:t>
            </w:r>
          </w:p>
        </w:tc>
        <w:tc>
          <w:tcPr>
            <w:tcW w:w="106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6"/>
              </w:rPr>
              <w:t>[ ]</w:t>
            </w:r>
          </w:p>
        </w:tc>
        <w:tc>
          <w:tcPr>
            <w:tcW w:w="6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Directors of Ernst &amp; Young LLP as</w:t>
            </w:r>
          </w:p>
        </w:tc>
        <w:tc>
          <w:tcPr>
            <w:tcW w:w="5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the Company's independent auditors</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 the fiscal year ending</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80" w:type="dxa"/>
            <w:vAlign w:val="bottom"/>
          </w:tcPr>
          <w:p>
            <w:pPr>
              <w:ind w:left="300"/>
              <w:spacing w:after="0"/>
              <w:rPr>
                <w:sz w:val="20"/>
                <w:szCs w:val="20"/>
                <w:color w:val="auto"/>
              </w:rPr>
            </w:pPr>
            <w:r>
              <w:rPr>
                <w:rFonts w:ascii="Courier New" w:cs="Courier New" w:eastAsia="Courier New" w:hAnsi="Courier New"/>
                <w:sz w:val="15"/>
                <w:szCs w:val="15"/>
                <w:color w:val="auto"/>
              </w:rPr>
              <w:t>October 30, 1999.</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5. To transact such other business as may properly come before</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8"/>
              </w:rPr>
              <w:t>the meeting or any adjournment or adjournments thereof.</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Please sign exactly as your name appears hereon. If the stock is</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9"/>
              </w:rPr>
              <w:t>registered in the names of two or more persons, each should sign.</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Executors, administrators, trustees, guardians, attorneys and</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officers should add their titles.</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96"/>
              </w:rPr>
              <w:t>Signature: _________________________________</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 ____________</w:t>
            </w:r>
          </w:p>
        </w:tc>
        <w:tc>
          <w:tcPr>
            <w:tcW w:w="414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8"/>
              </w:rPr>
              <w:t>Signature: _________________________________</w:t>
            </w:r>
          </w:p>
        </w:tc>
        <w:tc>
          <w:tcPr>
            <w:tcW w:w="17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Date: ____________</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540"/>
      </w:cols>
      <w:pgMar w:left="220" w:top="26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lvl w:ilvl="1">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6"/>
    </w:lvl>
    <w:lvl w:ilvl="1">
      <w:lvlJc w:val="left"/>
      <w:lvlText w:val="(%2)"/>
      <w:numFmt w:val="lowerLetter"/>
      <w:start w:val="2"/>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upperLetter"/>
      <w:start w:val="4"/>
    </w:lvl>
  </w:abstractNum>
  <w:abstractNum w:abstractNumId="18">
    <w:nsid w:val="7C83E45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2019-12-20T05:12:37Z</dcterms:created>
  <dcterms:modified xsi:type="dcterms:W3CDTF">2019-12-20T05:12:37Z</dcterms:modified>
</cp:coreProperties>
</file>